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E75BC" w14:textId="1881A761" w:rsidR="002A43CD" w:rsidRPr="00F6387D" w:rsidRDefault="002A43CD">
      <w:pPr>
        <w:spacing w:before="0" w:after="160" w:line="259" w:lineRule="auto"/>
        <w:jc w:val="left"/>
        <w:rPr>
          <w:shd w:val="clear" w:color="auto" w:fill="FFFFFF"/>
        </w:rPr>
      </w:pPr>
    </w:p>
    <w:p w14:paraId="22C084B5" w14:textId="6A307BBB" w:rsidR="001348A0" w:rsidRDefault="001348A0" w:rsidP="001348A0">
      <w:pPr>
        <w:pStyle w:val="Captulo"/>
      </w:pPr>
      <w:r>
        <w:t>Capítulo XXX</w:t>
      </w:r>
    </w:p>
    <w:p w14:paraId="180266AE" w14:textId="10D452ED" w:rsidR="008E005B" w:rsidRDefault="008E005B" w:rsidP="0015066B">
      <w:pPr>
        <w:pStyle w:val="TtCap"/>
        <w:rPr>
          <w:color w:val="FF0000"/>
        </w:rPr>
      </w:pPr>
      <w:r w:rsidRPr="008E005B">
        <w:rPr>
          <w:color w:val="FF0000"/>
        </w:rPr>
        <w:t>EL CONCEPTO DE STAKEHOLDER EN LA INTERSECCIÓN TEÓRICA ENTRE COMUNICACIÓN, RESPONSABILIDAD CORPORATIVA, SOSTENIBILIDAD Y REPUTACIÓNTÍTULO</w:t>
      </w:r>
    </w:p>
    <w:p w14:paraId="53F485B9" w14:textId="04F38CEC" w:rsidR="0015066B" w:rsidRPr="009C0DFA" w:rsidRDefault="0015066B" w:rsidP="0015066B">
      <w:pPr>
        <w:pStyle w:val="TtCap"/>
        <w:rPr>
          <w:color w:val="FF0000"/>
        </w:rPr>
      </w:pPr>
    </w:p>
    <w:p w14:paraId="7253AF10" w14:textId="77777777" w:rsidR="008E005B" w:rsidRDefault="008E005B" w:rsidP="008E005B">
      <w:pPr>
        <w:pStyle w:val="Autor"/>
        <w:rPr>
          <w:lang w:eastAsia="es-ES"/>
        </w:rPr>
      </w:pPr>
      <w:r>
        <w:rPr>
          <w:lang w:eastAsia="es-ES"/>
        </w:rPr>
        <w:t>Irene Trelles Rodríguez</w:t>
      </w:r>
    </w:p>
    <w:p w14:paraId="69FA3E26" w14:textId="5126CF4B" w:rsidR="0015066B" w:rsidRPr="008E005B" w:rsidRDefault="008E005B" w:rsidP="0015066B">
      <w:pPr>
        <w:pStyle w:val="Adscripcin"/>
        <w:rPr>
          <w:color w:val="auto"/>
        </w:rPr>
      </w:pPr>
      <w:r w:rsidRPr="008E005B">
        <w:rPr>
          <w:color w:val="auto"/>
        </w:rPr>
        <w:t>UNIVERSIDAD CATÓLICA DE SANTIAGO DE GUAYAQUIL</w:t>
      </w:r>
    </w:p>
    <w:p w14:paraId="6A08A450" w14:textId="77777777" w:rsidR="008E005B" w:rsidRDefault="008E005B" w:rsidP="008E005B">
      <w:pPr>
        <w:pStyle w:val="Autor"/>
        <w:rPr>
          <w:lang w:eastAsia="es-ES"/>
        </w:rPr>
      </w:pPr>
      <w:r>
        <w:rPr>
          <w:lang w:eastAsia="es-ES"/>
        </w:rPr>
        <w:t>Diego Ortiz Jaramillo</w:t>
      </w:r>
    </w:p>
    <w:p w14:paraId="68948DF7" w14:textId="77777777" w:rsidR="008E005B" w:rsidRPr="008E005B" w:rsidRDefault="008E005B" w:rsidP="008E005B">
      <w:pPr>
        <w:pStyle w:val="Autor"/>
        <w:rPr>
          <w:i/>
          <w:iCs/>
          <w:lang w:eastAsia="es-ES"/>
        </w:rPr>
      </w:pPr>
      <w:r w:rsidRPr="008E005B">
        <w:rPr>
          <w:i/>
          <w:iCs/>
          <w:lang w:eastAsia="es-ES"/>
        </w:rPr>
        <w:t>Universidad Católica de Santiago de Guayaquil</w:t>
      </w:r>
    </w:p>
    <w:p w14:paraId="26173511" w14:textId="77777777" w:rsidR="008E005B" w:rsidRPr="008E005B" w:rsidRDefault="008E005B" w:rsidP="008E005B">
      <w:pPr>
        <w:pStyle w:val="Autor"/>
        <w:rPr>
          <w:i/>
          <w:iCs/>
          <w:lang w:eastAsia="es-ES"/>
        </w:rPr>
      </w:pPr>
      <w:r w:rsidRPr="008E005B">
        <w:rPr>
          <w:i/>
          <w:iCs/>
          <w:lang w:eastAsia="es-ES"/>
        </w:rPr>
        <w:t>Universidad de Los Hemisferios</w:t>
      </w:r>
    </w:p>
    <w:p w14:paraId="635B9C13" w14:textId="77777777" w:rsidR="008E005B" w:rsidRDefault="008E005B" w:rsidP="008E005B">
      <w:pPr>
        <w:pStyle w:val="Autor"/>
        <w:rPr>
          <w:lang w:eastAsia="es-ES"/>
        </w:rPr>
      </w:pPr>
      <w:r>
        <w:rPr>
          <w:lang w:eastAsia="es-ES"/>
        </w:rPr>
        <w:t>María Josefina Alcívar Avilés</w:t>
      </w:r>
    </w:p>
    <w:p w14:paraId="4C7F6902" w14:textId="77777777" w:rsidR="008E005B" w:rsidRPr="008E005B" w:rsidRDefault="008E005B" w:rsidP="008E005B">
      <w:pPr>
        <w:pStyle w:val="Autor"/>
        <w:rPr>
          <w:i/>
          <w:iCs/>
          <w:lang w:eastAsia="es-ES"/>
        </w:rPr>
      </w:pPr>
      <w:r w:rsidRPr="008E005B">
        <w:rPr>
          <w:i/>
          <w:iCs/>
          <w:lang w:eastAsia="es-ES"/>
        </w:rPr>
        <w:t>Universidad Católica de Santiago de Guayaquil</w:t>
      </w:r>
    </w:p>
    <w:p w14:paraId="4EEC3EFA" w14:textId="77777777" w:rsidR="008E005B" w:rsidRDefault="008E005B" w:rsidP="008E005B">
      <w:pPr>
        <w:pStyle w:val="Autor"/>
        <w:rPr>
          <w:lang w:eastAsia="es-ES"/>
        </w:rPr>
      </w:pPr>
      <w:r>
        <w:rPr>
          <w:lang w:eastAsia="es-ES"/>
        </w:rPr>
        <w:t>Roberto Leonardo Briones Jiménez</w:t>
      </w:r>
    </w:p>
    <w:p w14:paraId="5838E113" w14:textId="49BB6544" w:rsidR="008E005B" w:rsidRPr="008E005B" w:rsidRDefault="008E005B" w:rsidP="008E005B">
      <w:pPr>
        <w:pStyle w:val="Autor"/>
        <w:rPr>
          <w:i/>
          <w:iCs/>
          <w:lang w:eastAsia="es-ES"/>
        </w:rPr>
      </w:pPr>
      <w:r w:rsidRPr="008E005B">
        <w:rPr>
          <w:i/>
          <w:iCs/>
          <w:lang w:eastAsia="es-ES"/>
        </w:rPr>
        <w:t>Universidad Católica de Santiago de Guayaquil</w:t>
      </w:r>
    </w:p>
    <w:p w14:paraId="45F0C8E5" w14:textId="42231204" w:rsidR="009C0DFA" w:rsidRDefault="009C0DFA" w:rsidP="0015066B">
      <w:pPr>
        <w:pStyle w:val="Adscripcin"/>
      </w:pPr>
    </w:p>
    <w:p w14:paraId="6A02D415" w14:textId="49E3DF0D" w:rsidR="0015066B" w:rsidRDefault="0015066B" w:rsidP="0015066B">
      <w:pPr>
        <w:pStyle w:val="Adscripcin"/>
      </w:pPr>
      <w:r>
        <w:t xml:space="preserve"> </w:t>
      </w:r>
    </w:p>
    <w:p w14:paraId="7FB42A6F" w14:textId="50EB8770" w:rsidR="009C0DFA" w:rsidRPr="008E005B" w:rsidRDefault="00721EBE" w:rsidP="00C45F7D">
      <w:pPr>
        <w:pStyle w:val="Ttulo1"/>
      </w:pPr>
      <w:r w:rsidRPr="008E005B">
        <w:t xml:space="preserve">1. </w:t>
      </w:r>
      <w:r w:rsidR="008E005B" w:rsidRPr="008E005B">
        <w:t>Introducción</w:t>
      </w:r>
      <w:r w:rsidR="009C0DFA" w:rsidRPr="008E005B">
        <w:t xml:space="preserve"> </w:t>
      </w:r>
    </w:p>
    <w:p w14:paraId="1702DE86" w14:textId="77777777" w:rsidR="008E005B" w:rsidRPr="008E005B" w:rsidRDefault="008E005B" w:rsidP="008E005B">
      <w:r w:rsidRPr="008E005B">
        <w:t>El concepto de stakeholder, propuesto por Freeman hace casi medio siglo, ha sido objeto de diversas lecturas, interpretaciones y debates. A pesar de esto, mantiene una presencia sostenida en la conceptualización y en las prácticas de la comunicación organizacional, corporativa y estratégica, así como en los estudios sobre responsabilidad social corporativa o empresarial, reputación corporativa y sostenibilidad. Su vigencia revela la centralidad de los stakeholders o grupos de interés para comprender tanto la gestión de los intangibles organizacionales como los procesos de construcción de legitimidad y creación de valor.</w:t>
      </w:r>
    </w:p>
    <w:p w14:paraId="641F6EE7" w14:textId="77777777" w:rsidR="008E005B" w:rsidRPr="008E005B" w:rsidRDefault="008E005B" w:rsidP="008E005B">
      <w:r w:rsidRPr="008E005B">
        <w:t xml:space="preserve">La definición inicial de Freeman (1984), según la cual un stakeholder es cualquier grupo o individuo que puede afectar o ser afectado por el logro de los objetivos de una organización, reconoce el protagonismo </w:t>
      </w:r>
      <w:r w:rsidRPr="008E005B">
        <w:lastRenderedPageBreak/>
        <w:t>de sujetos y colectivos en la determinación del futuro empresarial. Desde esta perspectiva, los colaboradores, clientes, proveedores, comunidades, accionistas, instituciones públicas y otros públicos de relación no son receptores pasivos de decisiones corporativas: poseen intereses, capacidades de influencia y posibilidades de conceder, condicionar o retirar legitimidad.</w:t>
      </w:r>
    </w:p>
    <w:p w14:paraId="24EE84E9" w14:textId="77777777" w:rsidR="008E005B" w:rsidRPr="008E005B" w:rsidRDefault="008E005B" w:rsidP="008E005B">
      <w:r w:rsidRPr="008E005B">
        <w:t>Este concepto inicial se enriquece con Donaldson y Preston (1995), quienes incorporan dimensiones normativa, instrumental y descriptiva a la teoría de stakeholders, lo que supone  un desplazamiento relevante en la comprensión de la empresa; esta deja de concebirse exclusivamente como una entidad orientada a maximizar el valor para el accionista y pasa a entenderse como una red de relaciones con múltiples grupos de interés, cuyas expectativas legítimas deben ser reconocidas y atendidas. Tal enfoque resulta especialmente importante para valorar el papel de los actores de los procesos comunicativos y su incidencia en la construcción de activos intangibles, entre ellos la reputación corporativa.</w:t>
      </w:r>
    </w:p>
    <w:p w14:paraId="6D6DB52F" w14:textId="77777777" w:rsidR="008E005B" w:rsidRPr="008E005B" w:rsidRDefault="008E005B" w:rsidP="008E005B">
      <w:r w:rsidRPr="008E005B">
        <w:t>La evolución de la comunicación organizacional, por su parte, se mueve  desde enfoques mecánicos, que concebían a los trabajadores y públicos como partes funcionales de una maquinaria organizativa, hacia aproximaciones que reconocen su capacidad de interpretar, participar, cuestionar, negociar y coproducir significados. Las concepciones sistémicas y relacionales actuales asumen que la existencia y continuidad de las organizaciones dependen, en buena medida, de los sujetos y grupos con los que se interrelacionan, de los valores que comparten y de los sentidos que construyen colectivamente.</w:t>
      </w:r>
    </w:p>
    <w:p w14:paraId="24CCC469" w14:textId="77777777" w:rsidR="008E005B" w:rsidRPr="008E005B" w:rsidRDefault="008E005B" w:rsidP="008E005B">
      <w:r w:rsidRPr="008E005B">
        <w:t xml:space="preserve">La responsabilidad social corporativa o empresarial también ha evolucionado desde enfoques centrados en la legitimidad económica de la empresa, la filantropía o el deber moral, hacia perspectivas que subrayan la obligación de responder a las necesidades, derechos y expectativas de los stakeholders. A su vez, la sostenibilidad ha transitado desde la noción de desarrollo sostenible de carácter tridimensional —económico, social y ambiental— hacia aproximaciones sistémicas y socio </w:t>
      </w:r>
      <w:r w:rsidRPr="008E005B">
        <w:lastRenderedPageBreak/>
        <w:t>ecológicas que incorporan principios de equidad intra e intergeneracional, justicia social, respeto a la diversidad, reducción de la pobreza y uso racional de los recursos naturales.</w:t>
      </w:r>
    </w:p>
    <w:p w14:paraId="5E97BF31" w14:textId="77777777" w:rsidR="008E005B" w:rsidRPr="008E005B" w:rsidRDefault="008E005B" w:rsidP="008E005B">
      <w:r w:rsidRPr="008E005B">
        <w:t>En la convergencia de estos desarrollos conceptuales se advierte que los stakeholders no resultan simples destinatarios de programas, informes o narrativas corporativas; son interlocutores con capacidad de participar en procesos de decisión, demandar explicaciones, interpretar conductas, cuestionar discursos, producir y distribuir información, conceder o retirar legitimidad y coproducir valor. Sin embargo, pese a la abundante producción sobre cada constructo por separado, persiste una tendencia a estudiar relaciones diádicas  entre ellos, por ejemplo, RSC y reputación;  stakeholders y sostenibilidad, o stakeholders y comunicación, más que el sistema completo de interdependencias.</w:t>
      </w:r>
    </w:p>
    <w:p w14:paraId="7E8EACD7" w14:textId="77777777" w:rsidR="008E005B" w:rsidRPr="008E005B" w:rsidRDefault="008E005B" w:rsidP="008E005B">
      <w:r w:rsidRPr="008E005B">
        <w:t>El presente estudio intenta destacar las estrechas interrelaciones existente entre estos conceptos, mediante una revisión de lo publicado sobre ellos, entre 2010 y 2025, y una organización de la información obtenida en cuatro ejes temáticos sobre la base de dichas interrelaciones.</w:t>
      </w:r>
    </w:p>
    <w:p w14:paraId="74A4BA04" w14:textId="42899F7A" w:rsidR="008E005B" w:rsidRPr="008E005B" w:rsidRDefault="008E005B" w:rsidP="008E005B">
      <w:r w:rsidRPr="008E005B">
        <w:t>Los tres primeros examinan las relaciones entre: 1) comunicación organizacional y estratégica y teoría de stakeholders; 2) responsabilidad corporativa, reputación corporativa y teoría de stakeholders; y 3) sostenibilidad, reputación corporativa y teoría de stakeholders. El cuarto eje integra los hallazgos y propone una lectura sistémica y recursiva de las relaciones entre los constructos.</w:t>
      </w:r>
    </w:p>
    <w:p w14:paraId="5D8DC444" w14:textId="403D1FAE" w:rsidR="00607EE3" w:rsidRDefault="00607EE3" w:rsidP="00607EE3">
      <w:pPr>
        <w:pStyle w:val="Ttulo1"/>
      </w:pPr>
      <w:r>
        <w:t>2. Objetivo</w:t>
      </w:r>
      <w:r w:rsidR="008E005B">
        <w:t xml:space="preserve"> general</w:t>
      </w:r>
    </w:p>
    <w:p w14:paraId="3D1356A6" w14:textId="315C002C" w:rsidR="008E005B" w:rsidRDefault="008E005B" w:rsidP="008E005B">
      <w:r w:rsidRPr="008E005B">
        <w:t>Analizar cómo la teoría de stakeholders puede servir como articulación de las relaciones entre la comunicación organizacional y estratégica, la responsabilidad corporativa, la sostenibilidad y la reputación corporativa, tomando como base para ello una revisión bibliográfica sistemática organizada en cuatro ejes temáticos</w:t>
      </w:r>
    </w:p>
    <w:p w14:paraId="2708A763" w14:textId="4D768474" w:rsidR="005A43E3" w:rsidRPr="005A43E3" w:rsidRDefault="005A43E3" w:rsidP="005A43E3">
      <w:pPr>
        <w:pStyle w:val="Ttulo1"/>
      </w:pPr>
      <w:r>
        <w:lastRenderedPageBreak/>
        <w:t>3. Metodología</w:t>
      </w:r>
    </w:p>
    <w:p w14:paraId="00F18EFA" w14:textId="77777777" w:rsidR="0037727A" w:rsidRDefault="0037727A" w:rsidP="0037727A">
      <w:r>
        <w:t>El estudio es teórico, con enfoque cualitativo, y utiliza el método de revisión bibliográfica sistemática, complementado con una revisión narrativa de las fuentes seleccionadas. El proceso combinó el juicio experto de los autores con el apoyo de herramientas de inteligencia artificial empleadas como asistencia analítica bajo supervisión humana continua.</w:t>
      </w:r>
    </w:p>
    <w:p w14:paraId="4E06B3DC" w14:textId="77777777" w:rsidR="0037727A" w:rsidRDefault="0037727A" w:rsidP="0037727A">
      <w:r>
        <w:t>La revisión se diseñó conforme a los principios de la declaración PRISMA 2020 (Page et al., 2021). Se empleó Perplexity como herramienta de apoyo para la organización y procesamiento del corpus  de 59 artículos científicos publicados entre 2010 y 2025 e indexados en Scopus, Web of Science y SciELO. De manera complementaria, se consideraron fuentes procedentes de repositorios iberoamericanos y sitios de revistas de reconocida trayectoria, cuando contribuían a contextualizar los debates en América Latina.</w:t>
      </w:r>
    </w:p>
    <w:p w14:paraId="722ECABF" w14:textId="77777777" w:rsidR="0037727A" w:rsidRDefault="0037727A" w:rsidP="0037727A">
      <w:r>
        <w:t>También se realizó un análisis bibliométrico complementario, consistente en el cálculo de frecuencias de términos, la construcción de una matriz de coocurrencia y la generación de visualizaciones de red y nube de conceptos mediante las librerías NetworkX, python-louvain, WordCloud y Matplotlib en lenguaje Python. Las frecuencias presentadas representan la presencia conceptual de los términos en el corpus seleccionado y no un recuento directo de campos indexados exportados desde las bases de datos. El propósito del ejercicio fue cartografiar la estructura temática y relacional de la literatura revisada.</w:t>
      </w:r>
    </w:p>
    <w:p w14:paraId="0825062A" w14:textId="77777777" w:rsidR="0037727A" w:rsidRDefault="0037727A" w:rsidP="0037727A">
      <w:r>
        <w:t>Las decisiones relativas a la conceptualización del estudio, la formulación de los ejes, la selección y validación del corpus, la interpretación de resultados y la elaboración final del texto correspondieron a los autores. Los registros fueron contrastados con información disponible en Crossref, y se revisaron, editaron y validaron los contenidos producidos con apoyo de IA. Los autores asumen plena responsabilidad por la exactitud, integridad y originalidad del trabajo.</w:t>
      </w:r>
    </w:p>
    <w:p w14:paraId="0F6A27A4" w14:textId="77777777" w:rsidR="0037727A" w:rsidRDefault="0037727A" w:rsidP="0037727A">
      <w:r>
        <w:t xml:space="preserve">La búsqueda se realizó en título, resumen y palabras clave mediante combinaciones de términos en español, inglés y portugués. Entre las </w:t>
      </w:r>
      <w:r>
        <w:lastRenderedPageBreak/>
        <w:t>expresiones empleadas se incluyeron: “stakeholder theory”, “teoría de stakeholders”, “organizational communication”, “corporate communication”, “strategic communication”, “comunicación organizacional”, “comunicación corporativa”, “comunicación estratégica”, “corporate social responsibility”, “responsabilidad social corporativa”, “responsabilidad social empresarial”, “corporate reputation”, “reputación corporativa”, “sustainability”, “sostenibilidad”, “dialogue”, “transparency”, “reporting”, “engagement”, “divulgación” y “rendición de cuentas”. Los términos se combinaron mediante operadores booleanos de acuerdo con los criterios de cada base de datos.</w:t>
      </w:r>
    </w:p>
    <w:p w14:paraId="767F82C3" w14:textId="77777777" w:rsidR="0037727A" w:rsidRDefault="0037727A" w:rsidP="0037727A">
      <w:r>
        <w:t>Se incluyeron: a) artículos científicos revisados por pares, publicados entre 2010 y 2025; b) investigaciones indexadas en Scopus, Web of Science o SciELO, así como fuentes iberoamericanas de reconocida trayectoria incorporadas de forma complementaria; c) estudios que abordaran explícitamente al menos una relación entre teoría de stakeholders, comunicación, responsabilidad corporativa, sostenibilidad y reputación; y d) trabajos publicados en español, inglés o portugués. Se excluyeron documentos sin revisión por pares, estudios fuera de la ventana temporal, registros cuya información bibliográfica no pudo verificarse y un artículo retractado identificado durante la verificación.</w:t>
      </w:r>
    </w:p>
    <w:p w14:paraId="0702B04E" w14:textId="14C857EC" w:rsidR="0037727A" w:rsidRDefault="0037727A" w:rsidP="0037727A">
      <w:r>
        <w:t>Tras las etapas de identificación, depuración, revisión y selección, se incluyeron 59 artículos únicos. Para el análisis cualitativo, los textos se reorganizaron en cuatro ejes temáticos. Dado el carácter relacional de los constructos, algunos estudios aportan evidencia a más de un eje; su ubicación responde al problema analítico predominante y no pretende afirmar exclusividad conceptual.</w:t>
      </w:r>
    </w:p>
    <w:p w14:paraId="37133D46" w14:textId="77777777" w:rsidR="0037727A" w:rsidRDefault="0037727A" w:rsidP="005A43E3"/>
    <w:p w14:paraId="602C56E4" w14:textId="77777777" w:rsidR="0037727A" w:rsidRDefault="0037727A" w:rsidP="005A43E3"/>
    <w:p w14:paraId="5F11E0EE" w14:textId="77777777" w:rsidR="0037727A" w:rsidRDefault="0037727A" w:rsidP="005A43E3"/>
    <w:p w14:paraId="268571F9" w14:textId="77777777" w:rsidR="0037727A" w:rsidRDefault="0037727A" w:rsidP="005A43E3"/>
    <w:p w14:paraId="004D3575" w14:textId="77777777" w:rsidR="0037727A" w:rsidRDefault="0037727A" w:rsidP="005A43E3"/>
    <w:p w14:paraId="3B5327FA" w14:textId="77777777" w:rsidR="0037727A" w:rsidRDefault="0037727A" w:rsidP="005A43E3"/>
    <w:p w14:paraId="038A6948" w14:textId="77777777" w:rsidR="0037727A" w:rsidRDefault="0037727A" w:rsidP="005A43E3"/>
    <w:p w14:paraId="3B285B05" w14:textId="77777777" w:rsidR="0037727A" w:rsidRDefault="0037727A" w:rsidP="005A43E3"/>
    <w:p w14:paraId="167D08C6" w14:textId="77777777" w:rsidR="0037727A" w:rsidRDefault="0037727A" w:rsidP="005A43E3"/>
    <w:p w14:paraId="36BEC3A3" w14:textId="77777777" w:rsidR="0037727A" w:rsidRDefault="0037727A" w:rsidP="005A43E3"/>
    <w:p w14:paraId="5D5354EA" w14:textId="55C66287" w:rsidR="0037727A" w:rsidRDefault="0037727A" w:rsidP="005A43E3">
      <w:r w:rsidRPr="0037727A">
        <w:t>Tabla 1. Características generales del corpus y organización temática</w:t>
      </w:r>
    </w:p>
    <w:p w14:paraId="10918EE3" w14:textId="40CC22F6" w:rsidR="005A43E3" w:rsidRDefault="005A43E3" w:rsidP="00C45F7D"/>
    <w:tbl>
      <w:tblPr>
        <w:tblStyle w:val="Tablaconcuadrcula4-nfasis1"/>
        <w:tblW w:w="6911" w:type="dxa"/>
        <w:tblLook w:val="04A0" w:firstRow="1" w:lastRow="0" w:firstColumn="1" w:lastColumn="0" w:noHBand="0" w:noVBand="1"/>
      </w:tblPr>
      <w:tblGrid>
        <w:gridCol w:w="1555"/>
        <w:gridCol w:w="2385"/>
        <w:gridCol w:w="2971"/>
      </w:tblGrid>
      <w:tr w:rsidR="0037727A" w:rsidRPr="0037727A" w14:paraId="0EE79A78" w14:textId="77777777" w:rsidTr="0037727A">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555" w:type="dxa"/>
          </w:tcPr>
          <w:p w14:paraId="26F382C3" w14:textId="77777777" w:rsidR="0037727A" w:rsidRPr="0037727A" w:rsidRDefault="0037727A" w:rsidP="004315BB">
            <w:pPr>
              <w:rPr>
                <w:rFonts w:ascii="Arial Narrow" w:hAnsi="Arial Narrow" w:cs="Times New Roman"/>
                <w:sz w:val="20"/>
                <w:szCs w:val="20"/>
              </w:rPr>
            </w:pPr>
            <w:r w:rsidRPr="0037727A">
              <w:rPr>
                <w:rFonts w:ascii="Arial Narrow" w:eastAsia="source sans 3" w:hAnsi="Arial Narrow" w:cs="Times New Roman"/>
                <w:sz w:val="20"/>
                <w:szCs w:val="20"/>
              </w:rPr>
              <w:t>Parámetro</w:t>
            </w:r>
          </w:p>
        </w:tc>
        <w:tc>
          <w:tcPr>
            <w:tcW w:w="2385" w:type="dxa"/>
          </w:tcPr>
          <w:p w14:paraId="66EC38D2" w14:textId="77777777" w:rsidR="0037727A" w:rsidRPr="0037727A" w:rsidRDefault="0037727A" w:rsidP="004315BB">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sz w:val="20"/>
                <w:szCs w:val="20"/>
              </w:rPr>
              <w:t>Detalle</w:t>
            </w:r>
          </w:p>
        </w:tc>
        <w:tc>
          <w:tcPr>
            <w:tcW w:w="0" w:type="auto"/>
          </w:tcPr>
          <w:p w14:paraId="0F4CC328" w14:textId="77777777" w:rsidR="0037727A" w:rsidRPr="0037727A" w:rsidRDefault="0037727A" w:rsidP="004315BB">
            <w:pPr>
              <w:cnfStyle w:val="100000000000" w:firstRow="1"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sz w:val="20"/>
                <w:szCs w:val="20"/>
              </w:rPr>
              <w:t>Observación</w:t>
            </w:r>
          </w:p>
        </w:tc>
      </w:tr>
      <w:tr w:rsidR="0037727A" w:rsidRPr="0037727A" w14:paraId="4D1EFC4E" w14:textId="77777777" w:rsidTr="0037727A">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55" w:type="dxa"/>
          </w:tcPr>
          <w:p w14:paraId="68605A91" w14:textId="77777777" w:rsidR="0037727A" w:rsidRPr="0037727A" w:rsidRDefault="0037727A" w:rsidP="004315BB">
            <w:pPr>
              <w:rPr>
                <w:rFonts w:ascii="Arial Narrow" w:eastAsia="source sans 3" w:hAnsi="Arial Narrow" w:cs="Times New Roman"/>
                <w:b w:val="0"/>
                <w:bCs w:val="0"/>
                <w:color w:val="000000"/>
                <w:sz w:val="20"/>
                <w:szCs w:val="20"/>
              </w:rPr>
            </w:pPr>
            <w:r w:rsidRPr="0037727A">
              <w:rPr>
                <w:rFonts w:ascii="Arial Narrow" w:eastAsia="source sans 3" w:hAnsi="Arial Narrow" w:cs="Times New Roman"/>
                <w:color w:val="000000"/>
                <w:sz w:val="20"/>
                <w:szCs w:val="20"/>
              </w:rPr>
              <w:t xml:space="preserve">Ventana </w:t>
            </w:r>
          </w:p>
          <w:p w14:paraId="661DA543" w14:textId="6D7CD0BA" w:rsidR="0037727A" w:rsidRPr="0037727A" w:rsidRDefault="0037727A" w:rsidP="004315BB">
            <w:pPr>
              <w:rPr>
                <w:rFonts w:ascii="Arial Narrow" w:hAnsi="Arial Narrow" w:cs="Times New Roman"/>
                <w:sz w:val="20"/>
                <w:szCs w:val="20"/>
              </w:rPr>
            </w:pPr>
            <w:r w:rsidRPr="0037727A">
              <w:rPr>
                <w:rFonts w:ascii="Arial Narrow" w:eastAsia="source sans 3" w:hAnsi="Arial Narrow" w:cs="Times New Roman"/>
                <w:color w:val="000000"/>
                <w:sz w:val="20"/>
                <w:szCs w:val="20"/>
              </w:rPr>
              <w:t>temporal</w:t>
            </w:r>
          </w:p>
        </w:tc>
        <w:tc>
          <w:tcPr>
            <w:tcW w:w="2385" w:type="dxa"/>
          </w:tcPr>
          <w:p w14:paraId="1A59F9F9" w14:textId="77777777" w:rsidR="0037727A" w:rsidRPr="0037727A" w:rsidRDefault="0037727A" w:rsidP="004315BB">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2010–2025</w:t>
            </w:r>
          </w:p>
        </w:tc>
        <w:tc>
          <w:tcPr>
            <w:tcW w:w="0" w:type="auto"/>
          </w:tcPr>
          <w:p w14:paraId="08D777E3" w14:textId="77777777" w:rsidR="0037727A" w:rsidRPr="0037727A" w:rsidRDefault="0037727A" w:rsidP="004315BB">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Cobertura de 16 años</w:t>
            </w:r>
          </w:p>
        </w:tc>
      </w:tr>
      <w:tr w:rsidR="0037727A" w:rsidRPr="0037727A" w14:paraId="3580C594" w14:textId="77777777" w:rsidTr="0037727A">
        <w:trPr>
          <w:trHeight w:val="409"/>
        </w:trPr>
        <w:tc>
          <w:tcPr>
            <w:cnfStyle w:val="001000000000" w:firstRow="0" w:lastRow="0" w:firstColumn="1" w:lastColumn="0" w:oddVBand="0" w:evenVBand="0" w:oddHBand="0" w:evenHBand="0" w:firstRowFirstColumn="0" w:firstRowLastColumn="0" w:lastRowFirstColumn="0" w:lastRowLastColumn="0"/>
            <w:tcW w:w="1555" w:type="dxa"/>
          </w:tcPr>
          <w:p w14:paraId="56F46E47" w14:textId="77777777" w:rsidR="0037727A" w:rsidRPr="0037727A" w:rsidRDefault="0037727A" w:rsidP="004315BB">
            <w:pPr>
              <w:rPr>
                <w:rFonts w:ascii="Arial Narrow" w:eastAsia="source sans 3" w:hAnsi="Arial Narrow" w:cs="Times New Roman"/>
                <w:color w:val="000000"/>
                <w:sz w:val="20"/>
                <w:szCs w:val="20"/>
              </w:rPr>
            </w:pPr>
            <w:r w:rsidRPr="0037727A">
              <w:rPr>
                <w:rFonts w:ascii="Arial Narrow" w:eastAsia="source sans 3" w:hAnsi="Arial Narrow" w:cs="Times New Roman"/>
                <w:color w:val="000000"/>
                <w:sz w:val="20"/>
                <w:szCs w:val="20"/>
              </w:rPr>
              <w:t>Bases</w:t>
            </w:r>
          </w:p>
          <w:p w14:paraId="38C2290F" w14:textId="537F5533" w:rsidR="0037727A" w:rsidRPr="0037727A" w:rsidRDefault="0037727A" w:rsidP="004315BB">
            <w:pPr>
              <w:rPr>
                <w:rFonts w:ascii="Arial Narrow" w:hAnsi="Arial Narrow" w:cs="Times New Roman"/>
                <w:sz w:val="20"/>
                <w:szCs w:val="20"/>
              </w:rPr>
            </w:pPr>
            <w:r w:rsidRPr="0037727A">
              <w:rPr>
                <w:rFonts w:ascii="Arial Narrow" w:eastAsia="source sans 3" w:hAnsi="Arial Narrow" w:cs="Times New Roman"/>
                <w:color w:val="000000"/>
                <w:sz w:val="20"/>
                <w:szCs w:val="20"/>
              </w:rPr>
              <w:t xml:space="preserve"> principales</w:t>
            </w:r>
          </w:p>
        </w:tc>
        <w:tc>
          <w:tcPr>
            <w:tcW w:w="2385" w:type="dxa"/>
          </w:tcPr>
          <w:p w14:paraId="0BADED6F" w14:textId="77777777" w:rsidR="0037727A" w:rsidRPr="0037727A" w:rsidRDefault="0037727A" w:rsidP="004315BB">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Scopus, Web of Science y SciELO</w:t>
            </w:r>
          </w:p>
        </w:tc>
        <w:tc>
          <w:tcPr>
            <w:tcW w:w="0" w:type="auto"/>
          </w:tcPr>
          <w:p w14:paraId="2A7A6BA8" w14:textId="77777777" w:rsidR="0037727A" w:rsidRPr="0037727A" w:rsidRDefault="0037727A" w:rsidP="004315BB">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Complementadas con fuentes iberoamericanas pertinentes</w:t>
            </w:r>
          </w:p>
        </w:tc>
      </w:tr>
      <w:tr w:rsidR="0037727A" w:rsidRPr="0037727A" w14:paraId="15A21AB9" w14:textId="77777777" w:rsidTr="0037727A">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55" w:type="dxa"/>
          </w:tcPr>
          <w:p w14:paraId="2828856D" w14:textId="3FB5BEA0" w:rsidR="0037727A" w:rsidRPr="0037727A" w:rsidRDefault="0037727A" w:rsidP="004315BB">
            <w:pPr>
              <w:rPr>
                <w:rFonts w:ascii="Arial Narrow" w:eastAsia="source sans 3" w:hAnsi="Arial Narrow" w:cs="Times New Roman"/>
                <w:b w:val="0"/>
                <w:bCs w:val="0"/>
                <w:color w:val="000000"/>
                <w:sz w:val="20"/>
                <w:szCs w:val="20"/>
              </w:rPr>
            </w:pPr>
            <w:r w:rsidRPr="0037727A">
              <w:rPr>
                <w:rFonts w:ascii="Arial Narrow" w:eastAsia="source sans 3" w:hAnsi="Arial Narrow" w:cs="Times New Roman"/>
                <w:color w:val="000000"/>
                <w:sz w:val="20"/>
                <w:szCs w:val="20"/>
              </w:rPr>
              <w:t>Estudios incluidos</w:t>
            </w:r>
          </w:p>
        </w:tc>
        <w:tc>
          <w:tcPr>
            <w:tcW w:w="2385" w:type="dxa"/>
          </w:tcPr>
          <w:p w14:paraId="35936517" w14:textId="77777777" w:rsidR="0037727A" w:rsidRPr="0037727A" w:rsidRDefault="0037727A" w:rsidP="004315BB">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59 artículos verificados</w:t>
            </w:r>
          </w:p>
        </w:tc>
        <w:tc>
          <w:tcPr>
            <w:tcW w:w="0" w:type="auto"/>
          </w:tcPr>
          <w:p w14:paraId="7299E98F" w14:textId="77777777" w:rsidR="0037727A" w:rsidRPr="0037727A" w:rsidRDefault="0037727A" w:rsidP="004315BB">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Corpus curado y validado</w:t>
            </w:r>
          </w:p>
        </w:tc>
      </w:tr>
      <w:tr w:rsidR="0037727A" w:rsidRPr="0037727A" w14:paraId="0EA966A8" w14:textId="77777777" w:rsidTr="0037727A">
        <w:trPr>
          <w:trHeight w:val="409"/>
        </w:trPr>
        <w:tc>
          <w:tcPr>
            <w:cnfStyle w:val="001000000000" w:firstRow="0" w:lastRow="0" w:firstColumn="1" w:lastColumn="0" w:oddVBand="0" w:evenVBand="0" w:oddHBand="0" w:evenHBand="0" w:firstRowFirstColumn="0" w:firstRowLastColumn="0" w:lastRowFirstColumn="0" w:lastRowLastColumn="0"/>
            <w:tcW w:w="1555" w:type="dxa"/>
          </w:tcPr>
          <w:p w14:paraId="091A2875" w14:textId="77777777" w:rsidR="0037727A" w:rsidRPr="0037727A" w:rsidRDefault="0037727A" w:rsidP="004315BB">
            <w:pPr>
              <w:rPr>
                <w:rFonts w:ascii="Arial Narrow" w:eastAsia="source sans 3" w:hAnsi="Arial Narrow" w:cs="Times New Roman"/>
                <w:b w:val="0"/>
                <w:bCs w:val="0"/>
                <w:color w:val="000000"/>
                <w:sz w:val="20"/>
                <w:szCs w:val="20"/>
              </w:rPr>
            </w:pPr>
          </w:p>
          <w:p w14:paraId="4B8EB7D7" w14:textId="77777777" w:rsidR="0037727A" w:rsidRPr="0037727A" w:rsidRDefault="0037727A" w:rsidP="004315BB">
            <w:pPr>
              <w:rPr>
                <w:rFonts w:ascii="Arial Narrow" w:hAnsi="Arial Narrow" w:cs="Times New Roman"/>
                <w:sz w:val="20"/>
                <w:szCs w:val="20"/>
              </w:rPr>
            </w:pPr>
            <w:r w:rsidRPr="0037727A">
              <w:rPr>
                <w:rFonts w:ascii="Arial Narrow" w:eastAsia="source sans 3" w:hAnsi="Arial Narrow" w:cs="Times New Roman"/>
                <w:color w:val="000000"/>
                <w:sz w:val="20"/>
                <w:szCs w:val="20"/>
              </w:rPr>
              <w:t>Eje 1</w:t>
            </w:r>
          </w:p>
        </w:tc>
        <w:tc>
          <w:tcPr>
            <w:tcW w:w="2385" w:type="dxa"/>
          </w:tcPr>
          <w:p w14:paraId="3D2F9ACF" w14:textId="77777777" w:rsidR="0037727A" w:rsidRPr="0037727A" w:rsidRDefault="0037727A" w:rsidP="004315BB">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Comunicación organizacional y estratégica y teoría de stakeholders</w:t>
            </w:r>
          </w:p>
        </w:tc>
        <w:tc>
          <w:tcPr>
            <w:tcW w:w="0" w:type="auto"/>
          </w:tcPr>
          <w:p w14:paraId="6652B9A9" w14:textId="77777777" w:rsidR="0037727A" w:rsidRPr="0037727A" w:rsidRDefault="0037727A" w:rsidP="004315BB">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Comunicación, diálogo, participación, engagement, transparencia y respuesta</w:t>
            </w:r>
          </w:p>
        </w:tc>
      </w:tr>
      <w:tr w:rsidR="0037727A" w:rsidRPr="0037727A" w14:paraId="04A9622F" w14:textId="77777777" w:rsidTr="0037727A">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555" w:type="dxa"/>
          </w:tcPr>
          <w:p w14:paraId="13D401D7" w14:textId="77777777" w:rsidR="0037727A" w:rsidRPr="0037727A" w:rsidRDefault="0037727A" w:rsidP="004315BB">
            <w:pPr>
              <w:rPr>
                <w:rFonts w:ascii="Arial Narrow" w:eastAsia="source sans 3" w:hAnsi="Arial Narrow" w:cs="Times New Roman"/>
                <w:b w:val="0"/>
                <w:bCs w:val="0"/>
                <w:color w:val="000000"/>
                <w:sz w:val="20"/>
                <w:szCs w:val="20"/>
              </w:rPr>
            </w:pPr>
          </w:p>
          <w:p w14:paraId="47576188" w14:textId="77777777" w:rsidR="0037727A" w:rsidRPr="0037727A" w:rsidRDefault="0037727A" w:rsidP="004315BB">
            <w:pPr>
              <w:rPr>
                <w:rFonts w:ascii="Arial Narrow" w:hAnsi="Arial Narrow" w:cs="Times New Roman"/>
                <w:sz w:val="20"/>
                <w:szCs w:val="20"/>
              </w:rPr>
            </w:pPr>
            <w:r w:rsidRPr="0037727A">
              <w:rPr>
                <w:rFonts w:ascii="Arial Narrow" w:eastAsia="source sans 3" w:hAnsi="Arial Narrow" w:cs="Times New Roman"/>
                <w:color w:val="000000"/>
                <w:sz w:val="20"/>
                <w:szCs w:val="20"/>
              </w:rPr>
              <w:t>Eje 2</w:t>
            </w:r>
          </w:p>
        </w:tc>
        <w:tc>
          <w:tcPr>
            <w:tcW w:w="2385" w:type="dxa"/>
          </w:tcPr>
          <w:p w14:paraId="7E4582BB" w14:textId="77777777" w:rsidR="0037727A" w:rsidRPr="0037727A" w:rsidRDefault="0037727A" w:rsidP="004315BB">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Responsabilidad corporativa, reputación corporativa y teoría de stakeholders</w:t>
            </w:r>
          </w:p>
        </w:tc>
        <w:tc>
          <w:tcPr>
            <w:tcW w:w="0" w:type="auto"/>
          </w:tcPr>
          <w:p w14:paraId="4BB54874" w14:textId="77777777" w:rsidR="0037727A" w:rsidRPr="0037727A" w:rsidRDefault="0037727A" w:rsidP="004315BB">
            <w:pPr>
              <w:cnfStyle w:val="000000100000" w:firstRow="0" w:lastRow="0" w:firstColumn="0" w:lastColumn="0" w:oddVBand="0" w:evenVBand="0" w:oddHBand="1"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RSC/RSE, valor para stakeholders, confianza, legitimidad y reputación</w:t>
            </w:r>
          </w:p>
        </w:tc>
      </w:tr>
      <w:tr w:rsidR="0037727A" w:rsidRPr="0037727A" w14:paraId="67E3FC82" w14:textId="77777777" w:rsidTr="0037727A">
        <w:trPr>
          <w:trHeight w:val="409"/>
        </w:trPr>
        <w:tc>
          <w:tcPr>
            <w:cnfStyle w:val="001000000000" w:firstRow="0" w:lastRow="0" w:firstColumn="1" w:lastColumn="0" w:oddVBand="0" w:evenVBand="0" w:oddHBand="0" w:evenHBand="0" w:firstRowFirstColumn="0" w:firstRowLastColumn="0" w:lastRowFirstColumn="0" w:lastRowLastColumn="0"/>
            <w:tcW w:w="1555" w:type="dxa"/>
          </w:tcPr>
          <w:p w14:paraId="712868F5" w14:textId="77777777" w:rsidR="0037727A" w:rsidRPr="0037727A" w:rsidRDefault="0037727A" w:rsidP="004315BB">
            <w:pPr>
              <w:rPr>
                <w:rFonts w:ascii="Arial Narrow" w:eastAsia="source sans 3" w:hAnsi="Arial Narrow" w:cs="Times New Roman"/>
                <w:b w:val="0"/>
                <w:bCs w:val="0"/>
                <w:color w:val="000000"/>
                <w:sz w:val="20"/>
                <w:szCs w:val="20"/>
              </w:rPr>
            </w:pPr>
          </w:p>
          <w:p w14:paraId="364F6E93" w14:textId="77777777" w:rsidR="0037727A" w:rsidRPr="0037727A" w:rsidRDefault="0037727A" w:rsidP="004315BB">
            <w:pPr>
              <w:rPr>
                <w:rFonts w:ascii="Arial Narrow" w:hAnsi="Arial Narrow" w:cs="Times New Roman"/>
                <w:sz w:val="20"/>
                <w:szCs w:val="20"/>
              </w:rPr>
            </w:pPr>
            <w:r w:rsidRPr="0037727A">
              <w:rPr>
                <w:rFonts w:ascii="Arial Narrow" w:eastAsia="source sans 3" w:hAnsi="Arial Narrow" w:cs="Times New Roman"/>
                <w:color w:val="000000"/>
                <w:sz w:val="20"/>
                <w:szCs w:val="20"/>
              </w:rPr>
              <w:t>Eje 3</w:t>
            </w:r>
          </w:p>
        </w:tc>
        <w:tc>
          <w:tcPr>
            <w:tcW w:w="2385" w:type="dxa"/>
          </w:tcPr>
          <w:p w14:paraId="2051C2B7" w14:textId="77777777" w:rsidR="0037727A" w:rsidRPr="0037727A" w:rsidRDefault="0037727A" w:rsidP="004315BB">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Sostenibilidad, reputación corporativa y teoría de stakeholders</w:t>
            </w:r>
          </w:p>
        </w:tc>
        <w:tc>
          <w:tcPr>
            <w:tcW w:w="0" w:type="auto"/>
          </w:tcPr>
          <w:p w14:paraId="7BA79AA1" w14:textId="77777777" w:rsidR="0037727A" w:rsidRPr="0037727A" w:rsidRDefault="0037727A" w:rsidP="004315BB">
            <w:pPr>
              <w:cnfStyle w:val="000000000000" w:firstRow="0" w:lastRow="0" w:firstColumn="0" w:lastColumn="0" w:oddVBand="0" w:evenVBand="0" w:oddHBand="0" w:evenHBand="0" w:firstRowFirstColumn="0" w:firstRowLastColumn="0" w:lastRowFirstColumn="0" w:lastRowLastColumn="0"/>
              <w:rPr>
                <w:rFonts w:ascii="Arial Narrow" w:hAnsi="Arial Narrow" w:cs="Times New Roman"/>
                <w:sz w:val="20"/>
                <w:szCs w:val="20"/>
              </w:rPr>
            </w:pPr>
            <w:r w:rsidRPr="0037727A">
              <w:rPr>
                <w:rFonts w:ascii="Arial Narrow" w:eastAsia="source sans 3" w:hAnsi="Arial Narrow" w:cs="Times New Roman"/>
                <w:color w:val="000000"/>
                <w:sz w:val="20"/>
                <w:szCs w:val="20"/>
              </w:rPr>
              <w:t>Sostenibilidad, ESG, reporting, creación de valor sostenible y reputación</w:t>
            </w:r>
          </w:p>
        </w:tc>
      </w:tr>
      <w:tr w:rsidR="0037727A" w:rsidRPr="0037727A" w14:paraId="7EECB9ED" w14:textId="77777777" w:rsidTr="0037727A">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1555" w:type="dxa"/>
          </w:tcPr>
          <w:p w14:paraId="305B0854" w14:textId="77777777" w:rsidR="0037727A" w:rsidRPr="0037727A" w:rsidRDefault="0037727A" w:rsidP="004315BB">
            <w:pPr>
              <w:rPr>
                <w:rFonts w:ascii="Arial Narrow" w:eastAsia="source sans 3" w:hAnsi="Arial Narrow" w:cs="Times New Roman"/>
                <w:b w:val="0"/>
                <w:bCs w:val="0"/>
                <w:color w:val="000000"/>
                <w:sz w:val="20"/>
                <w:szCs w:val="20"/>
              </w:rPr>
            </w:pPr>
          </w:p>
          <w:p w14:paraId="2F5B5715" w14:textId="77777777" w:rsidR="0037727A" w:rsidRPr="0037727A" w:rsidRDefault="0037727A" w:rsidP="004315BB">
            <w:pPr>
              <w:rPr>
                <w:rFonts w:ascii="Arial Narrow" w:eastAsia="source sans 3" w:hAnsi="Arial Narrow" w:cs="Times New Roman"/>
                <w:color w:val="000000"/>
                <w:sz w:val="20"/>
                <w:szCs w:val="20"/>
              </w:rPr>
            </w:pPr>
            <w:r w:rsidRPr="0037727A">
              <w:rPr>
                <w:rFonts w:ascii="Arial Narrow" w:eastAsia="source sans 3" w:hAnsi="Arial Narrow" w:cs="Times New Roman"/>
                <w:color w:val="000000"/>
                <w:sz w:val="20"/>
                <w:szCs w:val="20"/>
              </w:rPr>
              <w:t>Eje 4</w:t>
            </w:r>
          </w:p>
        </w:tc>
        <w:tc>
          <w:tcPr>
            <w:tcW w:w="2385" w:type="dxa"/>
          </w:tcPr>
          <w:p w14:paraId="5E288EED" w14:textId="77777777" w:rsidR="0037727A" w:rsidRPr="0037727A" w:rsidRDefault="0037727A" w:rsidP="004315BB">
            <w:pPr>
              <w:cnfStyle w:val="000000100000" w:firstRow="0" w:lastRow="0" w:firstColumn="0" w:lastColumn="0" w:oddVBand="0" w:evenVBand="0" w:oddHBand="1" w:evenHBand="0" w:firstRowFirstColumn="0" w:firstRowLastColumn="0" w:lastRowFirstColumn="0" w:lastRowLastColumn="0"/>
              <w:rPr>
                <w:rFonts w:ascii="Arial Narrow" w:eastAsia="source sans 3" w:hAnsi="Arial Narrow" w:cs="Times New Roman"/>
                <w:color w:val="000000"/>
                <w:sz w:val="20"/>
                <w:szCs w:val="20"/>
              </w:rPr>
            </w:pPr>
            <w:r w:rsidRPr="0037727A">
              <w:rPr>
                <w:rFonts w:ascii="Arial Narrow" w:eastAsia="source sans 3" w:hAnsi="Arial Narrow" w:cs="Times New Roman"/>
                <w:color w:val="000000"/>
                <w:sz w:val="20"/>
                <w:szCs w:val="20"/>
              </w:rPr>
              <w:t>Integrador de los ejes 1, 2 y 3</w:t>
            </w:r>
          </w:p>
        </w:tc>
        <w:tc>
          <w:tcPr>
            <w:tcW w:w="0" w:type="auto"/>
          </w:tcPr>
          <w:p w14:paraId="5500132E" w14:textId="77777777" w:rsidR="0037727A" w:rsidRPr="0037727A" w:rsidRDefault="0037727A" w:rsidP="004315BB">
            <w:pPr>
              <w:cnfStyle w:val="000000100000" w:firstRow="0" w:lastRow="0" w:firstColumn="0" w:lastColumn="0" w:oddVBand="0" w:evenVBand="0" w:oddHBand="1" w:evenHBand="0" w:firstRowFirstColumn="0" w:firstRowLastColumn="0" w:lastRowFirstColumn="0" w:lastRowLastColumn="0"/>
              <w:rPr>
                <w:rFonts w:ascii="Arial Narrow" w:eastAsia="source sans 3" w:hAnsi="Arial Narrow" w:cs="Times New Roman"/>
                <w:color w:val="000000"/>
                <w:sz w:val="20"/>
                <w:szCs w:val="20"/>
              </w:rPr>
            </w:pPr>
            <w:r w:rsidRPr="0037727A">
              <w:rPr>
                <w:rFonts w:ascii="Arial Narrow" w:eastAsia="source sans 3" w:hAnsi="Arial Narrow" w:cs="Times New Roman"/>
                <w:color w:val="000000"/>
                <w:sz w:val="20"/>
                <w:szCs w:val="20"/>
              </w:rPr>
              <w:t>Enfoque sistémico de interrelaciones,  mediaciones y retroalimentación</w:t>
            </w:r>
          </w:p>
        </w:tc>
      </w:tr>
    </w:tbl>
    <w:p w14:paraId="249140EE" w14:textId="77777777" w:rsidR="0037727A" w:rsidRPr="00DE62CE" w:rsidRDefault="0037727A" w:rsidP="0037727A">
      <w:pPr>
        <w:rPr>
          <w:rFonts w:ascii="Arial Narrow" w:hAnsi="Arial Narrow"/>
          <w:sz w:val="22"/>
        </w:rPr>
      </w:pPr>
      <w:r>
        <w:t>(</w:t>
      </w:r>
      <w:r w:rsidRPr="00DE62CE">
        <w:rPr>
          <w:rFonts w:ascii="Arial Narrow" w:hAnsi="Arial Narrow"/>
          <w:sz w:val="22"/>
        </w:rPr>
        <w:t>Nota. Un mismo estudio puede contribuir a más de un eje debido a la interdependencia de las categorías analizadas).</w:t>
      </w:r>
    </w:p>
    <w:p w14:paraId="0BD707C5" w14:textId="77777777" w:rsidR="00DE62CE" w:rsidRDefault="00DE62CE" w:rsidP="0037727A">
      <w:pPr>
        <w:jc w:val="center"/>
        <w:rPr>
          <w:rFonts w:ascii="Arial Narrow" w:hAnsi="Arial Narrow"/>
          <w:sz w:val="22"/>
        </w:rPr>
      </w:pPr>
      <w:r>
        <w:rPr>
          <w:rFonts w:ascii="Arial Narrow" w:hAnsi="Arial Narrow"/>
          <w:sz w:val="22"/>
        </w:rPr>
        <w:t xml:space="preserve">Fuente: </w:t>
      </w:r>
    </w:p>
    <w:p w14:paraId="2E5FFE2F" w14:textId="03C73208" w:rsidR="0037727A" w:rsidRPr="00DE62CE" w:rsidRDefault="0037727A" w:rsidP="0037727A">
      <w:pPr>
        <w:jc w:val="center"/>
        <w:rPr>
          <w:rFonts w:ascii="Arial Narrow" w:hAnsi="Arial Narrow"/>
          <w:sz w:val="22"/>
        </w:rPr>
      </w:pPr>
      <w:r w:rsidRPr="00DE62CE">
        <w:rPr>
          <w:rFonts w:ascii="Arial Narrow" w:hAnsi="Arial Narrow"/>
          <w:sz w:val="22"/>
        </w:rPr>
        <w:t>Elaboración propia, con apoyo de Perplexity IA</w:t>
      </w:r>
    </w:p>
    <w:p w14:paraId="34334292" w14:textId="4F6421F3" w:rsidR="003E66FB" w:rsidRDefault="003E66FB" w:rsidP="0015066B"/>
    <w:p w14:paraId="59C0E9BB" w14:textId="77777777" w:rsidR="009C304F" w:rsidRDefault="009C304F">
      <w:pPr>
        <w:spacing w:before="0" w:after="160" w:line="259" w:lineRule="auto"/>
        <w:jc w:val="left"/>
        <w:rPr>
          <w:rFonts w:ascii="Arial Narrow" w:hAnsi="Arial Narrow"/>
          <w:spacing w:val="0"/>
          <w:sz w:val="20"/>
          <w:szCs w:val="20"/>
          <w:lang w:val="es-ES_tradnl"/>
          <w14:numForm w14:val="default"/>
        </w:rPr>
      </w:pPr>
      <w:r>
        <w:lastRenderedPageBreak/>
        <w:br w:type="page"/>
      </w:r>
    </w:p>
    <w:p w14:paraId="3B79D138" w14:textId="26A1180A" w:rsidR="00DE62CE" w:rsidRDefault="00DE62CE" w:rsidP="0037727A">
      <w:pPr>
        <w:pStyle w:val="Figuras"/>
        <w:rPr>
          <w:rStyle w:val="negrita"/>
          <w:i w:val="0"/>
          <w:iCs/>
        </w:rPr>
      </w:pPr>
      <w:r>
        <w:rPr>
          <w:rStyle w:val="negrita"/>
          <w:i w:val="0"/>
          <w:iCs/>
        </w:rPr>
        <w:lastRenderedPageBreak/>
        <w:t xml:space="preserve">GRÁFICO </w:t>
      </w:r>
      <w:r w:rsidR="0037727A">
        <w:rPr>
          <w:rStyle w:val="negrita"/>
          <w:i w:val="0"/>
          <w:iCs/>
        </w:rPr>
        <w:t xml:space="preserve">1. </w:t>
      </w:r>
      <w:r w:rsidR="0037727A" w:rsidRPr="0037727A">
        <w:rPr>
          <w:rStyle w:val="negrita"/>
          <w:i w:val="0"/>
          <w:iCs/>
        </w:rPr>
        <w:t xml:space="preserve">Artículos seleccionados atendiendo al eje conceptual y base de </w:t>
      </w:r>
    </w:p>
    <w:p w14:paraId="4F11A51B" w14:textId="39D1AA2A" w:rsidR="009C304F" w:rsidRDefault="0037727A" w:rsidP="0037727A">
      <w:pPr>
        <w:pStyle w:val="Figuras"/>
        <w:rPr>
          <w:rStyle w:val="negrita"/>
          <w:i w:val="0"/>
          <w:iCs/>
        </w:rPr>
      </w:pPr>
      <w:r w:rsidRPr="0037727A">
        <w:rPr>
          <w:rStyle w:val="negrita"/>
          <w:i w:val="0"/>
          <w:iCs/>
        </w:rPr>
        <w:t>indexación</w:t>
      </w:r>
    </w:p>
    <w:p w14:paraId="392ACB9A" w14:textId="77777777" w:rsidR="00DE62CE" w:rsidRDefault="00DE62CE" w:rsidP="0037727A">
      <w:pPr>
        <w:pStyle w:val="Figuras"/>
        <w:rPr>
          <w:color w:val="FF0000"/>
        </w:rPr>
      </w:pPr>
    </w:p>
    <w:p w14:paraId="287EAC6E" w14:textId="7EC754F6" w:rsidR="00DE62CE" w:rsidRPr="00DE62CE" w:rsidRDefault="00DE62CE" w:rsidP="0037727A">
      <w:pPr>
        <w:pStyle w:val="Figuras"/>
        <w:rPr>
          <w:i w:val="0"/>
          <w:iCs/>
          <w:color w:val="FF0000"/>
        </w:rPr>
      </w:pPr>
      <w:r>
        <w:rPr>
          <w:i w:val="0"/>
          <w:iCs/>
          <w:noProof/>
          <w:color w:val="FF0000"/>
        </w:rPr>
        <w:drawing>
          <wp:inline distT="0" distB="0" distL="0" distR="0" wp14:anchorId="4A7B38E1" wp14:editId="1C925012">
            <wp:extent cx="4304668" cy="2421902"/>
            <wp:effectExtent l="0" t="0" r="635" b="0"/>
            <wp:docPr id="1876991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4552" cy="2433089"/>
                    </a:xfrm>
                    <a:prstGeom prst="rect">
                      <a:avLst/>
                    </a:prstGeom>
                    <a:noFill/>
                  </pic:spPr>
                </pic:pic>
              </a:graphicData>
            </a:graphic>
          </wp:inline>
        </w:drawing>
      </w:r>
    </w:p>
    <w:p w14:paraId="5D55B617" w14:textId="6A701121" w:rsidR="00681364" w:rsidRPr="003E66FB" w:rsidRDefault="00681364" w:rsidP="00182667">
      <w:pPr>
        <w:pStyle w:val="Fuente"/>
      </w:pPr>
      <w:r w:rsidRPr="003E66FB">
        <w:t xml:space="preserve">Fuente: </w:t>
      </w:r>
      <w:r w:rsidR="00DE62CE" w:rsidRPr="00DE62CE">
        <w:t>Elaboración propia, con apoyo de Perplexity IA</w:t>
      </w:r>
    </w:p>
    <w:p w14:paraId="1760C026" w14:textId="32871763" w:rsidR="004307D4" w:rsidRDefault="00CE0F4B" w:rsidP="00721EBE">
      <w:pPr>
        <w:pStyle w:val="Ttulo1"/>
      </w:pPr>
      <w:r>
        <w:rPr>
          <w:caps w:val="0"/>
        </w:rPr>
        <w:t>4</w:t>
      </w:r>
      <w:r w:rsidR="00721EBE" w:rsidRPr="00721EBE">
        <w:rPr>
          <w:caps w:val="0"/>
        </w:rPr>
        <w:t>.</w:t>
      </w:r>
      <w:r w:rsidR="00721EBE">
        <w:t xml:space="preserve"> </w:t>
      </w:r>
      <w:r w:rsidR="004307D4">
        <w:t>resultados</w:t>
      </w:r>
    </w:p>
    <w:p w14:paraId="5132D956" w14:textId="77777777" w:rsidR="00DE62CE" w:rsidRDefault="00DE62CE" w:rsidP="00DE62CE">
      <w:r>
        <w:t>Eje 1. Comunicación organizacional y estratégica y teoría de stakeholders</w:t>
      </w:r>
    </w:p>
    <w:p w14:paraId="26C88DD0" w14:textId="77777777" w:rsidR="00DE62CE" w:rsidRDefault="00DE62CE" w:rsidP="00DE62CE">
      <w:r>
        <w:t>La teoría de stakeholders proporciona un marco relacional para comprender que las organizaciones no actúan en un vacío social ni se vinculan exclusivamente con sus accionistas. Por el contrario, se insertan en redes de interdependencia con empleados, clientes, proveedores, comunidades, instituciones públicas, medios de comunicación, inversionistas y otros grupos capaces de afectar o ser afectados por las decisiones organizacionales. En este contexto, la comunicación organizacional y estratégica constituye el proceso que permite identificar a esos grupos, reconocer la legitimidad de sus intereses, interpretar sus expectativas y establecer mecanismos de interlocución, participación, respuesta, producción y emisión de mensajes.</w:t>
      </w:r>
    </w:p>
    <w:p w14:paraId="76F5364E" w14:textId="77777777" w:rsidR="00DE62CE" w:rsidRDefault="00DE62CE" w:rsidP="00DE62CE">
      <w:r>
        <w:t>La comunicación organizacional no debe entenderse únicamente como circulación de mensajes internos o externos. Desde una perspectiva re</w:t>
      </w:r>
      <w:r>
        <w:lastRenderedPageBreak/>
        <w:t>lacional, desempeña una función constitutiva: hace posible que la organización y sus stakeholders se reconozcan mutuamente, definan problemas, negocien significados, expresen demandas y construyan compromisos. La organización se configura, así, como un sistema social abierto cuya continuidad y legitimidad dependen de la calidad de sus relaciones y de la capacidad para procesar la pluralidad de voces del entorno.</w:t>
      </w:r>
    </w:p>
    <w:p w14:paraId="3831550F" w14:textId="77777777" w:rsidR="00DE62CE" w:rsidRDefault="00DE62CE" w:rsidP="00DE62CE">
      <w:r>
        <w:t>La literatura revisada diferencia niveles de relación que van desde la información hasta la colaboración. Informar supone transmitir contenidos institucionales; consultar implica recabar opiniones; dialogar requiere una interacción abierta, continua y con posibilidad de incidencia; colaborar representa el estadio más alto, pues compromete la coproducción de soluciones y de valor con los grupos de interés. Por ello, la mera difusión de informes o campañas corporativas no garantiza una relación sustantiva con los stakeholders. El diálogo exige escucha activa, reciprocidad, capacidad de respuesta y de participación, reconocimiento de asimetrías y disposición a modificar decisiones o prácticas cuando las demandas de los públicos resulten legítimas.</w:t>
      </w:r>
    </w:p>
    <w:p w14:paraId="5798EAB4" w14:textId="77777777" w:rsidR="00DE62CE" w:rsidRDefault="00DE62CE" w:rsidP="00DE62CE">
      <w:r>
        <w:t>Acuti, Murtarelli y Pizzetti (2024), en su revisión sobre diálogo y RSC, sostienen que el diálogo con stakeholders exige creación conjunta de significado y no debe reducirse a comunicaciones informativas o tácticas. Debe ser un proceso continuo, centrado en necesidades reales de los grupos de interés y libre de idealizaciones que oculten los conflictos o asimetrías existentes. Awa, Etim y Ogbonda (2024) proponen una escala de interacción que abarca desde la información hasta la colaboración y subrayan el papel de los grupos de interés en las respuestas organizacionales ante problemas sociales y ambientales. Estas contribuciones son coherentes con Gil Lafuente y Barcellos de Paula (2011), quienes relacionan la inclusión activa de los grupos de interés con la construcción de legitimidad, credibilidad y confianza.</w:t>
      </w:r>
    </w:p>
    <w:p w14:paraId="2070D575" w14:textId="77777777" w:rsidR="00DE62CE" w:rsidRDefault="00DE62CE" w:rsidP="00DE62CE">
      <w:r>
        <w:t xml:space="preserve">La comunicación estratégica amplía este enfoque al integrar la gestión comunicacional en el sistema de dirección organizacional. Su función no se limita a planificar mensajes o proteger la imagen corporativa; consiste en alinear identidad, valores, decisiones, prácticas y procesos de comunicación con las expectativas de los stakeholders y con los objetivos de largo plazo de la entidad. En esta perspectiva, transparencia, </w:t>
      </w:r>
      <w:r>
        <w:lastRenderedPageBreak/>
        <w:t>coherencia, accesibilidad, oportunidad, autenticidad y dialogicidad son atributos decisivos para construir relaciones de confianza.</w:t>
      </w:r>
    </w:p>
    <w:p w14:paraId="23B9A9B8" w14:textId="77777777" w:rsidR="00DE62CE" w:rsidRDefault="00DE62CE" w:rsidP="00DE62CE">
      <w:r>
        <w:t>La comunicación digital refuerza esta condición. Las redes sociales, plataformas de evaluación, medios digitales, sistemas de reporting y otros espacios de interacción convierten a los públicos en productores, difusores, verificadores e intérpretes de la conducta corporativa. La organización ya no controla de manera exclusiva la narrativa sobre sí misma: sus declaraciones compiten con experiencias, comentarios, críticas, evidencia pública y relatos generados por los grupos de interés. Por esta razón, la comunicación estratégica debe ser concebida como un proceso de escucha, pues los públicos producen y emiten su propio discurso; de interacción, aprendizaje y rendición de cuentas, y no como una emisión unilateral de contenidos.</w:t>
      </w:r>
    </w:p>
    <w:p w14:paraId="24B0C4DF" w14:textId="77777777" w:rsidR="00DE62CE" w:rsidRDefault="00DE62CE" w:rsidP="00DE62CE">
      <w:r>
        <w:t>Villagra, López y Monfort (2017), en su estudio sobre Televisió de Catalunya, demostraron que la transparencia no depende únicamente de publicar información, sino de asegurar que esta llegue de manera pertinente, comprensible y accesible a públicos diversos. De igual manera, Vrontis, Iazzi, Maizza y Cavallo (2022) proponen un modelo para evaluar la comunicación del stakeholder engagement en el sector hotelero, y destacan que comunicar adecuadamente el proceso de involucramiento contribuye a la sostenibilidad organizacional. Agrawal et al. (2025) agregan que la comunicación de sostenibilidad puede favorecer la participación de los empleados, su involucramiento y procesos de transformación organizacional.</w:t>
      </w:r>
    </w:p>
    <w:p w14:paraId="2C7D6E5D" w14:textId="77777777" w:rsidR="00DE62CE" w:rsidRDefault="00DE62CE" w:rsidP="00DE62CE">
      <w:r>
        <w:t>En síntesis, la teoría de stakeholders fortalece el enfoque la relacional de la comunicación organizacional y estratégica. La comunicación permite transformar el reconocimiento abstracto de los públicos en prácticas efectivas de identificación, escucha, participación, retroalimentación, negociación y cocreación de valor.</w:t>
      </w:r>
    </w:p>
    <w:p w14:paraId="62FFA6F9" w14:textId="77777777" w:rsidR="00DE62CE" w:rsidRDefault="00DE62CE" w:rsidP="00DE62CE">
      <w:r>
        <w:t>Eje 2. Responsabilidad corporativa, reputación corporativa y teoría de stakeholders</w:t>
      </w:r>
    </w:p>
    <w:p w14:paraId="04B57959" w14:textId="77777777" w:rsidR="00DE62CE" w:rsidRDefault="00DE62CE" w:rsidP="00DE62CE">
      <w:r>
        <w:t xml:space="preserve">La responsabilidad social corporativa o empresarial encuentra en la teoría de stakeholders uno de sus fundamentos más sólidos. Mientras esta teoría plantea que la empresa debe reconocer y atender los intereses </w:t>
      </w:r>
      <w:r>
        <w:lastRenderedPageBreak/>
        <w:t>legítimos de los grupos que afectan o son afectados por su actividad, la RSC/RSE expresa la traducción organizacional de esa responsabilidad en políticas, decisiones, programas, prácticas éticas y mecanismos de respuesta ante problemas sociales, ambientales y económicos. Ambas perspectivas desplazan la visión exclusiva de creación de valor para el accionista y sitúan a la organización en una red de obligaciones y relaciones recíprocas.</w:t>
      </w:r>
    </w:p>
    <w:p w14:paraId="40FD0B79" w14:textId="77777777" w:rsidR="00DE62CE" w:rsidRDefault="00DE62CE" w:rsidP="00DE62CE">
      <w:r>
        <w:t>Dmytriyev, Freeman y Hörisch (2021) sostienen que la teoría de stakeholders y el concepto de RSC aunque provienen de marcos distintos, resultan complementarios. La primera delimita las responsabilidades de la empresa frente a sus múltiples grupos de interés; la segunda organiza respuestas ante problemas éticos, sociales y ambientales. Freeman y Dmytriyev (2017) destacan, además, que crear valor para un stakeholder puede contribuir a crear valor para otros. Por ejemplo, apoyar a las comunidades puede beneficiar también a accionistas, trabajadores, clientes y proveedores mediante una mejora de la confianza, de la reputación, de la productividad y de la cooperación.</w:t>
      </w:r>
    </w:p>
    <w:p w14:paraId="46ADE704" w14:textId="77777777" w:rsidR="00DE62CE" w:rsidRDefault="00DE62CE" w:rsidP="00DE62CE">
      <w:r>
        <w:t>La responsabilidad corporativa no puede reducirse a acciones filantrópicas, actividades aisladas ni estrategias cosméticas de imagen. Desde el enfoque de stakeholders, implica incorporar las expectativas de los grupos de interés en la definición de prioridades corporativas, en la gestión de impactos, en la distribución de valor y en la toma de decisiones. Esta orientación comprende condiciones laborales justas, conducta ética, respeto por los derechos humanos, atención responsable a clientes y proveedores, relación transparente con las comunidades, calidad de la gobernanza y mecanismos de rendición de cuentas.</w:t>
      </w:r>
    </w:p>
    <w:p w14:paraId="188457ED" w14:textId="77777777" w:rsidR="00DE62CE" w:rsidRDefault="00DE62CE" w:rsidP="00DE62CE">
      <w:r>
        <w:t>La evidencia empírica analizada señala una relación consistente entre las prácticas de RSC/RSE y la reputación corporativa. Los autores Lai, Chiu, Yang y Pai (2010) aseveran que la reputación corporativa media la relación entre RSC y desempeño de marca. Javed, Rashid, Hussain y Ali (2019) confirmaron que la RSC puede mejorar la reputación y, por esa vía, contribuir al desempeño financiero. Otros estudios relacionan las prácticas responsables con lealtad de clientes, confianza del consumidor, employer branding, ventaja competitiva, satisfacción y transparencia.</w:t>
      </w:r>
    </w:p>
    <w:p w14:paraId="282DDFEA" w14:textId="77777777" w:rsidR="00DE62CE" w:rsidRDefault="00DE62CE" w:rsidP="00DE62CE">
      <w:r>
        <w:lastRenderedPageBreak/>
        <w:t>La reputación corporativa se configura, por tanto, como una evaluación acumulada de la conducta organizacional, no como un atributo que la empresa pueda producir unilateralmente mediante publicidad o relaciones públicas. Cuando los stakeholders perciben que la organización actúa de manera responsable, coherente y sensible frente a sus expectativas, tienden a aumentar sus niveles de confianza, identificación, lealtad, recomendación y disposición a cooperar.</w:t>
      </w:r>
    </w:p>
    <w:p w14:paraId="02F3CC0F" w14:textId="77777777" w:rsidR="00DE62CE" w:rsidRDefault="00DE62CE" w:rsidP="00DE62CE">
      <w:r>
        <w:t>La comunicación interviene como mediación interpretativa en esta relación. Los efectos reputacionales están mediados por la información disponible, la claridad de los propósitos, la consistencia entre discurso y práctica, la reputación previa de la organización y las valoraciones de los stakeholders sobre los motivos empresariales. Las acciones responsables generan confianza cuando son percibidas como auténticas, sostenidas y vinculadas a la identidad y a los valores corporativos. Por el contrario, pueden generar escepticismo cuando se interpretan como oportunistas, reactivas o desconectadas de la conducta real de la entidad.</w:t>
      </w:r>
    </w:p>
    <w:p w14:paraId="5DE809D4" w14:textId="77777777" w:rsidR="00DE62CE" w:rsidRDefault="00DE62CE" w:rsidP="00DE62CE">
      <w:r>
        <w:t>La transparencia actúa como condición fundamental. La información sobre objetivos, procesos, resultados, limitaciones e impactos debe ser suficiente, comprensible, oportuna y verificable. Cuando la organización ofrece mensajes ambiguos, incompletos o incompatibles con la experiencia de los públicos, se debilita la credibilidad de sus iniciativas y aumenta el riesgo de deterioro reputacional. La reputación corporativa, en consecuencia, no es un efecto automático de la RSC/RSE: depende de la calidad de las prácticas, de su relevancia para los stakeholders y de la coherencia comunicacional con que se expresan.</w:t>
      </w:r>
    </w:p>
    <w:p w14:paraId="29CDF491" w14:textId="77777777" w:rsidR="00DE62CE" w:rsidRDefault="00DE62CE" w:rsidP="00DE62CE">
      <w:r>
        <w:t>Fernández-Guadaño y Sarria-Pedroza (2018) muestran que la RSC se asocia con la generación de valor desde una perspectiva de stakeholders, aunque advierten la complejidad de medir ese valor, dado que los distintos grupos de interés no necesariamente comparten objetivos homogéneos ni cuentan con indicadores equivalentes a los de los accionistas. En el ámbito iberoamericano, Zárate-Rueda, Bautista-Zárate y Beltrán-Villamizar (2021) confirman la centralidad de los stakeholders en las revisiones de RSE, mientras que Cordero (2017) ofrece una aproximación situada en el contexto ecuatoriano.</w:t>
      </w:r>
    </w:p>
    <w:p w14:paraId="5D2C3464" w14:textId="77777777" w:rsidR="00DE62CE" w:rsidRDefault="00DE62CE" w:rsidP="00DE62CE">
      <w:r>
        <w:lastRenderedPageBreak/>
        <w:t>Este eje permite concluir que la teoría de stakeholders articula responsabilidad y reputación mediante una lógica de reciprocidad. La organización fortalece su reputación cuando responde de modo legítimo y verificable a las expectativas de sus públicos; a su vez, una reputación positiva favorece la cooperación, la lealtad, la licencia social y la disposición de los stakeholders a sostener relaciones de largo plazo.</w:t>
      </w:r>
    </w:p>
    <w:p w14:paraId="03E2D8BE" w14:textId="77777777" w:rsidR="00DE62CE" w:rsidRDefault="00DE62CE" w:rsidP="00DE62CE">
      <w:r>
        <w:t>Eje 3. Sostenibilidad, reputación corporativa y teoría de stakeholders</w:t>
      </w:r>
    </w:p>
    <w:p w14:paraId="30A1A087" w14:textId="77777777" w:rsidR="00DE62CE" w:rsidRDefault="00DE62CE" w:rsidP="00DE62CE">
      <w:r>
        <w:t>La sostenibilidad corporativa amplía el horizonte de la responsabilidad empresarial o corporativa  al integrar de forma interdependiente las dimensiones económica, social, ambiental y de gobernanza. Desde la teoría de stakeholders, la sostenibilidad no se limita a la eficiencia interna ni al cumplimiento normativo: implica crear y compartir valor en relaciones de largo plazo con los distintos grupos de interés, considerando tanto los impactos presentes como las responsabilidades hacia las generaciones futuras.</w:t>
      </w:r>
    </w:p>
    <w:p w14:paraId="43983B07" w14:textId="77777777" w:rsidR="00DE62CE" w:rsidRDefault="00DE62CE" w:rsidP="00DE62CE">
      <w:r>
        <w:t>La literatura revisada muestra que los stakeholders intervienen activamente en la construcción de modelos de negocio sostenibles. Sus demandas, conocimientos, capacidades, experiencias y mecanismos de presión contribuyen a definir qué asuntos son materiales, qué impactos requieren atención y qué formas de valor deben ser priorizadas. La participación de trabajadores, clientes, proveedores, comunidades, inversionistas y organismos reguladores puede facilitar innovaciones, fortalecer la legitimidad de las decisiones e impulsar una gestión más responsable de los recursos y de los impactos sociales y ambientales.</w:t>
      </w:r>
    </w:p>
    <w:p w14:paraId="421D492B" w14:textId="77777777" w:rsidR="00DE62CE" w:rsidRDefault="00DE62CE" w:rsidP="00DE62CE">
      <w:r>
        <w:t>Freudenreich, Lüdeke-Freund y Schaltegger (2020) reconceptualizan la creación de valor como un fenómeno multidireccional y relacional, dirigido a diversos stakeholders y orientado por un propósito compartido. Attanasio, Preghenella, De Toni y Battistella (2021) desarrollan un modelo de flujo de valor para identificar las contribuciones de los grupos de interés a las dimensiones de valor de los modelos de negocio sostenibles. Alshukri, Ojekemi, Öz y Alzubi (2024) sostienen que el stakeholder engagement fortalece la relación entre RSC y creación de valor sostenible. Estas contribuciones permiten interpretar la comuni</w:t>
      </w:r>
      <w:r>
        <w:lastRenderedPageBreak/>
        <w:t>cación como un proceso de activación del engagement, ya que la participación no puede sostenerse sin escucha, información inteligible, intercambio y retroalimentación.</w:t>
      </w:r>
    </w:p>
    <w:p w14:paraId="788CD75A" w14:textId="77777777" w:rsidR="00DE62CE" w:rsidRDefault="00DE62CE" w:rsidP="00DE62CE">
      <w:r>
        <w:t>La sostenibilidad exige procesos permanentes de comunicación y rendición de cuentas. Las organizaciones deben explicar no solo sus compromisos, sino también la materialidad de sus decisiones, sus resultados, indicadores, avances, límites, riesgos y desafíos. Los informes de sostenibilidad, las memorias integradas, las divulgaciones ESG y los canales digitales pueden hacer observable el desempeño organizacional, pero solo resultan reputacionalmente eficaces cuando la información es relevante, comparable, inteligible, verificable y consistente con las experiencias de los stakeholders.</w:t>
      </w:r>
    </w:p>
    <w:p w14:paraId="4E2E84A4" w14:textId="77777777" w:rsidR="00DE62CE" w:rsidRDefault="00DE62CE" w:rsidP="00DE62CE">
      <w:r>
        <w:t>En este punto, la reputación corporativa aparece como una evaluación social de la credibilidad del desempeño sostenible. Meng, Yahya, Ashhari y Yu (2023) muestran una relación positiva y no lineal entre desempeño ESG y reputación, modulada por la atención de los inversionistas. Ghuslan, Jaffar, Mohd Saleh y Yaacob (2021) evidencian que la calidad del reporte ambiental y social incide en la reputación y condiciona el efecto del gobierno corporativo. Loock y Phillips (2020) diferencian entre reputación financiera y reputación de sostenibilidad, mientras que Barbosa et al. (2025) vinculan economía circular, desempeño ESG y relaciones colaborativas con reputación corporativa.</w:t>
      </w:r>
    </w:p>
    <w:p w14:paraId="69A3659C" w14:textId="77777777" w:rsidR="00DE62CE" w:rsidRDefault="00DE62CE" w:rsidP="00DE62CE">
      <w:r>
        <w:t>La calidad del reporting aparece como un mecanismo comunicacional crítico. Xu, Liu y Yang (2023) explican que la divulgación de RSC puede influir en la formación de reputación mediante procesos de transmisión de señales y construcción de sentido por parte de los stakeholders. La mera emisión de información, sin embargo, no elimina el escepticismo: la autenticidad percibida y la comprensión del contenido resultan decisivas. La acción de la empresa también comunica; por ello, la correspondencia entre el discurso y el desempeño organizacional es una condición central de credibilidad.</w:t>
      </w:r>
    </w:p>
    <w:p w14:paraId="3C7E104D" w14:textId="77777777" w:rsidR="00DE62CE" w:rsidRDefault="00DE62CE" w:rsidP="00DE62CE">
      <w:r>
        <w:t xml:space="preserve">El vínculo entre sostenibilidad y reputación debe concebirse, por tanto, como una relación de doble condición: desempeño efectivo y comunicación creíble. El reporte no reemplaza la práctica; la hace observable, </w:t>
      </w:r>
      <w:r>
        <w:lastRenderedPageBreak/>
        <w:t>evaluable y contrastable. Cuando existe distancia entre desempeño y narrativa, aumentan los riesgos de greenwashing, social washing, pérdida de confianza y daño reputacional.</w:t>
      </w:r>
    </w:p>
    <w:p w14:paraId="4B4432C3" w14:textId="77777777" w:rsidR="00DE62CE" w:rsidRDefault="00DE62CE" w:rsidP="00DE62CE">
      <w:r>
        <w:t>La reputación de sostenibilidad debe distinguirse, aunque no separarse por completo, de la reputación financiera o comercial. Una empresa puede ser reconocida por sus resultados económicos y, simultáneamente, enfrentar cuestionamientos por sus prácticas ambientales, laborales, sociales o de gobernanza. Por ello, la sostenibilidad debe integrarse transversalmente en la estrategia, la cultura, los procesos de decisión y la relación con los stakeholders, en vez de quedar confinada a un reporte anual o a un área especializada.</w:t>
      </w:r>
    </w:p>
    <w:p w14:paraId="300351D6" w14:textId="125C460C" w:rsidR="00DE62CE" w:rsidRDefault="00DE62CE" w:rsidP="00DE62CE">
      <w:r>
        <w:t>En consecuencia, este eje evidencia que la teoría de stakeholders permite comprender la sostenibilidad como un proceso de creación de valor compartido, participación, corresponsabilidad y evaluación social. La reputación corporativa se fortalece cuando los compromisos sostenibles se traducen en desempeño efectivo, información transparente, diálogo verificable y reconocimiento de los impactos que la organización genera en sus grupos de interés y ecosistemas.</w:t>
      </w:r>
    </w:p>
    <w:p w14:paraId="740C7DA7" w14:textId="45BFE6AC" w:rsidR="00CE0F4B" w:rsidRDefault="002A43CD" w:rsidP="002A43CD">
      <w:pPr>
        <w:pStyle w:val="Ttulo1"/>
      </w:pPr>
      <w:r w:rsidRPr="002A43CD">
        <w:t>5.</w:t>
      </w:r>
      <w:r>
        <w:t xml:space="preserve"> </w:t>
      </w:r>
      <w:r w:rsidR="00CE0F4B">
        <w:t>discusión</w:t>
      </w:r>
    </w:p>
    <w:p w14:paraId="3C25F292" w14:textId="77777777" w:rsidR="00DE62CE" w:rsidRDefault="00DE62CE" w:rsidP="00DE62CE">
      <w:r>
        <w:t>Se ha diseñado un cuarto eje integrador que sirve de base para el análisis de las interrelaciones como sistema.</w:t>
      </w:r>
    </w:p>
    <w:p w14:paraId="16D795AC" w14:textId="77777777" w:rsidR="00DE62CE" w:rsidRDefault="00DE62CE" w:rsidP="00DE62CE">
      <w:r>
        <w:t>Eje 4. Integración de comunicación, responsabilidad corporativa, sostenibilidad y reputación desde la teoría de stakeholders</w:t>
      </w:r>
    </w:p>
    <w:p w14:paraId="679597A9" w14:textId="77777777" w:rsidR="00DE62CE" w:rsidRDefault="00DE62CE" w:rsidP="00DE62CE">
      <w:r>
        <w:t>La integración de los tres ejes anteriores permite sostener que comunicación organizacional y estratégica, responsabilidad corporativa, sostenibilidad y reputación no son ámbitos independientes. Constituyen un sistema relacional, dinámico y recursivo articulado por la teoría de stakeholders. Esta teoría ofrece la base normativa, descriptiva e instrumental para comprender que la organización debe reconocer la pluralidad de intereses legítimos que convergen en su entorno y responder a ellos mediante decisiones, prácticas y procesos de interacción socialmente responsables.</w:t>
      </w:r>
    </w:p>
    <w:p w14:paraId="70E826BA" w14:textId="77777777" w:rsidR="00DE62CE" w:rsidRDefault="00DE62CE" w:rsidP="00DE62CE">
      <w:r>
        <w:lastRenderedPageBreak/>
        <w:t>La comunicación organizacional y estratégica ocupa una posición transversal en dicho sistema. En primer lugar, cumple una función constitutiva, pues hace posible reconocer a los stakeholders como parte integrante de las organizaciones, e interlocutores legítimos, así como identificar sus expectativas, establecer espacios de escucha y construir sentidos compartidos. En segundo lugar, cumple una función mediadora, porque traduce las prácticas de responsabilidad corporativa y sostenibilidad en percepciones de transparencia, coherencia, autenticidad, confianza y legitimidad. En tercer lugar, ejerce una función moderadora, dado que la calidad de la comunicación puede fortalecer, debilitar o incluso revertir el efecto reputacional de las prácticas organizacionales.</w:t>
      </w:r>
    </w:p>
    <w:p w14:paraId="1522A2D6" w14:textId="77777777" w:rsidR="00DE62CE" w:rsidRDefault="00DE62CE" w:rsidP="00DE62CE">
      <w:r>
        <w:t>Desde esta perspectiva, transparencia, coherencia, dialogicidad y autenticidad constituyen dimensiones de una comunicación reputacionalmente eficaz:</w:t>
      </w:r>
    </w:p>
    <w:p w14:paraId="6CCDA98E" w14:textId="77777777" w:rsidR="00DE62CE" w:rsidRDefault="00DE62CE" w:rsidP="00DE62CE">
      <w:r>
        <w:t>•</w:t>
      </w:r>
      <w:r>
        <w:tab/>
        <w:t>Transparencia: información suficiente, accesible, oportuna y verificable sobre compromisos, procesos, resultados y limitaciones.</w:t>
      </w:r>
    </w:p>
    <w:p w14:paraId="28EEA72C" w14:textId="77777777" w:rsidR="00DE62CE" w:rsidRDefault="00DE62CE" w:rsidP="00DE62CE">
      <w:r>
        <w:t>•</w:t>
      </w:r>
      <w:r>
        <w:tab/>
        <w:t>Coherencia: correspondencia entre valores declarados, mensajes, decisiones, prácticas y efectos observables.</w:t>
      </w:r>
    </w:p>
    <w:p w14:paraId="668FFCC1" w14:textId="77777777" w:rsidR="00DE62CE" w:rsidRDefault="00DE62CE" w:rsidP="00DE62CE">
      <w:r>
        <w:t>•</w:t>
      </w:r>
      <w:r>
        <w:tab/>
        <w:t>Dialogicidad: disposición a escuchar, responder, considerar argumentos y favorecer la participación de los stakeholders.</w:t>
      </w:r>
    </w:p>
    <w:p w14:paraId="3CE053AD" w14:textId="77777777" w:rsidR="00DE62CE" w:rsidRDefault="00DE62CE" w:rsidP="00DE62CE">
      <w:r>
        <w:t>•</w:t>
      </w:r>
      <w:r>
        <w:tab/>
        <w:t>Autenticidad: percepción de que las acciones responsables no son exclusivamente instrumentales, cosméticas o reactivas.</w:t>
      </w:r>
    </w:p>
    <w:p w14:paraId="04F6EC58" w14:textId="77777777" w:rsidR="00DE62CE" w:rsidRDefault="00DE62CE" w:rsidP="00DE62CE">
      <w:r>
        <w:t>La responsabilidad corporativa y la sostenibilidad se ubican en el plano de la respuesta organizacional. La primera expresa el compromiso ético y estratégico de atender los impactos sociales, económicos y ambientales que la empresa genera; la segunda proyecta ese compromiso hacia la creación de valor de largo plazo, la preservación de recursos, la equidad intergeneracional y la viabilidad de los sistemas sociales y ecológicos. Ambas solo adquieren legitimidad cuando se relacionan con las necesidades, derechos y expectativas de los stakeholders, y no cuando se limitan a declaraciones institucionales.</w:t>
      </w:r>
    </w:p>
    <w:p w14:paraId="0FD58CF1" w14:textId="77777777" w:rsidR="00DE62CE" w:rsidRDefault="00DE62CE" w:rsidP="00DE62CE">
      <w:r>
        <w:lastRenderedPageBreak/>
        <w:t>La reputación corporativa representa el resultado evaluativo de este proceso. Surge de la experiencia directa de los grupos de interés, de la información disponible, de los reportes corporativos, de la conversación social, de la cobertura mediática, de las acciones y discursos institucionales y de la posibilidad de verificar la correspondencia entre lo que la organización afirma y lo que efectivamente hace. La reputación no está bajo control exclusivo de la entidad: se construye socialmente y se consolida en el tiempo mediante la evaluación distribuida de múltiples públicos.</w:t>
      </w:r>
    </w:p>
    <w:p w14:paraId="17C04BCC" w14:textId="0E8CAA08" w:rsidR="00DE62CE" w:rsidRDefault="00DE62CE" w:rsidP="00DE62CE">
      <w:r>
        <w:t>La Nube de conceptos que se presenta a continuación sintetiza visualmente los hallazgos de la revisión bibliográfica sistematizada. La dimensión de cada término refleja su peso relativo en el análisis de co-ocurrencia de palabras (co-word analysis) realizado en el corpus, y el color indica el agrupamiento temático (clúster) al que pertenece.</w:t>
      </w:r>
    </w:p>
    <w:p w14:paraId="31D076C5" w14:textId="774D0004" w:rsidR="00DE62CE" w:rsidRDefault="00DE62CE" w:rsidP="002A43CD">
      <w:r w:rsidRPr="00DE62CE">
        <w:t>Gráfico 2. Nube de conceptos. Integración entre los conceptos estudiados</w:t>
      </w:r>
    </w:p>
    <w:p w14:paraId="74310297" w14:textId="32EB861B" w:rsidR="00DE62CE" w:rsidRDefault="00DE62CE" w:rsidP="00DE62CE">
      <w:pPr>
        <w:jc w:val="center"/>
      </w:pPr>
      <w:r>
        <w:rPr>
          <w:noProof/>
        </w:rPr>
        <w:drawing>
          <wp:inline distT="0" distB="0" distL="0" distR="0" wp14:anchorId="5FCB5F25" wp14:editId="0017A4AC">
            <wp:extent cx="4294406" cy="2700770"/>
            <wp:effectExtent l="0" t="0" r="0" b="4445"/>
            <wp:docPr id="12980666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04843" cy="2707334"/>
                    </a:xfrm>
                    <a:prstGeom prst="rect">
                      <a:avLst/>
                    </a:prstGeom>
                    <a:noFill/>
                  </pic:spPr>
                </pic:pic>
              </a:graphicData>
            </a:graphic>
          </wp:inline>
        </w:drawing>
      </w:r>
    </w:p>
    <w:p w14:paraId="513D5243" w14:textId="5C22E0A7" w:rsidR="00DE62CE" w:rsidRDefault="00DE62CE" w:rsidP="00DE62CE">
      <w:pPr>
        <w:jc w:val="center"/>
        <w:rPr>
          <w:rFonts w:ascii="Arial Narrow" w:hAnsi="Arial Narrow"/>
          <w:sz w:val="22"/>
        </w:rPr>
      </w:pPr>
      <w:r w:rsidRPr="00DE62CE">
        <w:rPr>
          <w:rFonts w:ascii="Arial Narrow" w:hAnsi="Arial Narrow"/>
          <w:sz w:val="22"/>
        </w:rPr>
        <w:t xml:space="preserve">Fuente: </w:t>
      </w:r>
      <w:r w:rsidRPr="00DE62CE">
        <w:rPr>
          <w:rFonts w:ascii="Arial Narrow" w:hAnsi="Arial Narrow"/>
          <w:sz w:val="22"/>
        </w:rPr>
        <w:t>Elaboración propia, con apoyo de Perplexity IA</w:t>
      </w:r>
    </w:p>
    <w:p w14:paraId="03510001" w14:textId="77777777" w:rsidR="00DE62CE" w:rsidRDefault="00DE62CE" w:rsidP="00DE62CE">
      <w:pPr>
        <w:rPr>
          <w:rFonts w:ascii="Arial Narrow" w:hAnsi="Arial Narrow"/>
          <w:sz w:val="22"/>
        </w:rPr>
      </w:pPr>
    </w:p>
    <w:p w14:paraId="6A953F6C" w14:textId="77777777" w:rsidR="00807DFC" w:rsidRDefault="00807DFC" w:rsidP="00DE62CE">
      <w:pPr>
        <w:rPr>
          <w:rFonts w:ascii="Arial Narrow" w:hAnsi="Arial Narrow"/>
          <w:sz w:val="22"/>
        </w:rPr>
      </w:pPr>
    </w:p>
    <w:p w14:paraId="0490E955" w14:textId="77777777" w:rsidR="00807DFC" w:rsidRDefault="00807DFC" w:rsidP="00807DFC">
      <w:r>
        <w:lastRenderedPageBreak/>
        <w:t>La representación gráfica de la presencia de conceptos en esta Nube confirma la relación entre RSC/RSE (peso más alto), seguida de reputación corporativa, teoría de stakeholders, comunicación organizacional y comunicación estratégica, en tanto la comunicación de sostenibilidad se presenta en planos de menor visibilidad.</w:t>
      </w:r>
    </w:p>
    <w:p w14:paraId="46541654" w14:textId="77777777" w:rsidR="00807DFC" w:rsidRDefault="00807DFC" w:rsidP="00807DFC">
      <w:r>
        <w:t>El enfoque integrador puede leerse como una cadena de relaciones e intermediaciones: la teoría de stakeholders orienta la comunicación organizacional (escucha, diálogo, participación y cocreación); esta comunicación canaliza las decisiones y prácticas de RSC/RSE y sostenibilidad hacia la creación de valor; ofrece orientación a la comunicación estratégica (transparencia, evidencia, reporting y rendición de cuentas) convierte esas prácticas en confianza, legitimidad y autenticidad percibida; dicha percepción media a su vez en la construcción de la reputación corporativa; y la reputación se traduce en resultados organizacionales (lealtad, desempeño financiero, licencia social y ventaja competitiva), que retroalimentan nuevas expectativas de los stakeholders.</w:t>
      </w:r>
    </w:p>
    <w:p w14:paraId="22E9740D" w14:textId="77777777" w:rsidR="00807DFC" w:rsidRDefault="00807DFC" w:rsidP="00807DFC">
      <w:r>
        <w:t>Esta representación no debe interpretarse como una secuencia lineal. Se trata de un circuito de retroalimentación: la reputación alcanzada influye en la disposición de los stakeholders a colaborar, recomendar, invertir, trabajar, comprar, conceder legitimidad o respaldar la legitimidad social de la organización. Estas respuestas generan nuevas demandas y expectativas, que obligan a reiniciar los procesos de escucha, diálogo, aprendizaje y ajuste estratégico.</w:t>
      </w:r>
    </w:p>
    <w:p w14:paraId="7115E0E6" w14:textId="77777777" w:rsidR="00807DFC" w:rsidRDefault="00807DFC" w:rsidP="00807DFC">
      <w:r>
        <w:t>Los aportes de la comunicación estratégica permiten profundizar este argumento. Para Pérez (2001), la comunicación estratégica supone una interconexión de los distintos sistemas de comunicación de la organización —relaciones públicas, publicidad, comunicación digital y otros— mediante una estrategia global orientada hacia los objetivos organizacionales. Galindo (2016), por su parte, enfatiza su papel articulador como puente para el encuentro entre heterogeneidades, el diálogo de saberes y la reconstrucción del tejido social. En esta dirección, la comunicación no debe ubicarse solamente entre las prácticas responsables y la reputación: antecede y acompaña la definición de prioridades organizacionales, pues permite comprender, procesar y responder a las expectativas de los stakeholders.</w:t>
      </w:r>
    </w:p>
    <w:p w14:paraId="6F61D103" w14:textId="77777777" w:rsidR="00807DFC" w:rsidRDefault="00807DFC" w:rsidP="00807DFC">
      <w:r>
        <w:lastRenderedPageBreak/>
        <w:t>El enfoque integrador evita dos reduccionismos frecuentes. El primero consiste en reducir la comunicación a la difusión de contenidos corporativos, cuando en realidad participa desde la identificación de expectativas hasta la construcción de relaciones y la rendición de cuentas. El segundo consiste en asumir que toda información sobre RSC o sostenibilidad produce necesariamente confianza. La evidencia revisada indica que la divulgación solo contribuye a la reputación cuando se sostiene en prácticas efectivas, información relevante, coherencia entre discurso y conducta, y posibilidades de verificación y respuesta de los públicos.</w:t>
      </w:r>
    </w:p>
    <w:p w14:paraId="2F621866" w14:textId="169C4ADE" w:rsidR="00807DFC" w:rsidRDefault="00807DFC" w:rsidP="00807DFC">
      <w:r>
        <w:t>La reputación debe concebirse como un resultado relacional. Se forma a partir de experiencias, conversaciones, comparaciones, evidencias, reportes, señales institucionales y relatos de terceros. En este sentido, constituye una cristalización en el tiempo de las percepciones sobre la organización. La entidad no puede controlar por completo su reputación, aunque sí puede gestionarla mediante prácticas responsables, desempeño sostenible y una comunicación dialógica, transparente y consistente.</w:t>
      </w:r>
    </w:p>
    <w:p w14:paraId="260119E7" w14:textId="77777777" w:rsidR="00807DFC" w:rsidRDefault="00807DFC" w:rsidP="00807DFC">
      <w:pPr>
        <w:pStyle w:val="Ttulo1"/>
      </w:pPr>
      <w:r w:rsidRPr="00721EBE">
        <w:rPr>
          <w:caps w:val="0"/>
        </w:rPr>
        <w:t>6.</w:t>
      </w:r>
      <w:r>
        <w:t xml:space="preserve"> conclusiones </w:t>
      </w:r>
    </w:p>
    <w:p w14:paraId="117AD2C6" w14:textId="77777777" w:rsidR="00807DFC" w:rsidRDefault="00807DFC" w:rsidP="00807DFC">
      <w:r>
        <w:t>La revisión bibliográfica sistemática confirma que la teoría de stakeholders, la comunicación organizacional y estratégica, la responsabilidad corporativa, la sostenibilidad y la reputación corporativa conforman un sistema de relaciones interdependientes. La teoría de stakeholders proporciona la lógica relacional y ética; la comunicación permite reconocer, escuchar, dialogar y construir sentidos con los grupos de interés; la responsabilidad corporativa y la sostenibilidad representan respuestas organizacionales ante sus expectativas y ante los impactos generados; y la reputación corporativa expresa la evaluación acumulada que dichos grupos realizan sobre la coherencia entre decisiones, prácticas, resultados y discursos corporativos.</w:t>
      </w:r>
    </w:p>
    <w:p w14:paraId="2FF4BB17" w14:textId="77777777" w:rsidR="00807DFC" w:rsidRDefault="00807DFC" w:rsidP="00807DFC">
      <w:r>
        <w:t xml:space="preserve">La principal contribución del estudio consiste en mostrar que la comunicación no constituye un complemento posterior a la acción responsable. Es una condición constitutiva de la relación con los stakeholders, </w:t>
      </w:r>
      <w:r>
        <w:lastRenderedPageBreak/>
        <w:t>una mediación que transforma prácticas de responsabilidad y sostenibilidad en percepciones de credibilidad, confianza y legitimidad, y un factor moderador de los efectos reputacionales. Por ello, comunicar más no equivale necesariamente a comunicar mejor ni a construir reputación.</w:t>
      </w:r>
    </w:p>
    <w:p w14:paraId="5ABA2DEE" w14:textId="77777777" w:rsidR="00807DFC" w:rsidRDefault="00807DFC" w:rsidP="00807DFC">
      <w:r>
        <w:t>La reputación se fortalece cuando existe correspondencia sostenida entre lo que la organización declara, lo que efectivamente hace y lo que sus stakeholders pueden experimentar, verificar y valorar. Esta coherencia requiere transparencia, evidencia, accesibilidad, escucha, dialogicidad, disposición a rendir cuentas y capacidad de incorporar las expectativas legítimas de los públicos en la toma de decisiones.</w:t>
      </w:r>
    </w:p>
    <w:p w14:paraId="3380F5BA" w14:textId="77777777" w:rsidR="00807DFC" w:rsidRDefault="00807DFC" w:rsidP="00807DFC">
      <w:r>
        <w:t>La interpretación de las interrelaciones entre los constructos estudiados permite superar su tratamiento fragmentado.  El eje de comunicación organizacional y estratégica explica la constitución de la relación con los stakeholders; el eje de responsabilidad corporativa muestra la respuesta ética y estratégica a sus expectativas y su incidencia en la reputación; el eje de sostenibilidad analiza la creación de valor de largo plazo, el desempeño ESG y su evaluación social; y el eje integrador articula el conjunto como un proceso recursivo de relación, acción, comunicación, evaluación y retroalimentación.</w:t>
      </w:r>
    </w:p>
    <w:p w14:paraId="27812844" w14:textId="755FBA7B" w:rsidR="00807DFC" w:rsidRDefault="00807DFC" w:rsidP="00807DFC">
      <w:r>
        <w:t>Para las organizaciones que aspiran a legitimidad y sostenibilidad, el reto no consiste únicamente en comunicar programas de RSC o publicar informes ESG. Exige actuar con coherencia, gestionar los impactos de sus decisiones, ofrecer información verificable, construir espacios de participación y cocreación, y sostener una disposición efectiva de escucha y rendición de cuentas frente a sus stakeholders.</w:t>
      </w:r>
    </w:p>
    <w:p w14:paraId="703B2935" w14:textId="7481FFAF" w:rsidR="004307D4" w:rsidRDefault="00721EBE" w:rsidP="00721EBE">
      <w:pPr>
        <w:pStyle w:val="Ttulo1"/>
      </w:pPr>
      <w:r w:rsidRPr="008B6A98">
        <w:rPr>
          <w:caps w:val="0"/>
        </w:rPr>
        <w:t>8.</w:t>
      </w:r>
      <w:r w:rsidRPr="008B6A98">
        <w:t xml:space="preserve"> </w:t>
      </w:r>
      <w:r w:rsidR="002F3733" w:rsidRPr="008B6A98">
        <w:t>Referencias</w:t>
      </w:r>
      <w:r w:rsidR="005417EB">
        <w:t xml:space="preserve"> </w:t>
      </w:r>
    </w:p>
    <w:p w14:paraId="25CD3157" w14:textId="07B05AEE" w:rsidR="00807DFC" w:rsidRPr="00807DFC" w:rsidRDefault="00807DFC" w:rsidP="00807DFC">
      <w:pPr>
        <w:pStyle w:val="Bibliografa"/>
        <w:rPr>
          <w:rStyle w:val="14Versalitas"/>
        </w:rPr>
      </w:pPr>
      <w:r w:rsidRPr="00807DFC">
        <w:rPr>
          <w:rStyle w:val="14Versalitas"/>
        </w:rPr>
        <w:t xml:space="preserve">Acuti, D., Murtarelli, G., &amp; Pizzetti, M. (2024). What is (and is not) stakeholder </w:t>
      </w:r>
      <w:r w:rsidRPr="00807DFC">
        <w:rPr>
          <w:rStyle w:val="14Versalitas"/>
        </w:rPr>
        <w:t xml:space="preserve">   </w:t>
      </w:r>
      <w:r w:rsidRPr="00807DFC">
        <w:rPr>
          <w:rStyle w:val="14Versalitas"/>
        </w:rPr>
        <w:t>dialogue in CSR? A review and research agenda. International Journal of Management Reviews. https://doi.org/10.1111/ijmr.12363</w:t>
      </w:r>
    </w:p>
    <w:p w14:paraId="4BEAA8E0" w14:textId="77777777" w:rsidR="00807DFC" w:rsidRPr="00807DFC" w:rsidRDefault="00807DFC" w:rsidP="00807DFC">
      <w:pPr>
        <w:pStyle w:val="Bibliografa"/>
        <w:rPr>
          <w:rStyle w:val="14Versalitas"/>
        </w:rPr>
      </w:pPr>
      <w:r w:rsidRPr="00807DFC">
        <w:rPr>
          <w:rStyle w:val="14Versalitas"/>
        </w:rPr>
        <w:t xml:space="preserve">Adomako, S., &amp; Tran, M. D. (2022). Stakeholder management, CSR commitment, corporate social performance: The moderating role of uncertainty in CSR regulation. Corporate Social </w:t>
      </w:r>
      <w:r w:rsidRPr="00807DFC">
        <w:rPr>
          <w:rStyle w:val="14Versalitas"/>
        </w:rPr>
        <w:lastRenderedPageBreak/>
        <w:t>Responsibility and Environmental Management. https://doi.org/10.1002/csr.2278</w:t>
      </w:r>
    </w:p>
    <w:p w14:paraId="045D8427" w14:textId="77777777" w:rsidR="00807DFC" w:rsidRPr="00807DFC" w:rsidRDefault="00807DFC" w:rsidP="00807DFC">
      <w:pPr>
        <w:pStyle w:val="Bibliografa"/>
        <w:rPr>
          <w:rStyle w:val="14Versalitas"/>
        </w:rPr>
      </w:pPr>
      <w:r w:rsidRPr="00807DFC">
        <w:rPr>
          <w:rStyle w:val="14Versalitas"/>
        </w:rPr>
        <w:t>Agrawal, S., et al. (2025). Effectiveness of sustainability communication on stakeholder engagement. Corporate Social Responsibility and Environmental Management. https://doi.org/10.1002/csr.2992</w:t>
      </w:r>
    </w:p>
    <w:p w14:paraId="12A3796E" w14:textId="77777777" w:rsidR="00807DFC" w:rsidRPr="00807DFC" w:rsidRDefault="00807DFC" w:rsidP="00807DFC">
      <w:pPr>
        <w:pStyle w:val="Bibliografa"/>
        <w:rPr>
          <w:rStyle w:val="14Versalitas"/>
        </w:rPr>
      </w:pPr>
      <w:r w:rsidRPr="00807DFC">
        <w:rPr>
          <w:rStyle w:val="14Versalitas"/>
        </w:rPr>
        <w:t>Alshukri, T., Ojekemi, O. S., Öz, T., &amp; Alzubi, A. (2024). The interplay of corporate social responsibility, innovation capability, organizational learning, and sustainable value creation: Does stakeholder engagement matter? Sustainability, 16(13), 5511. https://doi.org/10.3390/su16135511</w:t>
      </w:r>
    </w:p>
    <w:p w14:paraId="24761959" w14:textId="77777777" w:rsidR="00807DFC" w:rsidRPr="00807DFC" w:rsidRDefault="00807DFC" w:rsidP="00807DFC">
      <w:pPr>
        <w:pStyle w:val="Bibliografa"/>
        <w:rPr>
          <w:rStyle w:val="14Versalitas"/>
        </w:rPr>
      </w:pPr>
      <w:r w:rsidRPr="00807DFC">
        <w:rPr>
          <w:rStyle w:val="14Versalitas"/>
        </w:rPr>
        <w:t>Amato, C. N. (2021). Investigación en responsabilidad social empresaria y sustentabilidad corporativa: evolución, tensiones actuales y perspectivas futuras. Cuadernos de Administración (Javeriana). https://doi.org/10.11144/javeriana.cao34.irsesc</w:t>
      </w:r>
    </w:p>
    <w:p w14:paraId="61B7417F" w14:textId="77777777" w:rsidR="00807DFC" w:rsidRPr="00807DFC" w:rsidRDefault="00807DFC" w:rsidP="00807DFC">
      <w:pPr>
        <w:pStyle w:val="Bibliografa"/>
        <w:rPr>
          <w:rStyle w:val="14Versalitas"/>
        </w:rPr>
      </w:pPr>
      <w:r w:rsidRPr="00807DFC">
        <w:rPr>
          <w:rStyle w:val="14Versalitas"/>
        </w:rPr>
        <w:t>Ashrafi, M., Magnan, G. M., Adams, M., &amp; Walker, T. R. (2020). Understanding the conceptual evolutionary path and theoretical underpinnings of corporate social responsibility and corporate sustainability. Sustainability. https://doi.org/10.3390/su12030760</w:t>
      </w:r>
    </w:p>
    <w:p w14:paraId="4E58A0FE" w14:textId="77777777" w:rsidR="00807DFC" w:rsidRPr="00807DFC" w:rsidRDefault="00807DFC" w:rsidP="00807DFC">
      <w:pPr>
        <w:pStyle w:val="Bibliografa"/>
        <w:rPr>
          <w:rStyle w:val="14Versalitas"/>
        </w:rPr>
      </w:pPr>
      <w:r w:rsidRPr="00807DFC">
        <w:rPr>
          <w:rStyle w:val="14Versalitas"/>
        </w:rPr>
        <w:t>Attanasio, G., Preghenella, N., De Toni, A. F., &amp; Battistella, C. (2021). Stakeholder engagement in business models for sustainability: The stakeholder value flow model for sustainable development. Business Strategy and the Environment. https://doi.org/10.1002/bse.2922</w:t>
      </w:r>
    </w:p>
    <w:p w14:paraId="392513C7" w14:textId="77777777" w:rsidR="00807DFC" w:rsidRPr="00807DFC" w:rsidRDefault="00807DFC" w:rsidP="00807DFC">
      <w:pPr>
        <w:pStyle w:val="Bibliografa"/>
        <w:rPr>
          <w:rStyle w:val="14Versalitas"/>
        </w:rPr>
      </w:pPr>
      <w:r w:rsidRPr="00807DFC">
        <w:rPr>
          <w:rStyle w:val="14Versalitas"/>
        </w:rPr>
        <w:t>Awa, H. O., Etim, W., &amp; Ogbonda, E. (2024). Stakeholders, stakeholder theory and corporate social responsibility (CSR). International Journal of Corporate Social Responsibility. https://doi.org/10.1186/s40991-024-00094-y</w:t>
      </w:r>
    </w:p>
    <w:p w14:paraId="5E749B86" w14:textId="77777777" w:rsidR="00807DFC" w:rsidRPr="00807DFC" w:rsidRDefault="00807DFC" w:rsidP="00807DFC">
      <w:pPr>
        <w:pStyle w:val="Bibliografa"/>
        <w:rPr>
          <w:rStyle w:val="14Versalitas"/>
        </w:rPr>
      </w:pPr>
      <w:r w:rsidRPr="00807DFC">
        <w:rPr>
          <w:rStyle w:val="14Versalitas"/>
        </w:rPr>
        <w:t>Barbeito-Caamaño, A. M., &amp; Chalmeta, R. (2020). Using big data to evaluate corporate social responsibility and sustainable development practices. Corporate Social Responsibility and Environmental Management. https://doi.org/10.1002/csr.2006</w:t>
      </w:r>
    </w:p>
    <w:p w14:paraId="3A7F428A" w14:textId="77777777" w:rsidR="00807DFC" w:rsidRPr="00807DFC" w:rsidRDefault="00807DFC" w:rsidP="00807DFC">
      <w:pPr>
        <w:pStyle w:val="Bibliografa"/>
        <w:rPr>
          <w:rStyle w:val="14Versalitas"/>
        </w:rPr>
      </w:pPr>
      <w:r w:rsidRPr="00807DFC">
        <w:rPr>
          <w:rStyle w:val="14Versalitas"/>
        </w:rPr>
        <w:t>Barbosa, M., Bronzo, M., Torres Júnior, N., &amp; de Sousa, P. R. (2025). Predictors of corporate reputation: Circular economy, environmental, social, and governance, and collaborative relationships in Brazilian agribusiness. Sustainability, 17(7), 2969. https://doi.org/10.3390/su17072969</w:t>
      </w:r>
    </w:p>
    <w:p w14:paraId="3F288053" w14:textId="77777777" w:rsidR="00807DFC" w:rsidRPr="00807DFC" w:rsidRDefault="00807DFC" w:rsidP="00807DFC">
      <w:pPr>
        <w:pStyle w:val="Bibliografa"/>
        <w:rPr>
          <w:rStyle w:val="14Versalitas"/>
        </w:rPr>
      </w:pPr>
      <w:r w:rsidRPr="00807DFC">
        <w:rPr>
          <w:rStyle w:val="14Versalitas"/>
        </w:rPr>
        <w:t xml:space="preserve">Batista Peralta, D. R. (2025). Bases epistemológicas de la administración relacionadas con el desarrollo de la </w:t>
      </w:r>
      <w:r w:rsidRPr="00807DFC">
        <w:rPr>
          <w:rStyle w:val="14Versalitas"/>
        </w:rPr>
        <w:lastRenderedPageBreak/>
        <w:t>responsabilidad social empresarial. Experior. https://doi.org/10.56880/experior42.7</w:t>
      </w:r>
    </w:p>
    <w:p w14:paraId="0FCFC1FA" w14:textId="77777777" w:rsidR="00807DFC" w:rsidRPr="00807DFC" w:rsidRDefault="00807DFC" w:rsidP="00807DFC">
      <w:pPr>
        <w:pStyle w:val="Bibliografa"/>
        <w:rPr>
          <w:rStyle w:val="14Versalitas"/>
        </w:rPr>
      </w:pPr>
      <w:r w:rsidRPr="00807DFC">
        <w:rPr>
          <w:rStyle w:val="14Versalitas"/>
        </w:rPr>
        <w:t>Binu Raj, A., Nisha, A., &amp; Ambily, A. K. (2022). Building corporate reputation through corporate social responsibility: The mediation role of employer branding. International Journal of Social Economics. https://doi.org/10.1108/ijse-09-2021-0541</w:t>
      </w:r>
    </w:p>
    <w:p w14:paraId="305154C9" w14:textId="77777777" w:rsidR="00807DFC" w:rsidRPr="00807DFC" w:rsidRDefault="00807DFC" w:rsidP="00807DFC">
      <w:pPr>
        <w:pStyle w:val="Bibliografa"/>
        <w:rPr>
          <w:rStyle w:val="14Versalitas"/>
        </w:rPr>
      </w:pPr>
      <w:r w:rsidRPr="00807DFC">
        <w:rPr>
          <w:rStyle w:val="14Versalitas"/>
        </w:rPr>
        <w:t>Campos, S., &amp; Costa, R. (2018). Teoria da agência, stewardship e stakeholders: um ensaio sobre sua relevância no contexto das organizações. Revista de Gestão, Finanças e Contabilidade. https://www.revistas.uneb.br/index.php/financ/article/view/5416</w:t>
      </w:r>
    </w:p>
    <w:p w14:paraId="3B2E6901" w14:textId="77777777" w:rsidR="00807DFC" w:rsidRPr="00807DFC" w:rsidRDefault="00807DFC" w:rsidP="00807DFC">
      <w:pPr>
        <w:pStyle w:val="Bibliografa"/>
        <w:rPr>
          <w:rStyle w:val="14Versalitas"/>
        </w:rPr>
      </w:pPr>
      <w:r w:rsidRPr="00807DFC">
        <w:rPr>
          <w:rStyle w:val="14Versalitas"/>
        </w:rPr>
        <w:t>Carbone, G. (2006). Entrevista con Joan Costa. Reflexiones sobre la Comunicación Corporativa. Contratexto N0. 14,  pp. 225-229. https://revistas.ulima.edu.pe/index.php/contratexto/article/view/861</w:t>
      </w:r>
    </w:p>
    <w:p w14:paraId="7E7F17DD" w14:textId="77777777" w:rsidR="00807DFC" w:rsidRPr="00807DFC" w:rsidRDefault="00807DFC" w:rsidP="00807DFC">
      <w:pPr>
        <w:pStyle w:val="Bibliografa"/>
        <w:rPr>
          <w:rStyle w:val="14Versalitas"/>
        </w:rPr>
      </w:pPr>
      <w:r w:rsidRPr="00807DFC">
        <w:rPr>
          <w:rStyle w:val="14Versalitas"/>
        </w:rPr>
        <w:t>Carroll, A. B. (1991). The pyramid of corporate social responsibility: Toward the moral management of organizational stakeholders. Business Horizons, 34(4), 39–48. https://doi.org/10.1016/0007-6813(91)90005-G</w:t>
      </w:r>
    </w:p>
    <w:p w14:paraId="6CC36494" w14:textId="77777777" w:rsidR="00807DFC" w:rsidRPr="00807DFC" w:rsidRDefault="00807DFC" w:rsidP="00807DFC">
      <w:pPr>
        <w:pStyle w:val="Bibliografa"/>
        <w:rPr>
          <w:rStyle w:val="14Versalitas"/>
        </w:rPr>
      </w:pPr>
      <w:r w:rsidRPr="00807DFC">
        <w:rPr>
          <w:rStyle w:val="14Versalitas"/>
        </w:rPr>
        <w:t>Contreras-Pacheco, O., Talero-Sarmiento, L., &amp; Camacho-Pinto, J. (2022). Responsabilidad social e identificación organizacional: implicaciones para la gerencia de los recursos humanos. Revista Venezolana de Gerencia. https://doi.org/10.52080/rvgluz.27.99.24</w:t>
      </w:r>
    </w:p>
    <w:p w14:paraId="1EF6862B" w14:textId="77777777" w:rsidR="00807DFC" w:rsidRPr="00807DFC" w:rsidRDefault="00807DFC" w:rsidP="00807DFC">
      <w:pPr>
        <w:pStyle w:val="Bibliografa"/>
        <w:rPr>
          <w:rStyle w:val="14Versalitas"/>
        </w:rPr>
      </w:pPr>
      <w:r w:rsidRPr="00807DFC">
        <w:rPr>
          <w:rStyle w:val="14Versalitas"/>
        </w:rPr>
        <w:t>Cordero, J. (2017). La responsabilidad social empresarial. Una óptica desde los stakeholders. Revista Economía y Política, 26. https://doi.org/10.25097/REP.N26.2017.04</w:t>
      </w:r>
    </w:p>
    <w:p w14:paraId="7285D198" w14:textId="77777777" w:rsidR="00807DFC" w:rsidRPr="00807DFC" w:rsidRDefault="00807DFC" w:rsidP="00807DFC">
      <w:pPr>
        <w:pStyle w:val="Bibliografa"/>
        <w:rPr>
          <w:rStyle w:val="14Versalitas"/>
        </w:rPr>
      </w:pPr>
      <w:r w:rsidRPr="00807DFC">
        <w:rPr>
          <w:rStyle w:val="14Versalitas"/>
        </w:rPr>
        <w:t>Dash, A., &amp; Mohanty, S. K. (2023). The mediating effect of a firm's corporate reputation and sustainability practices in translating CSR into competitive performance in Indian ESG companies. Society and Business Review. https://doi.org/10.1108/sbr-02-2023-0045</w:t>
      </w:r>
    </w:p>
    <w:p w14:paraId="12C6BA58" w14:textId="77777777" w:rsidR="00807DFC" w:rsidRPr="00807DFC" w:rsidRDefault="00807DFC" w:rsidP="00807DFC">
      <w:pPr>
        <w:pStyle w:val="Bibliografa"/>
        <w:rPr>
          <w:rStyle w:val="14Versalitas"/>
        </w:rPr>
      </w:pPr>
      <w:r w:rsidRPr="00807DFC">
        <w:rPr>
          <w:rStyle w:val="14Versalitas"/>
        </w:rPr>
        <w:t>Dmytriyev, S. D., Freeman, R. E., &amp; Hörisch, J. (2021). The relationship between stakeholder theory and corporate social responsibility: Differences, similarities, and implications for social issues in management. Journal of Management Studies. https://doi.org/10.1111/joms.12684</w:t>
      </w:r>
    </w:p>
    <w:p w14:paraId="6CE77AD6" w14:textId="77777777" w:rsidR="00807DFC" w:rsidRPr="00807DFC" w:rsidRDefault="00807DFC" w:rsidP="00807DFC">
      <w:pPr>
        <w:pStyle w:val="Bibliografa"/>
        <w:rPr>
          <w:rStyle w:val="14Versalitas"/>
        </w:rPr>
      </w:pPr>
      <w:r w:rsidRPr="00807DFC">
        <w:rPr>
          <w:rStyle w:val="14Versalitas"/>
        </w:rPr>
        <w:t>Dolores Ruiz, E., Salazar Gómez, J. F., Valdivia Rivera, M. J., &amp; Hernández Cárdenas, M. (2025). Efecto de la responsabilidad social empresarial en la imagen corporativa interna. RIDE. https://doi.org/10.23913/ride.v15i30.2442</w:t>
      </w:r>
    </w:p>
    <w:p w14:paraId="07605EC7" w14:textId="77777777" w:rsidR="00807DFC" w:rsidRPr="00807DFC" w:rsidRDefault="00807DFC" w:rsidP="00807DFC">
      <w:pPr>
        <w:pStyle w:val="Bibliografa"/>
        <w:rPr>
          <w:rStyle w:val="14Versalitas"/>
        </w:rPr>
      </w:pPr>
      <w:r w:rsidRPr="00807DFC">
        <w:rPr>
          <w:rStyle w:val="14Versalitas"/>
        </w:rPr>
        <w:lastRenderedPageBreak/>
        <w:t>Donaldson, T., &amp; Preston, L. E. (1995). The stakeholder theory of the corporation: Concepts, evidence, and implications. Academy of Management Review, 20(1), 65–91. https://doi.org/10.5465/amr.1995.9503271992</w:t>
      </w:r>
    </w:p>
    <w:p w14:paraId="1720B5A9" w14:textId="77777777" w:rsidR="00807DFC" w:rsidRPr="00807DFC" w:rsidRDefault="00807DFC" w:rsidP="00807DFC">
      <w:pPr>
        <w:pStyle w:val="Bibliografa"/>
        <w:rPr>
          <w:rStyle w:val="14Versalitas"/>
        </w:rPr>
      </w:pPr>
      <w:r w:rsidRPr="00807DFC">
        <w:rPr>
          <w:rStyle w:val="14Versalitas"/>
        </w:rPr>
        <w:t>Dopazo, M. P. (2012). Informes de responsabilidad social corporativa (RSC): fuentes de información y documentación. Revista General de Información y Documentación. https://doi.org/10.5209/rev_rgid.2012.v22.39666</w:t>
      </w:r>
    </w:p>
    <w:p w14:paraId="5CE5E52A" w14:textId="77777777" w:rsidR="00807DFC" w:rsidRPr="00807DFC" w:rsidRDefault="00807DFC" w:rsidP="00807DFC">
      <w:pPr>
        <w:pStyle w:val="Bibliografa"/>
        <w:rPr>
          <w:rStyle w:val="14Versalitas"/>
        </w:rPr>
      </w:pPr>
      <w:r w:rsidRPr="00807DFC">
        <w:rPr>
          <w:rStyle w:val="14Versalitas"/>
        </w:rPr>
        <w:t>Elkington, J. (1998). Cannibals with forks: The triple bottom line of 21st century business. New Society Publishers.</w:t>
      </w:r>
    </w:p>
    <w:p w14:paraId="7A95751D" w14:textId="77777777" w:rsidR="00807DFC" w:rsidRPr="00807DFC" w:rsidRDefault="00807DFC" w:rsidP="00807DFC">
      <w:pPr>
        <w:pStyle w:val="Bibliografa"/>
        <w:rPr>
          <w:rStyle w:val="14Versalitas"/>
        </w:rPr>
      </w:pPr>
      <w:r w:rsidRPr="00807DFC">
        <w:rPr>
          <w:rStyle w:val="14Versalitas"/>
        </w:rPr>
        <w:t>Espinosa-Cristia, J., Kumari, K., Cioca, L.-I., &amp; Yan, X. (2022). Relationship between corporate social responsibility, organizational trust, and corporate reputation for sustainable performance. Sustainability. https://doi.org/10.3390/su14148737</w:t>
      </w:r>
    </w:p>
    <w:p w14:paraId="52BAD936" w14:textId="77777777" w:rsidR="00807DFC" w:rsidRPr="00807DFC" w:rsidRDefault="00807DFC" w:rsidP="00807DFC">
      <w:pPr>
        <w:pStyle w:val="Bibliografa"/>
        <w:rPr>
          <w:rStyle w:val="14Versalitas"/>
        </w:rPr>
      </w:pPr>
      <w:r w:rsidRPr="00807DFC">
        <w:rPr>
          <w:rStyle w:val="14Versalitas"/>
        </w:rPr>
        <w:t>Fandos-Roig, J. C., Sánchez-García, J., Tena-Monferrer, S., &amp; Callarisa-Fiol, L. (2020). Does CSR help to retain customers in a service company?. Sustainability. https://doi.org/10.3390/su13010300</w:t>
      </w:r>
    </w:p>
    <w:p w14:paraId="652BDA3C" w14:textId="77777777" w:rsidR="00807DFC" w:rsidRPr="00807DFC" w:rsidRDefault="00807DFC" w:rsidP="00807DFC">
      <w:pPr>
        <w:pStyle w:val="Bibliografa"/>
        <w:rPr>
          <w:rStyle w:val="14Versalitas"/>
        </w:rPr>
      </w:pPr>
      <w:r w:rsidRPr="00807DFC">
        <w:rPr>
          <w:rStyle w:val="14Versalitas"/>
        </w:rPr>
        <w:t>Fernández-Guadaño, J., &amp; Sarria-Pedroza, J. H. (2018). Impact of corporate social responsibility on value creation from a stakeholder perspective. Sustainability, 10(6), 2062. https://doi.org/10.3390/su10062062</w:t>
      </w:r>
    </w:p>
    <w:p w14:paraId="5E602608" w14:textId="77777777" w:rsidR="00807DFC" w:rsidRPr="00807DFC" w:rsidRDefault="00807DFC" w:rsidP="00807DFC">
      <w:pPr>
        <w:pStyle w:val="Bibliografa"/>
        <w:rPr>
          <w:rStyle w:val="14Versalitas"/>
        </w:rPr>
      </w:pPr>
      <w:r w:rsidRPr="00807DFC">
        <w:rPr>
          <w:rStyle w:val="14Versalitas"/>
        </w:rPr>
        <w:t>Ferro-Soto, C., Macías-Quintana, L. A., &amp; Vázquez-Rodríguez, P. (2018). Effect of stakeholders-oriented behavior on the performance of sustainable business. Sustainability. https://doi.org/10.3390/su10124724</w:t>
      </w:r>
    </w:p>
    <w:p w14:paraId="299FF2E0" w14:textId="77777777" w:rsidR="00807DFC" w:rsidRPr="00807DFC" w:rsidRDefault="00807DFC" w:rsidP="00807DFC">
      <w:pPr>
        <w:pStyle w:val="Bibliografa"/>
        <w:rPr>
          <w:rStyle w:val="14Versalitas"/>
        </w:rPr>
      </w:pPr>
      <w:r w:rsidRPr="00807DFC">
        <w:rPr>
          <w:rStyle w:val="14Versalitas"/>
        </w:rPr>
        <w:t>Fombrun, C. J. (1996). Reputation: Realizing value from the corporate image. Harvard Business School Press.</w:t>
      </w:r>
    </w:p>
    <w:p w14:paraId="7835396A" w14:textId="77777777" w:rsidR="00807DFC" w:rsidRPr="00807DFC" w:rsidRDefault="00807DFC" w:rsidP="00807DFC">
      <w:pPr>
        <w:pStyle w:val="Bibliografa"/>
        <w:rPr>
          <w:rStyle w:val="14Versalitas"/>
        </w:rPr>
      </w:pPr>
      <w:r w:rsidRPr="00807DFC">
        <w:rPr>
          <w:rStyle w:val="14Versalitas"/>
        </w:rPr>
        <w:t>Freeman, R. E. (1984). Strategic management: A stakeholder approach. Pitman.</w:t>
      </w:r>
    </w:p>
    <w:p w14:paraId="2CE880A2" w14:textId="77777777" w:rsidR="00807DFC" w:rsidRPr="00807DFC" w:rsidRDefault="00807DFC" w:rsidP="00807DFC">
      <w:pPr>
        <w:pStyle w:val="Bibliografa"/>
        <w:rPr>
          <w:rStyle w:val="14Versalitas"/>
        </w:rPr>
      </w:pPr>
      <w:r w:rsidRPr="00807DFC">
        <w:rPr>
          <w:rStyle w:val="14Versalitas"/>
        </w:rPr>
        <w:t>Freeman, R. E., &amp; Dmytriyev, S. (2017). Corporate social responsibility and stakeholder theory: Learning from each other. Symphonya. Emerging Issues in Management, 1, 7–15. https://doi.org/10.4468/2017.1.02freeman.dmytriyev</w:t>
      </w:r>
    </w:p>
    <w:p w14:paraId="6E9B9AB2" w14:textId="77777777" w:rsidR="00807DFC" w:rsidRPr="00807DFC" w:rsidRDefault="00807DFC" w:rsidP="00807DFC">
      <w:pPr>
        <w:pStyle w:val="Bibliografa"/>
        <w:rPr>
          <w:rStyle w:val="14Versalitas"/>
        </w:rPr>
      </w:pPr>
      <w:r w:rsidRPr="00807DFC">
        <w:rPr>
          <w:rStyle w:val="14Versalitas"/>
        </w:rPr>
        <w:t>Freitas, M. A. O., &amp; Crisóstomo, V. L. (2021). Análise da convergência de avaliação de índices de responsabilidade social corporativa no contexto da empresa brasileira. Estudios Gerenciales. https://doi.org/10.18046/j.estger.2021.160.3955</w:t>
      </w:r>
    </w:p>
    <w:p w14:paraId="628A8251" w14:textId="77777777" w:rsidR="00807DFC" w:rsidRPr="00807DFC" w:rsidRDefault="00807DFC" w:rsidP="00807DFC">
      <w:pPr>
        <w:pStyle w:val="Bibliografa"/>
        <w:rPr>
          <w:rStyle w:val="14Versalitas"/>
        </w:rPr>
      </w:pPr>
      <w:r w:rsidRPr="00807DFC">
        <w:rPr>
          <w:rStyle w:val="14Versalitas"/>
        </w:rPr>
        <w:t xml:space="preserve">Freudenreich, B., Lüdeke-Freund, F., &amp; Schaltegger, S. (2020). A stakeholder theory perspective on business models: Value </w:t>
      </w:r>
      <w:r w:rsidRPr="00807DFC">
        <w:rPr>
          <w:rStyle w:val="14Versalitas"/>
        </w:rPr>
        <w:lastRenderedPageBreak/>
        <w:t>creation for sustainability. Journal of Business Ethics. https://doi.org/10.1007/s10551-019-04112-z</w:t>
      </w:r>
    </w:p>
    <w:p w14:paraId="76B64DBE" w14:textId="77777777" w:rsidR="00807DFC" w:rsidRPr="00807DFC" w:rsidRDefault="00807DFC" w:rsidP="00807DFC">
      <w:pPr>
        <w:pStyle w:val="Bibliografa"/>
        <w:rPr>
          <w:rStyle w:val="14Versalitas"/>
        </w:rPr>
      </w:pPr>
      <w:r w:rsidRPr="00807DFC">
        <w:rPr>
          <w:rStyle w:val="14Versalitas"/>
        </w:rPr>
        <w:t>Galindo, J. (2016). Ingeniería en comunicación social de los colectivos sociales: Apunte de un modelo de acción en comunicación social estratégica. La experiencia del Comunitlán, colectivo de colectivos sociales. Civilizar Ciencias de la Comunicación.</w:t>
      </w:r>
    </w:p>
    <w:p w14:paraId="4AD15694" w14:textId="77777777" w:rsidR="00807DFC" w:rsidRPr="00807DFC" w:rsidRDefault="00807DFC" w:rsidP="00807DFC">
      <w:pPr>
        <w:pStyle w:val="Bibliografa"/>
        <w:rPr>
          <w:rStyle w:val="14Versalitas"/>
        </w:rPr>
      </w:pPr>
      <w:r w:rsidRPr="00807DFC">
        <w:rPr>
          <w:rStyle w:val="14Versalitas"/>
        </w:rPr>
        <w:t>Ghuslan, M. I., Jaffar, R., Mohd Saleh, N., &amp; Yaacob, M. H. (2021). Corporate governance and corporate reputation: The role of environmental and social reporting quality. Sustainability, 13(18), 10452. https://doi.org/10.3390/su131810452</w:t>
      </w:r>
    </w:p>
    <w:p w14:paraId="5BF33C9D" w14:textId="77777777" w:rsidR="00807DFC" w:rsidRPr="00807DFC" w:rsidRDefault="00807DFC" w:rsidP="00807DFC">
      <w:pPr>
        <w:pStyle w:val="Bibliografa"/>
        <w:rPr>
          <w:rStyle w:val="14Versalitas"/>
        </w:rPr>
      </w:pPr>
      <w:r w:rsidRPr="00807DFC">
        <w:rPr>
          <w:rStyle w:val="14Versalitas"/>
        </w:rPr>
        <w:t>Gil Lafuente, A. M., &amp; Barcellos de Paula, L. (2011). La gestión de los grupos de interés: una reflexión sobre los desafíos a los que se enfrentan las empresas en la búsqueda de la sostenibilidad empresarial. Revista de Métodos Cuantitativos para la Economía y la Empresa. https://doi.org/10.46661/revmetodoscuanteconempresa.2095</w:t>
      </w:r>
    </w:p>
    <w:p w14:paraId="1D692C81" w14:textId="77777777" w:rsidR="00807DFC" w:rsidRPr="00807DFC" w:rsidRDefault="00807DFC" w:rsidP="00807DFC">
      <w:pPr>
        <w:pStyle w:val="Bibliografa"/>
        <w:rPr>
          <w:rStyle w:val="14Versalitas"/>
        </w:rPr>
      </w:pPr>
      <w:r w:rsidRPr="00807DFC">
        <w:rPr>
          <w:rStyle w:val="14Versalitas"/>
        </w:rPr>
        <w:t>Hu, Y., Chen, S., Shao, Y., &amp; Gao, S. (2018). CSR and firm value: Evidence from China. Sustainability. https://doi.org/10.3390/su10124597</w:t>
      </w:r>
    </w:p>
    <w:p w14:paraId="66DCFFB1" w14:textId="77777777" w:rsidR="00807DFC" w:rsidRPr="00807DFC" w:rsidRDefault="00807DFC" w:rsidP="00807DFC">
      <w:pPr>
        <w:pStyle w:val="Bibliografa"/>
        <w:rPr>
          <w:rStyle w:val="14Versalitas"/>
        </w:rPr>
      </w:pPr>
      <w:r w:rsidRPr="00807DFC">
        <w:rPr>
          <w:rStyle w:val="14Versalitas"/>
        </w:rPr>
        <w:t>Javed, M., Rashid, M. A., Hussain, G., &amp; Ali, H. Y. (2019). The effects of corporate social responsibility on corporate reputation and firm financial performance: Moderating role of responsible leadership. Corporate Social Responsibility and Environmental Management. https://doi.org/10.1002/csr.1892.</w:t>
      </w:r>
    </w:p>
    <w:p w14:paraId="474A174C" w14:textId="77777777" w:rsidR="00807DFC" w:rsidRPr="00807DFC" w:rsidRDefault="00807DFC" w:rsidP="00807DFC">
      <w:pPr>
        <w:pStyle w:val="Bibliografa"/>
        <w:rPr>
          <w:rStyle w:val="14Versalitas"/>
        </w:rPr>
      </w:pPr>
      <w:r w:rsidRPr="00807DFC">
        <w:rPr>
          <w:rStyle w:val="14Versalitas"/>
        </w:rPr>
        <w:t>Kim, D.-Y., &amp; Kim, S.-B. (2017). Antecedents of corporate reputation in the hotel industry: The moderating role of transparency. Sustainability. https://doi.org/10.3390/su9060951</w:t>
      </w:r>
    </w:p>
    <w:p w14:paraId="006C8AF7" w14:textId="77777777" w:rsidR="00807DFC" w:rsidRPr="00807DFC" w:rsidRDefault="00807DFC" w:rsidP="00807DFC">
      <w:pPr>
        <w:pStyle w:val="Bibliografa"/>
        <w:rPr>
          <w:rStyle w:val="14Versalitas"/>
        </w:rPr>
      </w:pPr>
      <w:r w:rsidRPr="00807DFC">
        <w:rPr>
          <w:rStyle w:val="14Versalitas"/>
        </w:rPr>
        <w:t>Lai, C.-S., Chiu, C.-J., Yang, C.-F., &amp; Pai, D.-C. (2010). The effects of corporate social responsibility on brand performance: The mediating effect of industrial brand equity and corporate reputation. Journal of Business Ethics. https://doi.org/10.1007/s10551-010-0433-1</w:t>
      </w:r>
    </w:p>
    <w:p w14:paraId="5F1BDCBA" w14:textId="77777777" w:rsidR="00807DFC" w:rsidRPr="00807DFC" w:rsidRDefault="00807DFC" w:rsidP="00807DFC">
      <w:pPr>
        <w:pStyle w:val="Bibliografa"/>
        <w:rPr>
          <w:rStyle w:val="14Versalitas"/>
        </w:rPr>
      </w:pPr>
      <w:r w:rsidRPr="00807DFC">
        <w:rPr>
          <w:rStyle w:val="14Versalitas"/>
        </w:rPr>
        <w:t>Lee, Y.-M., &amp; Hu, J.-L. (2018). Integrated approaches for business sustainability: The perspective of corporate social responsibility. Sustainability. https://doi.org/10.3390/su10072318</w:t>
      </w:r>
    </w:p>
    <w:p w14:paraId="4AEFB1D9" w14:textId="77777777" w:rsidR="00807DFC" w:rsidRPr="00807DFC" w:rsidRDefault="00807DFC" w:rsidP="00807DFC">
      <w:pPr>
        <w:pStyle w:val="Bibliografa"/>
        <w:rPr>
          <w:rStyle w:val="14Versalitas"/>
        </w:rPr>
      </w:pPr>
      <w:r w:rsidRPr="00807DFC">
        <w:rPr>
          <w:rStyle w:val="14Versalitas"/>
        </w:rPr>
        <w:t>Loock, M., &amp; Phillips, D. M. (2020). A firm’s financial reputation vs. sustainability reputation: Do consumers really care? Sustainability, 12(24), 10519. https://doi.org/10.3390/su122410519</w:t>
      </w:r>
    </w:p>
    <w:p w14:paraId="6886B4CF" w14:textId="77777777" w:rsidR="00807DFC" w:rsidRPr="00807DFC" w:rsidRDefault="00807DFC" w:rsidP="00807DFC">
      <w:pPr>
        <w:pStyle w:val="Bibliografa"/>
        <w:rPr>
          <w:rStyle w:val="14Versalitas"/>
        </w:rPr>
      </w:pPr>
      <w:r w:rsidRPr="00807DFC">
        <w:rPr>
          <w:rStyle w:val="14Versalitas"/>
        </w:rPr>
        <w:t xml:space="preserve">Mai, N. K., Nguyen, A. K. T., &amp; Nguyen, T. T. (2021). Implementation of corporate social responsibility strategy to enhance firm </w:t>
      </w:r>
      <w:r w:rsidRPr="00807DFC">
        <w:rPr>
          <w:rStyle w:val="14Versalitas"/>
        </w:rPr>
        <w:lastRenderedPageBreak/>
        <w:t>reputation and competitive advantage. Journal of Competitiveness. https://doi.org/10.7441/joc.2021.04.06</w:t>
      </w:r>
    </w:p>
    <w:p w14:paraId="12D36762" w14:textId="77777777" w:rsidR="00807DFC" w:rsidRPr="00807DFC" w:rsidRDefault="00807DFC" w:rsidP="00807DFC">
      <w:pPr>
        <w:pStyle w:val="Bibliografa"/>
        <w:rPr>
          <w:rStyle w:val="14Versalitas"/>
        </w:rPr>
      </w:pPr>
      <w:r w:rsidRPr="00807DFC">
        <w:rPr>
          <w:rStyle w:val="14Versalitas"/>
        </w:rPr>
        <w:t>Mansilla Obando, K., Guiñez Cabrera, N., &amp; Jeldes Delgado, F. (2022). Cuando la comunidad es invisible: responsabilidad social empresarial en la industria minera. Letras Verdes (FLACSO). https://doi.org/10.17141/letrasverdes.31.2022.5082</w:t>
      </w:r>
    </w:p>
    <w:p w14:paraId="5331C995" w14:textId="77777777" w:rsidR="00807DFC" w:rsidRPr="00807DFC" w:rsidRDefault="00807DFC" w:rsidP="00807DFC">
      <w:pPr>
        <w:pStyle w:val="Bibliografa"/>
        <w:rPr>
          <w:rStyle w:val="14Versalitas"/>
        </w:rPr>
      </w:pPr>
      <w:r w:rsidRPr="00807DFC">
        <w:rPr>
          <w:rStyle w:val="14Versalitas"/>
        </w:rPr>
        <w:t>Mehnaz, Jin, J., Hussain, A., &amp; Waheed, A. (2024). Impact of perceived CSR practices on customers loyalty: The mediating role of reputation and customer satisfaction. Corporate Social Responsibility and Environmental Management. https://doi.org/10.1002/csr.2762</w:t>
      </w:r>
    </w:p>
    <w:p w14:paraId="380F2EB3" w14:textId="77777777" w:rsidR="00807DFC" w:rsidRPr="00807DFC" w:rsidRDefault="00807DFC" w:rsidP="00807DFC">
      <w:pPr>
        <w:pStyle w:val="Bibliografa"/>
        <w:rPr>
          <w:rStyle w:val="14Versalitas"/>
        </w:rPr>
      </w:pPr>
      <w:r w:rsidRPr="00807DFC">
        <w:rPr>
          <w:rStyle w:val="14Versalitas"/>
        </w:rPr>
        <w:t>Meng, T., Yahya, M. H. D. H., Ashhari, Z. M., &amp; Yu, D. (2023). ESG performance, investor attention, and company reputation: Threshold model analysis based on panel data from listed companies in China. Heliyon, 9, e20974. https://doi.org/10.1016/j.heliyon.2023.e20974</w:t>
      </w:r>
    </w:p>
    <w:p w14:paraId="397F4D23" w14:textId="77777777" w:rsidR="00807DFC" w:rsidRPr="00807DFC" w:rsidRDefault="00807DFC" w:rsidP="00807DFC">
      <w:pPr>
        <w:pStyle w:val="Bibliografa"/>
        <w:rPr>
          <w:rStyle w:val="14Versalitas"/>
        </w:rPr>
      </w:pPr>
      <w:r w:rsidRPr="00807DFC">
        <w:rPr>
          <w:rStyle w:val="14Versalitas"/>
        </w:rPr>
        <w:t>Mostepaniuk, A., Nasr, E., Awwad, R. I., Hamdan, S., &amp; Aljuhmani, H. Y. (2022). Managing a relationship between corporate social responsibility and sustainability: A systematic review. Sustainability. https://doi.org/10.3390/su141811203</w:t>
      </w:r>
    </w:p>
    <w:p w14:paraId="63BF15D3" w14:textId="77777777" w:rsidR="00807DFC" w:rsidRPr="00807DFC" w:rsidRDefault="00807DFC" w:rsidP="00807DFC">
      <w:pPr>
        <w:pStyle w:val="Bibliografa"/>
        <w:rPr>
          <w:rStyle w:val="14Versalitas"/>
        </w:rPr>
      </w:pPr>
      <w:r w:rsidRPr="00807DFC">
        <w:rPr>
          <w:rStyle w:val="14Versalitas"/>
        </w:rPr>
        <w:t>Olaleye, B. R. (2023). Influence of eco-product innovation and firm reputation on corporate social responsibility and competitive advantage: A mediation-moderation analysis. Journal of Public Affairs. https://doi.org/10.1002/pa.2878</w:t>
      </w:r>
    </w:p>
    <w:p w14:paraId="34B51EE3" w14:textId="77777777" w:rsidR="00807DFC" w:rsidRPr="00807DFC" w:rsidRDefault="00807DFC" w:rsidP="00807DFC">
      <w:pPr>
        <w:pStyle w:val="Bibliografa"/>
        <w:rPr>
          <w:rStyle w:val="14Versalitas"/>
        </w:rPr>
      </w:pPr>
      <w:r w:rsidRPr="00807DFC">
        <w:rPr>
          <w:rStyle w:val="14Versalitas"/>
        </w:rPr>
        <w:t>Page, M. J., McKenzie, J. E., Bossuyt, P. M., et al. (2021). The PRISMA 2020 statement: An updated guideline for reporting systematic reviews. BMJ, 372, n71. https://doi.org/10.1136/bmj.n71</w:t>
      </w:r>
    </w:p>
    <w:p w14:paraId="236EBF23" w14:textId="77777777" w:rsidR="00807DFC" w:rsidRPr="00807DFC" w:rsidRDefault="00807DFC" w:rsidP="00807DFC">
      <w:pPr>
        <w:pStyle w:val="Bibliografa"/>
        <w:rPr>
          <w:rStyle w:val="14Versalitas"/>
        </w:rPr>
      </w:pPr>
      <w:r w:rsidRPr="00807DFC">
        <w:rPr>
          <w:rStyle w:val="14Versalitas"/>
        </w:rPr>
        <w:t>Pérez, A. (2001). Estrategias de comunicación. Barcelona: Ariel. (4ª ed. actualizada, 2008).</w:t>
      </w:r>
    </w:p>
    <w:p w14:paraId="6AA75EEE" w14:textId="77777777" w:rsidR="00807DFC" w:rsidRPr="00807DFC" w:rsidRDefault="00807DFC" w:rsidP="00807DFC">
      <w:pPr>
        <w:pStyle w:val="Bibliografa"/>
        <w:rPr>
          <w:rStyle w:val="14Versalitas"/>
        </w:rPr>
      </w:pPr>
      <w:r w:rsidRPr="00807DFC">
        <w:rPr>
          <w:rStyle w:val="14Versalitas"/>
        </w:rPr>
        <w:t>Rubio, P. (2021). Elementos de responsabilidad social empresarial y mercadotecnia social para la reputación corporativa e impacto en el branding. RECAI. https://doi.org/10.36677/recai.v10i27.15372</w:t>
      </w:r>
    </w:p>
    <w:p w14:paraId="31F1B9A9" w14:textId="77777777" w:rsidR="00807DFC" w:rsidRPr="00807DFC" w:rsidRDefault="00807DFC" w:rsidP="00807DFC">
      <w:pPr>
        <w:pStyle w:val="Bibliografa"/>
        <w:rPr>
          <w:rStyle w:val="14Versalitas"/>
        </w:rPr>
      </w:pPr>
      <w:r w:rsidRPr="00807DFC">
        <w:rPr>
          <w:rStyle w:val="14Versalitas"/>
        </w:rPr>
        <w:t>Ruiz Acosta, L. E., Camargo Mayorga, D. A., &amp; Cardona García, O. (2020). Responsabilidad social empresarial y desempeño financiero: un análisis bibliométrico. Criterio Libre. https://doi.org/10.18041/1900-0642/criteriolibre.2020v18n32.7116</w:t>
      </w:r>
    </w:p>
    <w:p w14:paraId="216C6323" w14:textId="77777777" w:rsidR="00807DFC" w:rsidRPr="00807DFC" w:rsidRDefault="00807DFC" w:rsidP="00807DFC">
      <w:pPr>
        <w:pStyle w:val="Bibliografa"/>
        <w:rPr>
          <w:rStyle w:val="14Versalitas"/>
        </w:rPr>
      </w:pPr>
      <w:r w:rsidRPr="00807DFC">
        <w:rPr>
          <w:rStyle w:val="14Versalitas"/>
        </w:rPr>
        <w:t>Saeed, U. F., &amp; Wiredu, I. (2025). Optimizing business strategy for sustainability: Probing the effects of CEO features and corporate reputation in driving ESG outcomes. Business Strategy &amp; Development. https://doi.org/10.1002/bsd2.70156</w:t>
      </w:r>
    </w:p>
    <w:p w14:paraId="5623E7EA" w14:textId="77777777" w:rsidR="00807DFC" w:rsidRPr="00807DFC" w:rsidRDefault="00807DFC" w:rsidP="00807DFC">
      <w:pPr>
        <w:pStyle w:val="Bibliografa"/>
        <w:rPr>
          <w:rStyle w:val="14Versalitas"/>
        </w:rPr>
      </w:pPr>
      <w:r w:rsidRPr="00807DFC">
        <w:rPr>
          <w:rStyle w:val="14Versalitas"/>
        </w:rPr>
        <w:lastRenderedPageBreak/>
        <w:t>Safavi, H. P., &amp; Bouzari, M. (2025). Wings of responsibility: Uniting CSR, green innovation, sustainability, and reputation. Corporate Social Responsibility and Environmental Management. https://doi.org/10.1002/csr.3235</w:t>
      </w:r>
    </w:p>
    <w:p w14:paraId="3A84F0AC" w14:textId="77777777" w:rsidR="00807DFC" w:rsidRPr="00807DFC" w:rsidRDefault="00807DFC" w:rsidP="00807DFC">
      <w:pPr>
        <w:pStyle w:val="Bibliografa"/>
        <w:rPr>
          <w:rStyle w:val="14Versalitas"/>
        </w:rPr>
      </w:pPr>
      <w:r w:rsidRPr="00807DFC">
        <w:rPr>
          <w:rStyle w:val="14Versalitas"/>
        </w:rPr>
        <w:t>Sánchez-Torné, I., Morán-Álvarez, J. C., &amp; Pérez-López, J. A. (2020). The importance of corporate social responsibility in achieving high corporate reputation. Corporate Social Responsibility and Environmental Management. https://doi.org/10.1002/csr.1993.</w:t>
      </w:r>
    </w:p>
    <w:p w14:paraId="1911C935" w14:textId="77777777" w:rsidR="00807DFC" w:rsidRPr="00807DFC" w:rsidRDefault="00807DFC" w:rsidP="00807DFC">
      <w:pPr>
        <w:pStyle w:val="Bibliografa"/>
        <w:rPr>
          <w:rStyle w:val="14Versalitas"/>
        </w:rPr>
      </w:pPr>
      <w:r w:rsidRPr="00807DFC">
        <w:rPr>
          <w:rStyle w:val="14Versalitas"/>
        </w:rPr>
        <w:t>Testera Fuertes, A., &amp; Cabeza-García, L. (2013). Análisis de los factores determinantes de la transparencia en RSC en las empresas españolas cotizadas. Intangible Capital. https://doi.org/10.3926/ic.311</w:t>
      </w:r>
    </w:p>
    <w:p w14:paraId="5A60BE1C" w14:textId="77777777" w:rsidR="00807DFC" w:rsidRPr="00807DFC" w:rsidRDefault="00807DFC" w:rsidP="00807DFC">
      <w:pPr>
        <w:pStyle w:val="Bibliografa"/>
        <w:rPr>
          <w:rStyle w:val="14Versalitas"/>
        </w:rPr>
      </w:pPr>
      <w:r w:rsidRPr="00807DFC">
        <w:rPr>
          <w:rStyle w:val="14Versalitas"/>
        </w:rPr>
        <w:t>Tien Thanh, P., Thu Hà, N. T., Thi Hong Ngoc, P., &amp; Thuy Hà, L. T. (2023). Corporate social responsibility, corporate reputation and intention to apply for a job: Evidence from students in an emerging economy. International Journal of Organizational Analysis. https://doi.org/10.1108/ijoa-11-2022-3484</w:t>
      </w:r>
    </w:p>
    <w:p w14:paraId="4C6A196E" w14:textId="77777777" w:rsidR="00807DFC" w:rsidRPr="00807DFC" w:rsidRDefault="00807DFC" w:rsidP="00807DFC">
      <w:pPr>
        <w:pStyle w:val="Bibliografa"/>
        <w:rPr>
          <w:rStyle w:val="14Versalitas"/>
        </w:rPr>
      </w:pPr>
      <w:r w:rsidRPr="00807DFC">
        <w:rPr>
          <w:rStyle w:val="14Versalitas"/>
        </w:rPr>
        <w:t>Uribe, D. F., Ortiz-Marcos, I., &amp; Uruburu, Á. (2018). What is going on with stakeholder theory in project management literature? A symbiotic relationship for sustainability. Sustainability. https://doi.org/10.3390/su10041300</w:t>
      </w:r>
    </w:p>
    <w:p w14:paraId="1D5E61F6" w14:textId="77777777" w:rsidR="00807DFC" w:rsidRPr="00807DFC" w:rsidRDefault="00807DFC" w:rsidP="00807DFC">
      <w:pPr>
        <w:pStyle w:val="Bibliografa"/>
        <w:rPr>
          <w:rStyle w:val="14Versalitas"/>
        </w:rPr>
      </w:pPr>
      <w:r w:rsidRPr="00807DFC">
        <w:rPr>
          <w:rStyle w:val="14Versalitas"/>
        </w:rPr>
        <w:t>Villafañe, J. (2003). La buena reputación. Madrid: Pirámide</w:t>
      </w:r>
    </w:p>
    <w:p w14:paraId="48E0DB68" w14:textId="77777777" w:rsidR="00807DFC" w:rsidRPr="00807DFC" w:rsidRDefault="00807DFC" w:rsidP="00807DFC">
      <w:pPr>
        <w:pStyle w:val="Bibliografa"/>
        <w:rPr>
          <w:rStyle w:val="14Versalitas"/>
        </w:rPr>
      </w:pPr>
    </w:p>
    <w:p w14:paraId="754DF1BB" w14:textId="77777777" w:rsidR="00807DFC" w:rsidRPr="00807DFC" w:rsidRDefault="00807DFC" w:rsidP="00807DFC">
      <w:pPr>
        <w:pStyle w:val="Bibliografa"/>
        <w:rPr>
          <w:rStyle w:val="14Versalitas"/>
        </w:rPr>
      </w:pPr>
      <w:r w:rsidRPr="00807DFC">
        <w:rPr>
          <w:rStyle w:val="14Versalitas"/>
        </w:rPr>
        <w:t>Villagra, N., López, B., &amp; Monfort, A. (2017). La percepción de la reputación corporativa de los stakeholders de una empresa de comunicación: cómo afecta a Televisió de Catalunya comunicar una acción de responsabilidad social corporativa. Palabra Clave, 20(2), 429–456.</w:t>
      </w:r>
    </w:p>
    <w:p w14:paraId="4A3F81AD" w14:textId="77777777" w:rsidR="00807DFC" w:rsidRPr="00807DFC" w:rsidRDefault="00807DFC" w:rsidP="00807DFC">
      <w:pPr>
        <w:pStyle w:val="Bibliografa"/>
        <w:rPr>
          <w:rStyle w:val="14Versalitas"/>
        </w:rPr>
      </w:pPr>
      <w:r w:rsidRPr="00807DFC">
        <w:rPr>
          <w:rStyle w:val="14Versalitas"/>
        </w:rPr>
        <w:t xml:space="preserve">Vrontis, D., Iazzi, A., Maizza, A., &amp; Cavallo, F. (2022). Stakeholder engagement in the hospitality industry: An analysis of communication in SMEs and large hotels. Cornell Hospitality Quarterly. https://doi.org/10.1177/1938965520936351 </w:t>
      </w:r>
    </w:p>
    <w:p w14:paraId="015EB5AC" w14:textId="77777777" w:rsidR="00807DFC" w:rsidRPr="00807DFC" w:rsidRDefault="00807DFC" w:rsidP="00807DFC">
      <w:pPr>
        <w:pStyle w:val="Bibliografa"/>
        <w:rPr>
          <w:rStyle w:val="14Versalitas"/>
        </w:rPr>
      </w:pPr>
      <w:r w:rsidRPr="00807DFC">
        <w:rPr>
          <w:rStyle w:val="14Versalitas"/>
        </w:rPr>
        <w:t>Wang, Y., &amp; Berens, G. (2014). The impact of four types of corporate social performance on reputation and financial performance. Journal of Business Ethics. https://doi.org/10.1007/s10551-014-2280-y</w:t>
      </w:r>
    </w:p>
    <w:p w14:paraId="296C4993" w14:textId="77777777" w:rsidR="00807DFC" w:rsidRPr="00807DFC" w:rsidRDefault="00807DFC" w:rsidP="00807DFC">
      <w:pPr>
        <w:pStyle w:val="Bibliografa"/>
        <w:rPr>
          <w:rStyle w:val="14Versalitas"/>
        </w:rPr>
      </w:pPr>
      <w:r w:rsidRPr="00807DFC">
        <w:rPr>
          <w:rStyle w:val="14Versalitas"/>
        </w:rPr>
        <w:t>Xu, R., Liu, J., &amp; Yang, D. (2023). The formation of reputation in CSR disclosure: The role of signal transmission and sensemaking processes of stakeholders. Sustainability, 15(12), 9418. https://doi.org/10.3390/su15129418</w:t>
      </w:r>
    </w:p>
    <w:p w14:paraId="3A4F47D3" w14:textId="77777777" w:rsidR="00807DFC" w:rsidRPr="00807DFC" w:rsidRDefault="00807DFC" w:rsidP="00807DFC">
      <w:pPr>
        <w:pStyle w:val="Bibliografa"/>
        <w:rPr>
          <w:rStyle w:val="14Versalitas"/>
        </w:rPr>
      </w:pPr>
      <w:r w:rsidRPr="00807DFC">
        <w:rPr>
          <w:rStyle w:val="14Versalitas"/>
        </w:rPr>
        <w:lastRenderedPageBreak/>
        <w:t>Zárate-Rueda, R., Bautista-Zárate, J. S., &amp; Beltrán-Villamizar, Y. I. (2021). Stakeholders within the framework of corporate social responsibility: A systematic review. Estudios Gerenciales. https://doi.org/10.18046/j.estger.2021.160.3974</w:t>
      </w:r>
    </w:p>
    <w:p w14:paraId="7E8817CC" w14:textId="0E832A35" w:rsidR="00807DFC" w:rsidRPr="00807DFC" w:rsidRDefault="00807DFC" w:rsidP="00807DFC">
      <w:pPr>
        <w:pStyle w:val="Bibliografa"/>
        <w:rPr>
          <w:rStyle w:val="14Versalitas"/>
        </w:rPr>
      </w:pPr>
      <w:r w:rsidRPr="00807DFC">
        <w:rPr>
          <w:rStyle w:val="14Versalitas"/>
        </w:rPr>
        <w:t>Zhao, Y., Abbas, M., Samma, M., Ozkut, T., Munir, M., &amp; Rasool, S. F. (2021). Exploring the relationship between corporate social responsibility, trust, corporate reputation, and brand equity. Frontiers in Psychology. https://doi.org</w:t>
      </w:r>
    </w:p>
    <w:p w14:paraId="12E486C6" w14:textId="77777777" w:rsidR="00807DFC" w:rsidRDefault="00807DFC" w:rsidP="009C304F">
      <w:pPr>
        <w:pStyle w:val="Bibliografa"/>
        <w:rPr>
          <w:rStyle w:val="14Versalitas"/>
          <w:smallCaps w:val="0"/>
        </w:rPr>
      </w:pPr>
    </w:p>
    <w:sectPr w:rsidR="00807DFC"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111BD" w14:textId="77777777" w:rsidR="008E3052" w:rsidRDefault="008E3052" w:rsidP="00EB0247">
      <w:pPr>
        <w:spacing w:after="0" w:line="240" w:lineRule="auto"/>
      </w:pPr>
      <w:r>
        <w:separator/>
      </w:r>
    </w:p>
  </w:endnote>
  <w:endnote w:type="continuationSeparator" w:id="0">
    <w:p w14:paraId="5A456EED" w14:textId="77777777" w:rsidR="008E3052" w:rsidRDefault="008E3052"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3">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F4F2B" w14:textId="77777777" w:rsidR="008E3052" w:rsidRDefault="008E3052" w:rsidP="00EB0247">
      <w:pPr>
        <w:spacing w:after="0" w:line="240" w:lineRule="auto"/>
      </w:pPr>
      <w:r>
        <w:separator/>
      </w:r>
    </w:p>
  </w:footnote>
  <w:footnote w:type="continuationSeparator" w:id="0">
    <w:p w14:paraId="470A230D" w14:textId="77777777" w:rsidR="008E3052" w:rsidRDefault="008E3052"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3336"/>
        </w:tabs>
        <w:ind w:left="3336"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515659223">
    <w:abstractNumId w:val="8"/>
  </w:num>
  <w:num w:numId="2" w16cid:durableId="780102627">
    <w:abstractNumId w:val="3"/>
  </w:num>
  <w:num w:numId="3" w16cid:durableId="1971279617">
    <w:abstractNumId w:val="2"/>
  </w:num>
  <w:num w:numId="4" w16cid:durableId="1939823426">
    <w:abstractNumId w:val="1"/>
  </w:num>
  <w:num w:numId="5" w16cid:durableId="1449661729">
    <w:abstractNumId w:val="0"/>
  </w:num>
  <w:num w:numId="6" w16cid:durableId="1902904650">
    <w:abstractNumId w:val="9"/>
  </w:num>
  <w:num w:numId="7" w16cid:durableId="1618902504">
    <w:abstractNumId w:val="7"/>
  </w:num>
  <w:num w:numId="8" w16cid:durableId="1170411249">
    <w:abstractNumId w:val="6"/>
  </w:num>
  <w:num w:numId="9" w16cid:durableId="1078361575">
    <w:abstractNumId w:val="5"/>
  </w:num>
  <w:num w:numId="10" w16cid:durableId="460153271">
    <w:abstractNumId w:val="4"/>
  </w:num>
  <w:num w:numId="11" w16cid:durableId="571426189">
    <w:abstractNumId w:val="11"/>
  </w:num>
  <w:num w:numId="12" w16cid:durableId="1823695422">
    <w:abstractNumId w:val="13"/>
  </w:num>
  <w:num w:numId="13" w16cid:durableId="1477801577">
    <w:abstractNumId w:val="16"/>
  </w:num>
  <w:num w:numId="14" w16cid:durableId="279335831">
    <w:abstractNumId w:val="17"/>
  </w:num>
  <w:num w:numId="15" w16cid:durableId="1187521048">
    <w:abstractNumId w:val="18"/>
  </w:num>
  <w:num w:numId="16" w16cid:durableId="1883246590">
    <w:abstractNumId w:val="28"/>
  </w:num>
  <w:num w:numId="17" w16cid:durableId="784231286">
    <w:abstractNumId w:val="25"/>
  </w:num>
  <w:num w:numId="18" w16cid:durableId="1953396830">
    <w:abstractNumId w:val="10"/>
  </w:num>
  <w:num w:numId="19" w16cid:durableId="583955099">
    <w:abstractNumId w:val="24"/>
  </w:num>
  <w:num w:numId="20" w16cid:durableId="685600828">
    <w:abstractNumId w:val="29"/>
  </w:num>
  <w:num w:numId="21" w16cid:durableId="52198482">
    <w:abstractNumId w:val="30"/>
  </w:num>
  <w:num w:numId="22" w16cid:durableId="1193807379">
    <w:abstractNumId w:val="21"/>
  </w:num>
  <w:num w:numId="23" w16cid:durableId="782192348">
    <w:abstractNumId w:val="30"/>
    <w:lvlOverride w:ilvl="0">
      <w:startOverride w:val="1"/>
    </w:lvlOverride>
  </w:num>
  <w:num w:numId="24" w16cid:durableId="477844895">
    <w:abstractNumId w:val="30"/>
    <w:lvlOverride w:ilvl="0">
      <w:startOverride w:val="1"/>
    </w:lvlOverride>
  </w:num>
  <w:num w:numId="25" w16cid:durableId="1163207613">
    <w:abstractNumId w:val="12"/>
  </w:num>
  <w:num w:numId="26" w16cid:durableId="560671651">
    <w:abstractNumId w:val="31"/>
  </w:num>
  <w:num w:numId="27" w16cid:durableId="678385303">
    <w:abstractNumId w:val="19"/>
  </w:num>
  <w:num w:numId="28" w16cid:durableId="352418398">
    <w:abstractNumId w:val="20"/>
  </w:num>
  <w:num w:numId="29" w16cid:durableId="42143914">
    <w:abstractNumId w:val="22"/>
  </w:num>
  <w:num w:numId="30" w16cid:durableId="1982691427">
    <w:abstractNumId w:val="15"/>
  </w:num>
  <w:num w:numId="31" w16cid:durableId="1117338382">
    <w:abstractNumId w:val="23"/>
  </w:num>
  <w:num w:numId="32" w16cid:durableId="861670056">
    <w:abstractNumId w:val="14"/>
  </w:num>
  <w:num w:numId="33" w16cid:durableId="373891205">
    <w:abstractNumId w:val="26"/>
  </w:num>
  <w:num w:numId="34" w16cid:durableId="1427073605">
    <w:abstractNumId w:val="27"/>
  </w:num>
  <w:num w:numId="35" w16cid:durableId="1886258209">
    <w:abstractNumId w:val="32"/>
  </w:num>
  <w:num w:numId="36" w16cid:durableId="1202091620">
    <w:abstractNumId w:val="30"/>
    <w:lvlOverride w:ilvl="0">
      <w:startOverride w:val="1"/>
    </w:lvlOverride>
  </w:num>
  <w:num w:numId="37" w16cid:durableId="1101485727">
    <w:abstractNumId w:val="30"/>
    <w:lvlOverride w:ilvl="0">
      <w:startOverride w:val="1"/>
    </w:lvlOverride>
  </w:num>
  <w:num w:numId="38" w16cid:durableId="182288374">
    <w:abstractNumId w:val="30"/>
    <w:lvlOverride w:ilvl="0">
      <w:startOverride w:val="1"/>
    </w:lvlOverride>
  </w:num>
  <w:num w:numId="39" w16cid:durableId="586113406">
    <w:abstractNumId w:val="32"/>
    <w:lvlOverride w:ilvl="0">
      <w:startOverride w:val="1"/>
    </w:lvlOverride>
  </w:num>
  <w:num w:numId="40" w16cid:durableId="1034883215">
    <w:abstractNumId w:val="32"/>
    <w:lvlOverride w:ilvl="0">
      <w:startOverride w:val="1"/>
    </w:lvlOverride>
  </w:num>
  <w:num w:numId="41" w16cid:durableId="253367970">
    <w:abstractNumId w:val="30"/>
    <w:lvlOverride w:ilvl="0">
      <w:startOverride w:val="1"/>
    </w:lvlOverride>
  </w:num>
  <w:num w:numId="42" w16cid:durableId="605114763">
    <w:abstractNumId w:val="32"/>
    <w:lvlOverride w:ilvl="0">
      <w:startOverride w:val="1"/>
    </w:lvlOverride>
  </w:num>
  <w:num w:numId="43" w16cid:durableId="1761640086">
    <w:abstractNumId w:val="30"/>
    <w:lvlOverride w:ilvl="0">
      <w:startOverride w:val="1"/>
    </w:lvlOverride>
  </w:num>
  <w:num w:numId="44" w16cid:durableId="1516503525">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348A0"/>
    <w:rsid w:val="00140844"/>
    <w:rsid w:val="001468AC"/>
    <w:rsid w:val="0015066B"/>
    <w:rsid w:val="00156F2B"/>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5999"/>
    <w:rsid w:val="0037727A"/>
    <w:rsid w:val="0039591A"/>
    <w:rsid w:val="003C4D9F"/>
    <w:rsid w:val="003E66FB"/>
    <w:rsid w:val="003F2899"/>
    <w:rsid w:val="00422CDA"/>
    <w:rsid w:val="004307D4"/>
    <w:rsid w:val="00437ED3"/>
    <w:rsid w:val="0044345A"/>
    <w:rsid w:val="00477173"/>
    <w:rsid w:val="004819D7"/>
    <w:rsid w:val="004842F0"/>
    <w:rsid w:val="00484413"/>
    <w:rsid w:val="00493A17"/>
    <w:rsid w:val="004C0202"/>
    <w:rsid w:val="004D0180"/>
    <w:rsid w:val="005335DF"/>
    <w:rsid w:val="005417EB"/>
    <w:rsid w:val="005430EA"/>
    <w:rsid w:val="00584BB4"/>
    <w:rsid w:val="005A43E3"/>
    <w:rsid w:val="005A4AFE"/>
    <w:rsid w:val="005A6174"/>
    <w:rsid w:val="005F466B"/>
    <w:rsid w:val="00607EE3"/>
    <w:rsid w:val="006131F7"/>
    <w:rsid w:val="00675757"/>
    <w:rsid w:val="00680332"/>
    <w:rsid w:val="00681364"/>
    <w:rsid w:val="0068745E"/>
    <w:rsid w:val="006B7745"/>
    <w:rsid w:val="00714CBD"/>
    <w:rsid w:val="00721EBE"/>
    <w:rsid w:val="00742AC5"/>
    <w:rsid w:val="007701F1"/>
    <w:rsid w:val="00792960"/>
    <w:rsid w:val="007A0F17"/>
    <w:rsid w:val="007E4E94"/>
    <w:rsid w:val="007F0944"/>
    <w:rsid w:val="00807DFC"/>
    <w:rsid w:val="008238DE"/>
    <w:rsid w:val="00863A4D"/>
    <w:rsid w:val="008A4085"/>
    <w:rsid w:val="008A483F"/>
    <w:rsid w:val="008B6A98"/>
    <w:rsid w:val="008C1056"/>
    <w:rsid w:val="008C2B2C"/>
    <w:rsid w:val="008E005B"/>
    <w:rsid w:val="008E3052"/>
    <w:rsid w:val="008F1330"/>
    <w:rsid w:val="008F3F8E"/>
    <w:rsid w:val="0091337D"/>
    <w:rsid w:val="009171C1"/>
    <w:rsid w:val="00920563"/>
    <w:rsid w:val="0093429F"/>
    <w:rsid w:val="009477E3"/>
    <w:rsid w:val="00962592"/>
    <w:rsid w:val="009847F6"/>
    <w:rsid w:val="009A336B"/>
    <w:rsid w:val="009C0DFA"/>
    <w:rsid w:val="009C304F"/>
    <w:rsid w:val="009C657C"/>
    <w:rsid w:val="009D0814"/>
    <w:rsid w:val="009D4514"/>
    <w:rsid w:val="009E664A"/>
    <w:rsid w:val="009F5F74"/>
    <w:rsid w:val="00A206F1"/>
    <w:rsid w:val="00A8553F"/>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ED1"/>
    <w:rsid w:val="00C45F7D"/>
    <w:rsid w:val="00C930F7"/>
    <w:rsid w:val="00CA0400"/>
    <w:rsid w:val="00CC152D"/>
    <w:rsid w:val="00CD0091"/>
    <w:rsid w:val="00CE0F4B"/>
    <w:rsid w:val="00D0381D"/>
    <w:rsid w:val="00D05D1F"/>
    <w:rsid w:val="00D36F76"/>
    <w:rsid w:val="00D47BD3"/>
    <w:rsid w:val="00D86CAA"/>
    <w:rsid w:val="00DA0BED"/>
    <w:rsid w:val="00DC3839"/>
    <w:rsid w:val="00DC5E7D"/>
    <w:rsid w:val="00DE0B74"/>
    <w:rsid w:val="00DE62CE"/>
    <w:rsid w:val="00DF1B76"/>
    <w:rsid w:val="00E04357"/>
    <w:rsid w:val="00E05E1A"/>
    <w:rsid w:val="00E06000"/>
    <w:rsid w:val="00E649D6"/>
    <w:rsid w:val="00EB0247"/>
    <w:rsid w:val="00EC01A5"/>
    <w:rsid w:val="00F60611"/>
    <w:rsid w:val="00F6387D"/>
    <w:rsid w:val="00F63B01"/>
    <w:rsid w:val="00F66726"/>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table" w:styleId="Tablaconcuadrcula4-nfasis1">
    <w:name w:val="Grid Table 4 Accent 1"/>
    <w:basedOn w:val="Tablanormal"/>
    <w:uiPriority w:val="49"/>
    <w:locked/>
    <w:rsid w:val="0037727A"/>
    <w:pPr>
      <w:spacing w:after="0" w:line="240" w:lineRule="auto"/>
    </w:pPr>
    <w:rPr>
      <w:rFonts w:ascii="Georgia"/>
      <w:sz w:val="21"/>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plantilla3.dotx</Template>
  <TotalTime>5</TotalTime>
  <Pages>27</Pages>
  <Words>7777</Words>
  <Characters>42777</Characters>
  <Application>Microsoft Office Word</Application>
  <DocSecurity>0</DocSecurity>
  <Lines>356</Lines>
  <Paragraphs>100</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50454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Irene Trelles Rodríguez</cp:lastModifiedBy>
  <cp:revision>3</cp:revision>
  <dcterms:created xsi:type="dcterms:W3CDTF">2026-09-06T17:29:00Z</dcterms:created>
  <dcterms:modified xsi:type="dcterms:W3CDTF">2026-09-06T17:30:00Z</dcterms:modified>
  <cp:category>Categoria</cp:category>
  <cp:contentStatus>Estado</cp:contentStatus>
</cp:coreProperties>
</file>