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F969" w14:textId="77777777" w:rsidR="002C5703" w:rsidRDefault="00375999" w:rsidP="003512A0">
      <w:pPr>
        <w:pStyle w:val="TtCap"/>
      </w:pPr>
      <w:r>
        <w:t>Pautas</w:t>
      </w:r>
      <w:r w:rsidR="00280126" w:rsidRPr="003512A0">
        <w:t xml:space="preserve"> de edición</w:t>
      </w:r>
      <w:r w:rsidR="002C5703">
        <w:t xml:space="preserve"> </w:t>
      </w:r>
    </w:p>
    <w:p w14:paraId="4BCA6053" w14:textId="77777777" w:rsidR="002C5703" w:rsidRDefault="002C5703" w:rsidP="003512A0">
      <w:pPr>
        <w:pStyle w:val="TtCap"/>
        <w:rPr>
          <w:sz w:val="20"/>
          <w:szCs w:val="20"/>
        </w:rPr>
      </w:pPr>
      <w:r w:rsidRPr="002C5703">
        <w:rPr>
          <w:sz w:val="20"/>
          <w:szCs w:val="20"/>
        </w:rPr>
        <w:t xml:space="preserve">(lectura muy recomendada </w:t>
      </w:r>
    </w:p>
    <w:p w14:paraId="1D774472" w14:textId="5EFA84ED" w:rsidR="00280126" w:rsidRPr="003512A0" w:rsidRDefault="002C5703" w:rsidP="003512A0">
      <w:pPr>
        <w:pStyle w:val="TtCap"/>
      </w:pPr>
      <w:r w:rsidRPr="002C5703">
        <w:rPr>
          <w:sz w:val="20"/>
          <w:szCs w:val="20"/>
        </w:rPr>
        <w:t>antes de inciar la leaboración de su texto</w:t>
      </w:r>
      <w:r>
        <w:t>)</w:t>
      </w:r>
    </w:p>
    <w:p w14:paraId="07D6620E" w14:textId="77777777" w:rsidR="000068CF" w:rsidRDefault="000068CF" w:rsidP="000068CF">
      <w:pPr>
        <w:pStyle w:val="Listado"/>
        <w:rPr>
          <w:lang w:eastAsia="es-ES"/>
        </w:rPr>
      </w:pPr>
      <w:r w:rsidRPr="003512A0">
        <w:t xml:space="preserve">Dispone de esta plantilla para elaborar el texto final de su trabajo. Es </w:t>
      </w:r>
      <w:r w:rsidRPr="00D05D1F">
        <w:rPr>
          <w:b/>
          <w:bCs/>
        </w:rPr>
        <w:t>imprescindible</w:t>
      </w:r>
      <w:r w:rsidRPr="003512A0">
        <w:t xml:space="preserve"> su uso ya que de lo contrario el sistema </w:t>
      </w:r>
      <w:r w:rsidRPr="00D05D1F">
        <w:rPr>
          <w:b/>
          <w:bCs/>
        </w:rPr>
        <w:t>rechazará</w:t>
      </w:r>
      <w:r w:rsidRPr="003512A0">
        <w:t xml:space="preserve"> el archivo que envíe. </w:t>
      </w:r>
      <w:r>
        <w:t>Si edita la plantilla con cualquier otro programa diferente a una versión local de Word puede que se eliminen unos metadatos ocultos que la plataforma revisa para verificar la plantilla. Si esto sucede el archivo será rechazado. En ese caso recomendamos descargar una plantilla nueva abrirla con una versión local de Word y cortar y pegar el texto ya elaborado.</w:t>
      </w:r>
    </w:p>
    <w:p w14:paraId="0A900A9D" w14:textId="7E7FFDEE" w:rsidR="003512A0" w:rsidRPr="003512A0" w:rsidRDefault="003512A0" w:rsidP="003512A0">
      <w:pPr>
        <w:pStyle w:val="Listado"/>
        <w:rPr>
          <w:lang w:eastAsia="es-ES"/>
        </w:rPr>
      </w:pPr>
      <w:r w:rsidRPr="003512A0">
        <w:rPr>
          <w:lang w:eastAsia="es-ES"/>
        </w:rPr>
        <w:t xml:space="preserve">La extensión de los originales, incluyendo todos los apartados, será en torno a las </w:t>
      </w:r>
      <w:r w:rsidR="00DC3839">
        <w:rPr>
          <w:b/>
          <w:bCs/>
          <w:lang w:eastAsia="es-ES"/>
        </w:rPr>
        <w:t>4</w:t>
      </w:r>
      <w:r w:rsidRPr="00D05D1F">
        <w:rPr>
          <w:b/>
          <w:bCs/>
          <w:lang w:eastAsia="es-ES"/>
        </w:rPr>
        <w:t>000-</w:t>
      </w:r>
      <w:r w:rsidR="00DC3839">
        <w:rPr>
          <w:b/>
          <w:bCs/>
          <w:lang w:eastAsia="es-ES"/>
        </w:rPr>
        <w:t>6</w:t>
      </w:r>
      <w:r w:rsidRPr="00D05D1F">
        <w:rPr>
          <w:b/>
          <w:bCs/>
          <w:lang w:eastAsia="es-ES"/>
        </w:rPr>
        <w:t>000</w:t>
      </w:r>
      <w:r w:rsidRPr="003512A0">
        <w:rPr>
          <w:lang w:eastAsia="es-ES"/>
        </w:rPr>
        <w:t xml:space="preserve"> palabras. No se contabilizará en esta cantidad de palabras la bibliografía</w:t>
      </w:r>
      <w:r w:rsidR="009171C1">
        <w:rPr>
          <w:lang w:eastAsia="es-ES"/>
        </w:rPr>
        <w:t xml:space="preserve"> (referencias)</w:t>
      </w:r>
      <w:r w:rsidRPr="003512A0">
        <w:rPr>
          <w:lang w:eastAsia="es-ES"/>
        </w:rPr>
        <w:t>, tablas o gráfic</w:t>
      </w:r>
      <w:r w:rsidR="00375999">
        <w:rPr>
          <w:lang w:eastAsia="es-ES"/>
        </w:rPr>
        <w:t>o</w:t>
      </w:r>
      <w:r w:rsidRPr="003512A0">
        <w:rPr>
          <w:lang w:eastAsia="es-ES"/>
        </w:rPr>
        <w:t>s.</w:t>
      </w:r>
    </w:p>
    <w:p w14:paraId="105CE712" w14:textId="6695A0CA" w:rsidR="00BE5F2C" w:rsidRDefault="003512A0" w:rsidP="00AB0D23">
      <w:pPr>
        <w:pStyle w:val="Listado"/>
        <w:rPr>
          <w:lang w:eastAsia="es-ES"/>
        </w:rPr>
      </w:pPr>
      <w:r w:rsidRPr="003512A0">
        <w:rPr>
          <w:lang w:eastAsia="es-ES"/>
        </w:rPr>
        <w:t xml:space="preserve">Este texto </w:t>
      </w:r>
      <w:r w:rsidRPr="00BE5F2C">
        <w:rPr>
          <w:b/>
          <w:bCs/>
          <w:lang w:eastAsia="es-ES"/>
        </w:rPr>
        <w:t>no</w:t>
      </w:r>
      <w:r w:rsidRPr="003512A0">
        <w:rPr>
          <w:lang w:eastAsia="es-ES"/>
        </w:rPr>
        <w:t xml:space="preserve"> incluirá el resumen </w:t>
      </w:r>
      <w:r>
        <w:rPr>
          <w:lang w:eastAsia="es-ES"/>
        </w:rPr>
        <w:t>ni palabras clave</w:t>
      </w:r>
      <w:r w:rsidR="00BE5F2C">
        <w:rPr>
          <w:lang w:eastAsia="es-ES"/>
        </w:rPr>
        <w:t>.</w:t>
      </w:r>
    </w:p>
    <w:p w14:paraId="7A1AC718" w14:textId="35B2330A" w:rsidR="003512A0" w:rsidRPr="003512A0" w:rsidRDefault="003512A0" w:rsidP="00AB0D23">
      <w:pPr>
        <w:pStyle w:val="Listado"/>
        <w:rPr>
          <w:lang w:eastAsia="es-ES"/>
        </w:rPr>
      </w:pPr>
      <w:r w:rsidRPr="00BE5F2C">
        <w:rPr>
          <w:b/>
          <w:bCs/>
          <w:lang w:eastAsia="es-ES"/>
        </w:rPr>
        <w:t>Puede modificar el título</w:t>
      </w:r>
      <w:r w:rsidRPr="003512A0">
        <w:rPr>
          <w:lang w:eastAsia="es-ES"/>
        </w:rPr>
        <w:t xml:space="preserve"> del texto final con respecto al título de la ponencia defendida, no así, los contenidos ni el objeto de la investigación.</w:t>
      </w:r>
    </w:p>
    <w:p w14:paraId="61E047EF" w14:textId="77777777" w:rsidR="003512A0" w:rsidRDefault="003512A0" w:rsidP="003512A0">
      <w:pPr>
        <w:pStyle w:val="Listado"/>
        <w:rPr>
          <w:lang w:eastAsia="es-ES"/>
        </w:rPr>
      </w:pPr>
      <w:r w:rsidRPr="003512A0">
        <w:rPr>
          <w:lang w:eastAsia="es-ES"/>
        </w:rPr>
        <w:t xml:space="preserve">La extensión máxima del archivo que se puede subir a la plataforma es de </w:t>
      </w:r>
      <w:r w:rsidRPr="00D05D1F">
        <w:rPr>
          <w:b/>
          <w:bCs/>
          <w:lang w:eastAsia="es-ES"/>
        </w:rPr>
        <w:t>10 Mb</w:t>
      </w:r>
      <w:r w:rsidRPr="003512A0">
        <w:rPr>
          <w:lang w:eastAsia="es-ES"/>
        </w:rPr>
        <w:t>, si su documento tiene más peso revise la resolución de las imágenes (100</w:t>
      </w:r>
      <w:r>
        <w:rPr>
          <w:lang w:eastAsia="es-ES"/>
        </w:rPr>
        <w:t xml:space="preserve"> </w:t>
      </w:r>
      <w:proofErr w:type="spellStart"/>
      <w:r w:rsidRPr="003512A0">
        <w:rPr>
          <w:lang w:eastAsia="es-ES"/>
        </w:rPr>
        <w:t>ppp</w:t>
      </w:r>
      <w:proofErr w:type="spellEnd"/>
      <w:r w:rsidRPr="003512A0">
        <w:rPr>
          <w:lang w:eastAsia="es-ES"/>
        </w:rPr>
        <w:t xml:space="preserve"> es suficiente para una edición digital)</w:t>
      </w:r>
      <w:r>
        <w:rPr>
          <w:lang w:eastAsia="es-ES"/>
        </w:rPr>
        <w:t>.</w:t>
      </w:r>
      <w:r w:rsidRPr="003512A0">
        <w:t xml:space="preserve"> </w:t>
      </w:r>
    </w:p>
    <w:p w14:paraId="04A16416" w14:textId="56E903B0" w:rsidR="003512A0" w:rsidRDefault="00D05D1F" w:rsidP="003512A0">
      <w:pPr>
        <w:pStyle w:val="Listado"/>
        <w:rPr>
          <w:lang w:eastAsia="es-ES"/>
        </w:rPr>
      </w:pPr>
      <w:r>
        <w:t>E</w:t>
      </w:r>
      <w:r w:rsidR="003512A0" w:rsidRPr="003512A0">
        <w:t>limin</w:t>
      </w:r>
      <w:r>
        <w:t>e</w:t>
      </w:r>
      <w:r w:rsidR="003512A0" w:rsidRPr="003512A0">
        <w:t xml:space="preserve"> esta</w:t>
      </w:r>
      <w:r w:rsidR="003512A0">
        <w:t>s</w:t>
      </w:r>
      <w:r w:rsidR="003512A0" w:rsidRPr="003512A0">
        <w:t xml:space="preserve"> </w:t>
      </w:r>
      <w:r w:rsidR="002A43CD">
        <w:t xml:space="preserve">tres </w:t>
      </w:r>
      <w:r w:rsidR="003512A0" w:rsidRPr="003512A0">
        <w:t>primera</w:t>
      </w:r>
      <w:r w:rsidR="003512A0">
        <w:t>s</w:t>
      </w:r>
      <w:r w:rsidR="003512A0" w:rsidRPr="003512A0">
        <w:t xml:space="preserve"> página</w:t>
      </w:r>
      <w:r w:rsidR="003512A0">
        <w:t>s</w:t>
      </w:r>
      <w:r w:rsidR="003512A0" w:rsidRPr="003512A0">
        <w:t xml:space="preserve"> </w:t>
      </w:r>
      <w:r w:rsidR="002A43CD">
        <w:t xml:space="preserve">con indicaciones </w:t>
      </w:r>
      <w:r>
        <w:t>en el texto final que envíe</w:t>
      </w:r>
      <w:r w:rsidR="00375999">
        <w:t>.</w:t>
      </w:r>
    </w:p>
    <w:p w14:paraId="1CBF48EC" w14:textId="76A70D70" w:rsidR="00375999" w:rsidRDefault="00375999" w:rsidP="00375999">
      <w:pPr>
        <w:pStyle w:val="Listado"/>
        <w:rPr>
          <w:lang w:eastAsia="es-ES"/>
        </w:rPr>
      </w:pPr>
      <w:r>
        <w:t xml:space="preserve">Es </w:t>
      </w:r>
      <w:r w:rsidR="00D05D1F" w:rsidRPr="00D05D1F">
        <w:rPr>
          <w:b/>
          <w:bCs/>
        </w:rPr>
        <w:t>imprescindible</w:t>
      </w:r>
      <w:r>
        <w:t xml:space="preserve"> </w:t>
      </w:r>
      <w:r w:rsidRPr="003512A0">
        <w:t xml:space="preserve">usar </w:t>
      </w:r>
      <w:r>
        <w:t>el conjunto de</w:t>
      </w:r>
      <w:r w:rsidRPr="003512A0">
        <w:t xml:space="preserve"> estilos </w:t>
      </w:r>
      <w:r>
        <w:t>incluidos en la plantilla</w:t>
      </w:r>
      <w:r w:rsidRPr="003512A0">
        <w:t xml:space="preserve"> que abarcan la mayoría de l</w:t>
      </w:r>
      <w:r w:rsidR="009171C1">
        <w:t xml:space="preserve">os elementos </w:t>
      </w:r>
      <w:r w:rsidRPr="003512A0">
        <w:t xml:space="preserve">que suelen </w:t>
      </w:r>
      <w:r>
        <w:t>necesitarse</w:t>
      </w:r>
      <w:r w:rsidR="00BA4FD5">
        <w:t>.</w:t>
      </w:r>
      <w:r w:rsidRPr="003512A0">
        <w:t xml:space="preserve"> </w:t>
      </w:r>
      <w:r w:rsidR="00BA4FD5">
        <w:t>Revise</w:t>
      </w:r>
      <w:r w:rsidR="009171C1">
        <w:t xml:space="preserve"> previamente estos </w:t>
      </w:r>
      <w:r w:rsidR="00BA4FD5">
        <w:t xml:space="preserve">elementos disponibles </w:t>
      </w:r>
      <w:r w:rsidR="00BA4FD5">
        <w:lastRenderedPageBreak/>
        <w:t>mediante estilos para su uso posterior. S</w:t>
      </w:r>
      <w:r w:rsidRPr="003512A0">
        <w:t xml:space="preserve">i </w:t>
      </w:r>
      <w:r>
        <w:t>precisa algún</w:t>
      </w:r>
      <w:r w:rsidRPr="003512A0">
        <w:t xml:space="preserve"> elemento diferente puede </w:t>
      </w:r>
      <w:r>
        <w:t>generarlo</w:t>
      </w:r>
      <w:r w:rsidR="00BA4FD5">
        <w:t xml:space="preserve"> (sin crear un nuevo estilo)</w:t>
      </w:r>
      <w:r w:rsidRPr="003512A0">
        <w:t xml:space="preserve">, pero respetando la estética de la plantilla. </w:t>
      </w:r>
    </w:p>
    <w:p w14:paraId="5B567007" w14:textId="4FC9689D" w:rsidR="00375999" w:rsidRDefault="00375999" w:rsidP="00375999">
      <w:pPr>
        <w:pStyle w:val="Listado"/>
      </w:pPr>
      <w:r w:rsidRPr="003512A0">
        <w:t>Los textos en rojo son explicaciones y aclaraciones de los diferentes estilos que le serán de ayuda.</w:t>
      </w:r>
      <w:r>
        <w:t xml:space="preserve"> Todos los textos del trabajo irán en negro incluidos los </w:t>
      </w:r>
      <w:proofErr w:type="gramStart"/>
      <w:r>
        <w:t>links</w:t>
      </w:r>
      <w:proofErr w:type="gramEnd"/>
      <w:r>
        <w:t>.</w:t>
      </w:r>
    </w:p>
    <w:p w14:paraId="06DE5305" w14:textId="7CBF1E75" w:rsidR="00375999" w:rsidRDefault="00375999" w:rsidP="00375999">
      <w:pPr>
        <w:pStyle w:val="Listado"/>
      </w:pPr>
      <w:r w:rsidRPr="003512A0">
        <w:t xml:space="preserve">NO </w:t>
      </w:r>
      <w:r>
        <w:t>numere las páginas.</w:t>
      </w:r>
    </w:p>
    <w:p w14:paraId="4B005D06" w14:textId="0F95AF0C" w:rsidR="00375999" w:rsidRDefault="00375999" w:rsidP="00375999">
      <w:pPr>
        <w:pStyle w:val="Listado"/>
      </w:pPr>
      <w:r>
        <w:t>No añada saltos de líneas entre párrafos, títulos etc. Se han diseñado los diferentes estilos con los espacios necesarios. Solo se admiten saltos de línea adicion</w:t>
      </w:r>
      <w:r w:rsidR="009171C1">
        <w:t>al</w:t>
      </w:r>
      <w:r>
        <w:t>es antes de una imagen</w:t>
      </w:r>
      <w:r w:rsidR="00D05D1F">
        <w:t xml:space="preserve"> o</w:t>
      </w:r>
      <w:r w:rsidR="002A43CD">
        <w:t xml:space="preserve"> </w:t>
      </w:r>
      <w:r>
        <w:t>gráfic</w:t>
      </w:r>
      <w:r w:rsidR="002A43CD">
        <w:t xml:space="preserve">o </w:t>
      </w:r>
      <w:r>
        <w:t xml:space="preserve">y </w:t>
      </w:r>
      <w:r w:rsidR="00D05D1F">
        <w:t>antes de la introducción.</w:t>
      </w:r>
    </w:p>
    <w:p w14:paraId="5AF544D7" w14:textId="589D321C" w:rsidR="00D05D1F" w:rsidRDefault="00D05D1F" w:rsidP="00375999">
      <w:pPr>
        <w:pStyle w:val="Listado"/>
      </w:pPr>
      <w:r>
        <w:t>No añada tabulación en la primera línea de cada párrafo.</w:t>
      </w:r>
    </w:p>
    <w:p w14:paraId="21983304" w14:textId="36CB742F" w:rsidR="00D05D1F" w:rsidRDefault="00D05D1F" w:rsidP="00375999">
      <w:pPr>
        <w:pStyle w:val="Listado"/>
      </w:pPr>
      <w:r>
        <w:t>Si desea forzar que un texto empiece al principio de una página, no lo haga añadiendo saltos de línea sino un salto de página</w:t>
      </w:r>
      <w:r w:rsidR="00DA0BED">
        <w:t xml:space="preserve"> (CTR+ENTER)</w:t>
      </w:r>
      <w:r>
        <w:t>.</w:t>
      </w:r>
    </w:p>
    <w:p w14:paraId="61EAB80B" w14:textId="676BF673" w:rsidR="00D05D1F" w:rsidRPr="003512A0" w:rsidRDefault="00D05D1F" w:rsidP="00375999">
      <w:pPr>
        <w:pStyle w:val="Listado"/>
      </w:pPr>
      <w:r>
        <w:t>Hemos añadido at</w:t>
      </w:r>
      <w:r w:rsidR="002A43CD">
        <w:t>a</w:t>
      </w:r>
      <w:r>
        <w:t xml:space="preserve">jos de teclado a los diferentes estilos para su facilidad de uso, no </w:t>
      </w:r>
      <w:r w:rsidR="002A43CD">
        <w:t>obstante,</w:t>
      </w:r>
      <w:r>
        <w:t xml:space="preserve"> puede ejecutarlos desde los diferentes menús de estilo de Word.</w:t>
      </w:r>
    </w:p>
    <w:p w14:paraId="7D3430EA" w14:textId="28DA1879" w:rsidR="003512A0" w:rsidRPr="00375999" w:rsidRDefault="003512A0" w:rsidP="003512A0">
      <w:pPr>
        <w:pStyle w:val="Listadoajustado"/>
        <w:rPr>
          <w:b/>
          <w:bCs/>
          <w:lang w:eastAsia="es-ES"/>
        </w:rPr>
      </w:pPr>
      <w:r w:rsidRPr="003512A0">
        <w:rPr>
          <w:lang w:eastAsia="es-ES"/>
        </w:rPr>
        <w:t>Dada las características de la publicación, </w:t>
      </w:r>
      <w:r w:rsidRPr="003512A0">
        <w:rPr>
          <w:b/>
          <w:bCs/>
          <w:color w:val="363636"/>
          <w:lang w:eastAsia="es-ES"/>
        </w:rPr>
        <w:t>no habrá un envío de galeradas</w:t>
      </w:r>
      <w:r w:rsidRPr="003512A0">
        <w:rPr>
          <w:lang w:eastAsia="es-ES"/>
        </w:rPr>
        <w:t xml:space="preserve">. Es sumamente importante que revise su texto de forma concienzuda antes de enviarlo. No obstante, podrá reenviarlo varias veces si detecta algún error posterior </w:t>
      </w:r>
      <w:r>
        <w:rPr>
          <w:lang w:eastAsia="es-ES"/>
        </w:rPr>
        <w:t>ya que</w:t>
      </w:r>
      <w:r w:rsidRPr="003512A0">
        <w:rPr>
          <w:lang w:eastAsia="es-ES"/>
        </w:rPr>
        <w:t xml:space="preserve"> la organización solo usará </w:t>
      </w:r>
      <w:r>
        <w:rPr>
          <w:lang w:eastAsia="es-ES"/>
        </w:rPr>
        <w:t>última</w:t>
      </w:r>
      <w:r w:rsidRPr="003512A0">
        <w:rPr>
          <w:lang w:eastAsia="es-ES"/>
        </w:rPr>
        <w:t xml:space="preserve"> versión </w:t>
      </w:r>
      <w:r>
        <w:rPr>
          <w:lang w:eastAsia="es-ES"/>
        </w:rPr>
        <w:t>añadida a la plataforma</w:t>
      </w:r>
      <w:r w:rsidR="009171C1">
        <w:rPr>
          <w:lang w:eastAsia="es-ES"/>
        </w:rPr>
        <w:t>.</w:t>
      </w:r>
      <w:r w:rsidR="00375999">
        <w:rPr>
          <w:lang w:eastAsia="es-ES"/>
        </w:rPr>
        <w:t xml:space="preserve"> </w:t>
      </w:r>
      <w:r w:rsidR="009171C1">
        <w:rPr>
          <w:lang w:eastAsia="es-ES"/>
        </w:rPr>
        <w:t>R</w:t>
      </w:r>
      <w:r w:rsidR="00375999">
        <w:rPr>
          <w:lang w:eastAsia="es-ES"/>
        </w:rPr>
        <w:t>ecomendamos que modifique el título de</w:t>
      </w:r>
      <w:r w:rsidR="009171C1">
        <w:rPr>
          <w:lang w:eastAsia="es-ES"/>
        </w:rPr>
        <w:t>l</w:t>
      </w:r>
      <w:r w:rsidR="00375999">
        <w:rPr>
          <w:lang w:eastAsia="es-ES"/>
        </w:rPr>
        <w:t xml:space="preserve"> </w:t>
      </w:r>
      <w:r w:rsidR="00D05D1F">
        <w:rPr>
          <w:lang w:eastAsia="es-ES"/>
        </w:rPr>
        <w:t>archivo</w:t>
      </w:r>
      <w:r w:rsidR="00375999">
        <w:rPr>
          <w:lang w:eastAsia="es-ES"/>
        </w:rPr>
        <w:t xml:space="preserve"> </w:t>
      </w:r>
      <w:r w:rsidR="009171C1">
        <w:rPr>
          <w:lang w:eastAsia="es-ES"/>
        </w:rPr>
        <w:t>si tiene que subirlo una</w:t>
      </w:r>
      <w:r w:rsidR="00375999">
        <w:rPr>
          <w:lang w:eastAsia="es-ES"/>
        </w:rPr>
        <w:t xml:space="preserve"> segunda vez para que no se </w:t>
      </w:r>
      <w:r w:rsidR="00D05D1F">
        <w:rPr>
          <w:lang w:eastAsia="es-ES"/>
        </w:rPr>
        <w:t>equivoque</w:t>
      </w:r>
      <w:r w:rsidR="00375999">
        <w:rPr>
          <w:lang w:eastAsia="es-ES"/>
        </w:rPr>
        <w:t xml:space="preserve"> al </w:t>
      </w:r>
      <w:r w:rsidR="00D05D1F">
        <w:rPr>
          <w:lang w:eastAsia="es-ES"/>
        </w:rPr>
        <w:t>seleccionarlo</w:t>
      </w:r>
      <w:r w:rsidR="00375999">
        <w:rPr>
          <w:lang w:eastAsia="es-ES"/>
        </w:rPr>
        <w:t>. (</w:t>
      </w:r>
      <w:r w:rsidR="00D05D1F">
        <w:rPr>
          <w:lang w:eastAsia="es-ES"/>
        </w:rPr>
        <w:t>Ej.</w:t>
      </w:r>
      <w:r w:rsidR="00375999">
        <w:rPr>
          <w:lang w:eastAsia="es-ES"/>
        </w:rPr>
        <w:t>: Titulo / Titulo_Version_2).</w:t>
      </w:r>
      <w:r>
        <w:rPr>
          <w:lang w:eastAsia="es-ES"/>
        </w:rPr>
        <w:t xml:space="preserve"> El volcado de documentos por parte de la organización se hará en la fecha indicada en la web (fechas y plazos). </w:t>
      </w:r>
      <w:r w:rsidRPr="00375999">
        <w:rPr>
          <w:b/>
          <w:bCs/>
          <w:lang w:eastAsia="es-ES"/>
        </w:rPr>
        <w:t>No se aceptarán textos por un medio diferente a la plataforma ni en fechas posteriores al indicado.</w:t>
      </w:r>
    </w:p>
    <w:p w14:paraId="3CDC6BF0" w14:textId="4E1B172B" w:rsidR="003512A0" w:rsidRPr="003512A0" w:rsidRDefault="003512A0" w:rsidP="003512A0">
      <w:pPr>
        <w:pStyle w:val="Listado"/>
        <w:rPr>
          <w:lang w:eastAsia="es-ES"/>
        </w:rPr>
      </w:pPr>
      <w:r w:rsidRPr="003512A0">
        <w:rPr>
          <w:shd w:val="clear" w:color="auto" w:fill="FFFFFF"/>
        </w:rPr>
        <w:lastRenderedPageBreak/>
        <w:t>Una vez publicado</w:t>
      </w:r>
      <w:r>
        <w:rPr>
          <w:shd w:val="clear" w:color="auto" w:fill="FFFFFF"/>
        </w:rPr>
        <w:t xml:space="preserve"> el libro (ver fechas y plazos)</w:t>
      </w:r>
      <w:r w:rsidRPr="003512A0">
        <w:rPr>
          <w:shd w:val="clear" w:color="auto" w:fill="FFFFFF"/>
        </w:rPr>
        <w:t>, la organización enviará un correo a cada firmante informando de la disponibilidad.</w:t>
      </w:r>
    </w:p>
    <w:p w14:paraId="56D736D6" w14:textId="07C06728" w:rsidR="000068CF" w:rsidRDefault="003512A0" w:rsidP="000068CF">
      <w:pPr>
        <w:pStyle w:val="Listado"/>
        <w:rPr>
          <w:shd w:val="clear" w:color="auto" w:fill="FFFFFF"/>
        </w:rPr>
      </w:pPr>
      <w:r>
        <w:rPr>
          <w:lang w:eastAsia="es-ES"/>
        </w:rPr>
        <w:t>U</w:t>
      </w:r>
      <w:r w:rsidRPr="003512A0">
        <w:rPr>
          <w:shd w:val="clear" w:color="auto" w:fill="FFFFFF"/>
        </w:rPr>
        <w:t>na vez finalizado el plazo de envío de textos finales</w:t>
      </w:r>
      <w:r w:rsidR="00B57A4E">
        <w:rPr>
          <w:shd w:val="clear" w:color="auto" w:fill="FFFFFF"/>
        </w:rPr>
        <w:t xml:space="preserve"> a partir de la fecha indicada en la web del congreso</w:t>
      </w:r>
      <w:r>
        <w:rPr>
          <w:shd w:val="clear" w:color="auto" w:fill="FFFFFF"/>
        </w:rPr>
        <w:t>,</w:t>
      </w:r>
      <w:r w:rsidRPr="003512A0">
        <w:rPr>
          <w:shd w:val="clear" w:color="auto" w:fill="FFFFFF"/>
        </w:rPr>
        <w:t xml:space="preserve"> </w:t>
      </w:r>
      <w:r w:rsidRPr="00D05D1F">
        <w:rPr>
          <w:b/>
          <w:bCs/>
          <w:shd w:val="clear" w:color="auto" w:fill="FFFFFF"/>
        </w:rPr>
        <w:t>podrá descargar de la plataforma un certificado de participación</w:t>
      </w:r>
      <w:r w:rsidRPr="003512A0">
        <w:rPr>
          <w:shd w:val="clear" w:color="auto" w:fill="FFFFFF"/>
        </w:rPr>
        <w:t xml:space="preserve"> en el libro de capítulos (no antes)</w:t>
      </w:r>
      <w:r w:rsidR="000068CF">
        <w:rPr>
          <w:shd w:val="clear" w:color="auto" w:fill="FFFFFF"/>
        </w:rPr>
        <w:t>.</w:t>
      </w:r>
    </w:p>
    <w:p w14:paraId="30B07ACC" w14:textId="699BFBE4" w:rsidR="000068CF" w:rsidRPr="002C5703" w:rsidRDefault="000068CF" w:rsidP="00E04357">
      <w:pPr>
        <w:pStyle w:val="Ttulo2"/>
        <w:rPr>
          <w:b/>
          <w:bCs/>
          <w:shd w:val="clear" w:color="auto" w:fill="FFFFFF"/>
        </w:rPr>
      </w:pPr>
      <w:r w:rsidRPr="002C5703">
        <w:rPr>
          <w:b/>
          <w:bCs/>
          <w:shd w:val="clear" w:color="auto" w:fill="FFFFFF"/>
        </w:rPr>
        <w:t>USO DE TABLA</w:t>
      </w:r>
      <w:r w:rsidR="00F6387D" w:rsidRPr="002C5703">
        <w:rPr>
          <w:b/>
          <w:bCs/>
          <w:shd w:val="clear" w:color="auto" w:fill="FFFFFF"/>
        </w:rPr>
        <w:t>S</w:t>
      </w:r>
    </w:p>
    <w:p w14:paraId="659339E1" w14:textId="07AE7D58" w:rsidR="00F6387D" w:rsidRDefault="00F6387D" w:rsidP="00E04357">
      <w:pPr>
        <w:rPr>
          <w:shd w:val="clear" w:color="auto" w:fill="FFFFFF"/>
        </w:rPr>
      </w:pPr>
      <w:r w:rsidRPr="00F6387D">
        <w:rPr>
          <w:shd w:val="clear" w:color="auto" w:fill="FFFFFF"/>
        </w:rPr>
        <w:t>Recomendamos el empleo de t</w:t>
      </w:r>
      <w:r>
        <w:rPr>
          <w:shd w:val="clear" w:color="auto" w:fill="FFFFFF"/>
        </w:rPr>
        <w:t>ablas solo cuando han de contener datos concretos, números o cualquier otra información imposible de transmitir de otra forma</w:t>
      </w:r>
      <w:r w:rsidR="00E04357">
        <w:rPr>
          <w:shd w:val="clear" w:color="auto" w:fill="FFFFFF"/>
        </w:rPr>
        <w:t xml:space="preserve">. El uso de tablas que contenga mucho texto en cada una de las casillas está desaconsejado ya que </w:t>
      </w:r>
      <w:r w:rsidR="00242EFB">
        <w:rPr>
          <w:shd w:val="clear" w:color="auto" w:fill="FFFFFF"/>
        </w:rPr>
        <w:t>en espacios de trabajo pequeños como una página de libro el tamaño de letra es muy reducido</w:t>
      </w:r>
      <w:r w:rsidR="0018654D">
        <w:rPr>
          <w:shd w:val="clear" w:color="auto" w:fill="FFFFFF"/>
        </w:rPr>
        <w:t xml:space="preserve"> y la legibilidad limitada.</w:t>
      </w:r>
    </w:p>
    <w:p w14:paraId="67EB09CF" w14:textId="1777B13F" w:rsidR="0018654D" w:rsidRDefault="0018654D" w:rsidP="00E04357">
      <w:pPr>
        <w:rPr>
          <w:shd w:val="clear" w:color="auto" w:fill="FFFFFF"/>
        </w:rPr>
      </w:pPr>
      <w:r>
        <w:rPr>
          <w:shd w:val="clear" w:color="auto" w:fill="FFFFFF"/>
        </w:rPr>
        <w:t xml:space="preserve">En caso de crear tablas complejas, </w:t>
      </w:r>
      <w:r w:rsidR="00DF1B76">
        <w:rPr>
          <w:shd w:val="clear" w:color="auto" w:fill="FFFFFF"/>
        </w:rPr>
        <w:t>asegúrese</w:t>
      </w:r>
      <w:r>
        <w:rPr>
          <w:shd w:val="clear" w:color="auto" w:fill="FFFFFF"/>
        </w:rPr>
        <w:t xml:space="preserve"> que usa la </w:t>
      </w:r>
      <w:r w:rsidR="00DF1B76">
        <w:rPr>
          <w:shd w:val="clear" w:color="auto" w:fill="FFFFFF"/>
        </w:rPr>
        <w:t>fuente</w:t>
      </w:r>
      <w:r>
        <w:rPr>
          <w:shd w:val="clear" w:color="auto" w:fill="FFFFFF"/>
        </w:rPr>
        <w:t xml:space="preserve"> adecuada (</w:t>
      </w:r>
      <w:r w:rsidR="00DF1B76">
        <w:rPr>
          <w:shd w:val="clear" w:color="auto" w:fill="FFFFFF"/>
        </w:rPr>
        <w:t>A</w:t>
      </w:r>
      <w:r>
        <w:rPr>
          <w:shd w:val="clear" w:color="auto" w:fill="FFFFFF"/>
        </w:rPr>
        <w:t>ria</w:t>
      </w:r>
      <w:r w:rsidR="00DF1B76">
        <w:rPr>
          <w:shd w:val="clear" w:color="auto" w:fill="FFFFFF"/>
        </w:rPr>
        <w:t>l</w:t>
      </w:r>
      <w:r>
        <w:rPr>
          <w:shd w:val="clear" w:color="auto" w:fill="FFFFFF"/>
        </w:rPr>
        <w:t xml:space="preserve"> </w:t>
      </w:r>
      <w:r w:rsidR="00DF1B76">
        <w:rPr>
          <w:shd w:val="clear" w:color="auto" w:fill="FFFFFF"/>
        </w:rPr>
        <w:t>N</w:t>
      </w:r>
      <w:r>
        <w:rPr>
          <w:shd w:val="clear" w:color="auto" w:fill="FFFFFF"/>
        </w:rPr>
        <w:t>arow)</w:t>
      </w:r>
      <w:r w:rsidR="00DF1B76">
        <w:rPr>
          <w:shd w:val="clear" w:color="auto" w:fill="FFFFFF"/>
        </w:rPr>
        <w:t xml:space="preserve"> en el </w:t>
      </w:r>
      <w:r w:rsidR="00675757">
        <w:rPr>
          <w:shd w:val="clear" w:color="auto" w:fill="FFFFFF"/>
        </w:rPr>
        <w:t>tamaño</w:t>
      </w:r>
      <w:r w:rsidR="00DF1B76">
        <w:rPr>
          <w:shd w:val="clear" w:color="auto" w:fill="FFFFFF"/>
        </w:rPr>
        <w:t xml:space="preserve"> adecuado y con los márgenes necesarios para su correcta lectura.</w:t>
      </w:r>
    </w:p>
    <w:p w14:paraId="188327A9" w14:textId="76087909" w:rsidR="00675757" w:rsidRPr="00F6387D" w:rsidRDefault="00675757" w:rsidP="00E04357">
      <w:pPr>
        <w:rPr>
          <w:shd w:val="clear" w:color="auto" w:fill="FFFFFF"/>
        </w:rPr>
      </w:pPr>
      <w:r>
        <w:rPr>
          <w:shd w:val="clear" w:color="auto" w:fill="FFFFFF"/>
        </w:rPr>
        <w:t xml:space="preserve">La organización no puede invertir recursos en maquetar tablas complejas </w:t>
      </w:r>
      <w:r w:rsidR="007A0F17">
        <w:rPr>
          <w:shd w:val="clear" w:color="auto" w:fill="FFFFFF"/>
        </w:rPr>
        <w:t xml:space="preserve">si su investigación las requiere, le recomendamos que las diseñe convenientemente y luego haga una captura de pantalla de </w:t>
      </w:r>
      <w:proofErr w:type="gramStart"/>
      <w:r w:rsidR="007A0F17">
        <w:rPr>
          <w:shd w:val="clear" w:color="auto" w:fill="FFFFFF"/>
        </w:rPr>
        <w:t>la misma</w:t>
      </w:r>
      <w:proofErr w:type="gramEnd"/>
      <w:r w:rsidR="007A0F17">
        <w:rPr>
          <w:shd w:val="clear" w:color="auto" w:fill="FFFFFF"/>
        </w:rPr>
        <w:t xml:space="preserve"> y edítela para incluirlas en su documento como imagen.</w:t>
      </w:r>
    </w:p>
    <w:p w14:paraId="7F0E75BC" w14:textId="77777777" w:rsidR="002A43CD" w:rsidRPr="00F6387D" w:rsidRDefault="002A43CD">
      <w:pPr>
        <w:spacing w:before="0" w:after="160" w:line="259" w:lineRule="auto"/>
        <w:jc w:val="left"/>
        <w:rPr>
          <w:shd w:val="clear" w:color="auto" w:fill="FFFFFF"/>
        </w:rPr>
      </w:pPr>
      <w:r w:rsidRPr="00F6387D">
        <w:rPr>
          <w:shd w:val="clear" w:color="auto" w:fill="FFFFFF"/>
        </w:rPr>
        <w:br w:type="page"/>
      </w:r>
    </w:p>
    <w:p w14:paraId="4F7D2C43" w14:textId="0D31542F" w:rsidR="00375999" w:rsidRDefault="002A43CD" w:rsidP="002433EC">
      <w:pPr>
        <w:jc w:val="center"/>
        <w:rPr>
          <w:b/>
          <w:bCs/>
          <w:lang w:eastAsia="es-ES"/>
        </w:rPr>
      </w:pPr>
      <w:r w:rsidRPr="002433EC">
        <w:rPr>
          <w:b/>
          <w:bCs/>
          <w:lang w:eastAsia="es-ES"/>
        </w:rPr>
        <w:lastRenderedPageBreak/>
        <w:t>Estilos de esta plantilla y atajos de teclado</w:t>
      </w:r>
    </w:p>
    <w:p w14:paraId="3877343D" w14:textId="77777777" w:rsidR="002433EC" w:rsidRPr="002433EC" w:rsidRDefault="002433EC" w:rsidP="002433EC">
      <w:pPr>
        <w:jc w:val="center"/>
        <w:rPr>
          <w:b/>
          <w:bCs/>
          <w:lang w:eastAsia="es-ES"/>
        </w:rPr>
      </w:pPr>
    </w:p>
    <w:p w14:paraId="1488D26A" w14:textId="4376D66C" w:rsidR="002A43CD" w:rsidRPr="00BE5F2C" w:rsidRDefault="002A43CD" w:rsidP="002A43CD">
      <w:pPr>
        <w:pStyle w:val="Captulo"/>
        <w:rPr>
          <w:lang w:val="pt-PT" w:eastAsia="es-ES"/>
        </w:rPr>
      </w:pPr>
      <w:r w:rsidRPr="00BE5F2C">
        <w:rPr>
          <w:lang w:val="pt-PT" w:eastAsia="es-ES"/>
        </w:rPr>
        <w:t>Capítulo</w:t>
      </w:r>
      <w:r w:rsidR="002433EC" w:rsidRPr="00BE5F2C">
        <w:rPr>
          <w:lang w:val="pt-PT" w:eastAsia="es-ES"/>
        </w:rPr>
        <w:t xml:space="preserve"> </w:t>
      </w:r>
      <w:r w:rsidR="00C8133D">
        <w:rPr>
          <w:lang w:val="pt-PT" w:eastAsia="es-ES"/>
        </w:rPr>
        <w:t>i</w:t>
      </w:r>
    </w:p>
    <w:p w14:paraId="7ECEBB83" w14:textId="77777777" w:rsidR="00AC34BC" w:rsidRPr="00AC34BC" w:rsidRDefault="002A43CD" w:rsidP="00C8133D">
      <w:pPr>
        <w:pStyle w:val="TtCap"/>
        <w:rPr>
          <w:lang w:val="es-EC" w:eastAsia="es-ES"/>
        </w:rPr>
      </w:pPr>
      <w:r w:rsidRPr="00BE5F2C">
        <w:rPr>
          <w:lang w:val="pt-PT" w:eastAsia="es-ES"/>
        </w:rPr>
        <w:t>Título</w:t>
      </w:r>
      <w:r w:rsidR="00AC34BC">
        <w:rPr>
          <w:lang w:val="pt-PT" w:eastAsia="es-ES"/>
        </w:rPr>
        <w:t xml:space="preserve">: </w:t>
      </w:r>
      <w:r w:rsidR="00AC34BC" w:rsidRPr="00AC34BC">
        <w:rPr>
          <w:lang w:val="es-EC" w:eastAsia="es-ES"/>
        </w:rPr>
        <w:t>Revisión bibliográfica de la Gestión de Comunicación Interinstitucional.</w:t>
      </w:r>
    </w:p>
    <w:p w14:paraId="6A6176CD" w14:textId="3D37DF2D" w:rsidR="002A43CD" w:rsidRDefault="002A43CD" w:rsidP="002A43CD">
      <w:pPr>
        <w:pStyle w:val="Autor"/>
        <w:rPr>
          <w:lang w:eastAsia="es-ES"/>
        </w:rPr>
      </w:pPr>
      <w:r>
        <w:rPr>
          <w:lang w:eastAsia="es-ES"/>
        </w:rPr>
        <w:t>Autor</w:t>
      </w:r>
      <w:r w:rsidR="004B1BC3">
        <w:rPr>
          <w:lang w:eastAsia="es-ES"/>
        </w:rPr>
        <w:t xml:space="preserve">: Ligia angélica mejía </w:t>
      </w:r>
      <w:r w:rsidR="00C504EF">
        <w:rPr>
          <w:lang w:eastAsia="es-ES"/>
        </w:rPr>
        <w:t>Pazmiño</w:t>
      </w:r>
      <w:r w:rsidR="002433EC">
        <w:rPr>
          <w:lang w:eastAsia="es-ES"/>
        </w:rPr>
        <w:t xml:space="preserve"> </w:t>
      </w:r>
    </w:p>
    <w:p w14:paraId="50B56008" w14:textId="4FB190FB" w:rsidR="002A43CD" w:rsidRDefault="00C676ED" w:rsidP="00C504EF">
      <w:pPr>
        <w:pStyle w:val="Adscripcin"/>
        <w:rPr>
          <w:lang w:eastAsia="es-ES"/>
        </w:rPr>
      </w:pPr>
      <w:hyperlink r:id="rId9" w:history="1">
        <w:r w:rsidRPr="00950C20">
          <w:rPr>
            <w:rStyle w:val="Hipervnculo"/>
            <w:lang w:eastAsia="es-ES"/>
          </w:rPr>
          <w:t>ligia.mejia01@cu.ucsg.edu.ec</w:t>
        </w:r>
      </w:hyperlink>
      <w:r>
        <w:rPr>
          <w:lang w:eastAsia="es-ES"/>
        </w:rPr>
        <w:t xml:space="preserve"> </w:t>
      </w:r>
    </w:p>
    <w:p w14:paraId="11B473FA" w14:textId="11939807" w:rsidR="001850D4" w:rsidRPr="001850D4" w:rsidRDefault="001850D4" w:rsidP="001850D4">
      <w:r w:rsidRPr="001850D4">
        <w:t xml:space="preserve">1. INTRODUCCIÓN </w:t>
      </w:r>
    </w:p>
    <w:p w14:paraId="776318C9" w14:textId="2C9CAD63" w:rsidR="001850D4" w:rsidRDefault="001850D4" w:rsidP="001850D4">
      <w:r>
        <w:rPr>
          <w:color w:val="000000"/>
        </w:rPr>
        <w:t>La comunicación interinstitucional constituye un componente estratégico para comprender el funcionamiento de organizaciones que actúan de manera articulada en territorios y sectores caracterizados por la diversidad de actores. Su estudio rebasa la transmisión lineal de información, porque interviene en la construcción de significados, identidades, relaciones de poder, acuerdos y formas de coordinación. Desde la perspectiva constitutiva de la comunicación, las organizaciones se producen y reproducen mediante prácticas comunicativas; por ello, reuniones, protocolos, discursos, publicaciones y plataformas no son únicamente soportes, sino espacios donde se negocian sentidos y se organiza la acción colectiva (Taylor y Van Every, 2000; Putnam y Nicotera, 2009).</w:t>
      </w:r>
    </w:p>
    <w:p w14:paraId="2FBAC923" w14:textId="77777777" w:rsidR="001850D4" w:rsidRDefault="001850D4" w:rsidP="001850D4">
      <w:r>
        <w:rPr>
          <w:color w:val="000000"/>
        </w:rPr>
        <w:t>En el turismo esta perspectiva adquiere especial relevancia. Un destino no se configura solamente por la suma de atractivos, servicios o instituciones, sino por las relaciones que articulan a gobiernos locales, organizaciones públicas, empresas, comunidades, asociaciones y otros actores vinculados con la actividad. Los discursos institucionales y comunitarios intervienen en la producción de representaciones sobre el territorio y condicionan la manera en que el destino es percibido. En consecuencia, la gestión de la comunicación puede favorecer tanto la coordinación interna como la construcción de una imagen externa coherente, vinculando gobernanza, participación, identidad territorial y posicionamiento.</w:t>
      </w:r>
    </w:p>
    <w:p w14:paraId="2BC30FC5" w14:textId="77777777" w:rsidR="001850D4" w:rsidRDefault="001850D4" w:rsidP="001850D4">
      <w:r>
        <w:rPr>
          <w:color w:val="000000"/>
        </w:rPr>
        <w:lastRenderedPageBreak/>
        <w:t>La revisión que sirve de base a este trabajo parte de una interrogante central: ¿qué modelos y referentes teóricos permiten explicar y fundamentar la gestión de comunicación interinstitucional? Esta pregunta se relaciona con la investigación doctoral orientada a formular una propuesta teórico-metodológica para la gestión de comunicación interinstitucional en el clúster turístico de Pastaza, con la finalidad de contribuir a su posicionamiento como destino turístico del Ecuador. La sistematización bibliográfica permite delimitar los conceptos que deben sustentar dicha propuesta y reconocer las dimensiones que posteriormente requieren contrastación empírica.</w:t>
      </w:r>
    </w:p>
    <w:p w14:paraId="7540BA0D" w14:textId="77777777" w:rsidR="001850D4" w:rsidRDefault="001850D4" w:rsidP="001850D4">
      <w:r>
        <w:rPr>
          <w:color w:val="000000"/>
        </w:rPr>
        <w:t>La literatura revisada evidencia que la comunicación interinstitucional debe ser abordada desde una perspectiva sistémica. Los aportes sobre comunicación organizacional, gestión estratégica, redes interorganizacionales, gobernanza colaborativa, comunicación digital, gestión turística e implicación de los colaboradores convergen en una idea: la efectividad de la acción conjunta depende de la capacidad de alinear estructuras, procesos, actores, contenidos, canales, cultura y mecanismos de evaluación. Esta articulación resulta particularmente necesaria en territorios amazónicos, donde la diversidad cultural, las brechas de conectividad y la coexistencia de lógicas institucionales y comunitarias exigen soluciones contextualizadas.</w:t>
      </w:r>
    </w:p>
    <w:p w14:paraId="4F2E7B7C" w14:textId="77777777" w:rsidR="001850D4" w:rsidRDefault="001850D4" w:rsidP="001850D4">
      <w:r>
        <w:rPr>
          <w:color w:val="000000"/>
        </w:rPr>
        <w:t>A partir de esta premisa, el presente capítulo sintetiza los principales hallazgos de la revisión bibliográfica y los organiza en cinco núcleos: comunicación en el siglo XXI, comunicación organizacional, gestión de comunicación organizacional, gestión turística e implicación de los colaboradores. La integración de estos núcleos permite establecer una base conceptual para interpretar la comunicación interinstitucional como infraestructura estratégica de coordinación, producción de sentido y posicionamiento territorial.</w:t>
      </w:r>
    </w:p>
    <w:p w14:paraId="5D8DC444" w14:textId="45441A24" w:rsidR="00607EE3" w:rsidRDefault="00607EE3" w:rsidP="001850D4">
      <w:pPr>
        <w:pStyle w:val="Ttulo1"/>
      </w:pPr>
      <w:r>
        <w:t>2. Objetivos</w:t>
      </w:r>
    </w:p>
    <w:p w14:paraId="252982A2" w14:textId="1F8048FC" w:rsidR="00C94C9E" w:rsidRDefault="00C94C9E" w:rsidP="00C94C9E">
      <w:r>
        <w:rPr>
          <w:color w:val="000000"/>
        </w:rPr>
        <w:t xml:space="preserve">El objetivo general del trabajo es sistematizar los principales referentes teóricos y conceptuales que fundamentan la gestión de comunicación </w:t>
      </w:r>
      <w:r>
        <w:rPr>
          <w:color w:val="000000"/>
        </w:rPr>
        <w:lastRenderedPageBreak/>
        <w:t>interinstitucional, con énfasis en su aplicación a un clúster turístico territorial.</w:t>
      </w:r>
    </w:p>
    <w:p w14:paraId="448552D3" w14:textId="77777777" w:rsidR="00C94C9E" w:rsidRDefault="00C94C9E" w:rsidP="00C94C9E">
      <w:r>
        <w:rPr>
          <w:color w:val="000000"/>
        </w:rPr>
        <w:t>De manera específica, la revisión persigue: identificar enfoques explicativos sobre comunicación organizacional e interinstitucional; reconocer componentes de la gestión estratégica de la comunicación aplicables a redes de actores; relacionar estos componentes con la gobernanza y gestión turística; y establecer fundamentos para una propuesta teórico-metodológica contextualizada en el clúster turístico de Pastaza.</w:t>
      </w:r>
    </w:p>
    <w:p w14:paraId="2708A763" w14:textId="49C7378D" w:rsidR="005A43E3" w:rsidRPr="005A43E3" w:rsidRDefault="005A43E3" w:rsidP="00C94C9E">
      <w:pPr>
        <w:pStyle w:val="Ttulo2"/>
      </w:pPr>
      <w:r>
        <w:t>3. Metodología</w:t>
      </w:r>
    </w:p>
    <w:p w14:paraId="2125E71B" w14:textId="77777777" w:rsidR="00391501" w:rsidRDefault="00391501" w:rsidP="00391501">
      <w:r>
        <w:rPr>
          <w:color w:val="000000"/>
        </w:rPr>
        <w:t>El estudio se desarrolló mediante una revisión bibliográfica de carácter analítico y crítico. La tarea central consistió en identificar referentes relacionados con comunicación organizacional, comunicación interinstitucional, gestión estratégica de la comunicación, redes y gobernanza colaborativa, gestión turística, posicionamiento de destinos e implicación de los colaboradores. La revisión no se limitó a describir definiciones aisladas; se orientó a establecer relaciones conceptuales entre los aportes seleccionados y a determinar su utilidad para explicar un sistema interinstitucional aplicado al turismo.</w:t>
      </w:r>
    </w:p>
    <w:p w14:paraId="461FC8B5" w14:textId="77777777" w:rsidR="00391501" w:rsidRDefault="00391501" w:rsidP="00391501">
      <w:r>
        <w:rPr>
          <w:color w:val="000000"/>
        </w:rPr>
        <w:t>El procedimiento comprendió dos tareas esenciales: identificación de referentes bibliográficos y revisión crítica de sus contribuciones. Las fuentes fueron examinadas atendiendo a su capacidad para explicar estructuras comunicativas, procesos y flujos de información, relaciones entre actores, producción y circulación de contenidos, uso de canales y tecnologías, cultura organizacional, gobernanza, participación y evaluación. También se consideraron aportes sobre gestión turística y posicionamiento, debido a que el objeto doctoral vincula la gestión comunicacional con el funcionamiento y proyección de un clúster territorial.</w:t>
      </w:r>
    </w:p>
    <w:p w14:paraId="4C638FAF" w14:textId="77777777" w:rsidR="00391501" w:rsidRDefault="00391501" w:rsidP="00391501">
      <w:r>
        <w:rPr>
          <w:color w:val="000000"/>
        </w:rPr>
        <w:t xml:space="preserve">La información fue organizada por ejes temáticos y posteriormente integrada mediante análisis conceptual. Se privilegiaron trabajos que aportaran categorías, relaciones o criterios susceptibles de orientar el diagnóstico y la futura modelación teórico-metodológica. Como resultado de esta sistematización se construyó una lectura transversal en la que los distintos enfoques dejan de operar como campos independientes </w:t>
      </w:r>
      <w:r>
        <w:rPr>
          <w:color w:val="000000"/>
        </w:rPr>
        <w:lastRenderedPageBreak/>
        <w:t>y se articulan alrededor de la gestión de comunicación interinstitucional.</w:t>
      </w:r>
    </w:p>
    <w:p w14:paraId="228C14CD" w14:textId="77777777" w:rsidR="00391501" w:rsidRDefault="00391501" w:rsidP="00391501">
      <w:r>
        <w:rPr>
          <w:color w:val="000000"/>
        </w:rPr>
        <w:t>El alcance del estudio es teórico-documental. Por tanto, sus resultados expresan regularidades, convergencias y vacíos identificados en la literatura revisada y no constituyen todavía una evaluación empírica del clúster turístico de Pastaza. La función de esta fase es proporcionar una base conceptual consistente para el diagnóstico posterior y para la formulación de una propuesta ajustada a las particularidades sociales, culturales, institucionales y tecnológicas del territorio.</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4B971B2F" w14:textId="77777777" w:rsidR="005701D0" w:rsidRDefault="005701D0" w:rsidP="005701D0">
      <w:pPr>
        <w:pStyle w:val="Ttulo2"/>
      </w:pPr>
      <w:r>
        <w:rPr>
          <w:color w:val="000000"/>
        </w:rPr>
        <w:t>4.1. Comunicación contemporánea y dimensión constitutiva</w:t>
      </w:r>
    </w:p>
    <w:p w14:paraId="7EFAC332" w14:textId="77777777" w:rsidR="005701D0" w:rsidRDefault="005701D0" w:rsidP="005701D0">
      <w:r>
        <w:rPr>
          <w:color w:val="000000"/>
        </w:rPr>
        <w:t>La primera regularidad identificada es el desplazamiento desde concepciones lineales hacia enfoques relacionales y constitutivos. La comunicación deja de entenderse exclusivamente como transferencia de mensajes y pasa a considerarse una práctica mediante la cual las organizaciones construyen significado, coordinan acciones y configuran identidades. Este giro permite analizar la comunicación interinstitucional no solo por la existencia de canales, sino por la calidad de las relaciones y por los sentidos que los actores producen en su interacción.</w:t>
      </w:r>
    </w:p>
    <w:p w14:paraId="751F4F4B" w14:textId="77777777" w:rsidR="005701D0" w:rsidRDefault="005701D0" w:rsidP="005701D0">
      <w:r>
        <w:rPr>
          <w:color w:val="000000"/>
        </w:rPr>
        <w:t>Esta perspectiva incorpora dimensiones simbólicas, discursivas y políticas. En redes de instituciones heterogéneas, la comunicación participa en la legitimación de decisiones, la distribución de visibilidad y la construcción de narrativas compartidas. Para el turismo, ello supone reconocer que la imagen de un destino emerge de múltiples discursos que circulan simultáneamente. La coherencia no significa uniformar las voces, sino establecer marcos de articulación que permitan representar la diversidad territorial sin generar mensajes contradictorios.</w:t>
      </w:r>
    </w:p>
    <w:p w14:paraId="4D31F372" w14:textId="77777777" w:rsidR="005701D0" w:rsidRDefault="005701D0" w:rsidP="005701D0">
      <w:r>
        <w:rPr>
          <w:color w:val="000000"/>
        </w:rPr>
        <w:t>La digitalización amplía esta complejidad. Sitios web, redes sociales, sistemas de mensajería y plataformas colaborativas aceleran la circulación de información, pero su disponibilidad no garantiza una gestión eficaz. La literatura revisada subraya la necesidad de atender a la pre</w:t>
      </w:r>
      <w:r>
        <w:rPr>
          <w:color w:val="000000"/>
        </w:rPr>
        <w:lastRenderedPageBreak/>
        <w:t>cisión, oportunidad y relevancia de los contenidos, así como a la adaptación de los mensajes a públicos y canales diversos. La comunicación digital debe integrarse con criterios culturales y de gobernanza, especialmente en territorios con desigualdades de conectividad.</w:t>
      </w:r>
    </w:p>
    <w:p w14:paraId="1055385B" w14:textId="77777777" w:rsidR="005701D0" w:rsidRDefault="005701D0" w:rsidP="005701D0">
      <w:pPr>
        <w:pStyle w:val="Ttulo2"/>
      </w:pPr>
      <w:r>
        <w:rPr>
          <w:color w:val="000000"/>
        </w:rPr>
        <w:t>4.2. Comunicación organizacional y articulación interinstitucional</w:t>
      </w:r>
    </w:p>
    <w:p w14:paraId="305FA9AA" w14:textId="77777777" w:rsidR="005701D0" w:rsidRDefault="005701D0" w:rsidP="005701D0">
      <w:r>
        <w:rPr>
          <w:color w:val="000000"/>
        </w:rPr>
        <w:t>La comunicación organizacional aparece como fundamento inmediato de la comunicación interinstitucional. Las organizaciones son sistemas interpretativos en los que la comunicación reduce incertidumbre, coordina acciones y proyecta identidad. La literatura distingue dimensiones estructurales, relacionales, discursivas, tecnológicas y simbólico-culturales. En conjunto, estas dimensiones permiten comprender por qué la sola formalización de convenios o protocolos no asegura colaboración: las reglas deben acompañarse de confianza, liderazgo, lenguajes compartidos y capacidades para usar los canales disponibles.</w:t>
      </w:r>
    </w:p>
    <w:p w14:paraId="60FCB7D9" w14:textId="77777777" w:rsidR="005701D0" w:rsidRDefault="005701D0" w:rsidP="005701D0">
      <w:r>
        <w:rPr>
          <w:color w:val="000000"/>
        </w:rPr>
        <w:t>La dimensión simbólico-cultural resulta especialmente significativa en un clúster turístico amazónico. Valores, símbolos, memorias, narrativas y formas de reconocimiento condicionan la manera en que los actores interpretan los mensajes y se reconocen como parte de un proyecto común. En contextos pluriculturales, una arquitectura comunicativa eficaz debe considerar lenguas, cosmovisiones y referentes territoriales, evitando que las narrativas institucionales invisibilicen voces comunitarias.</w:t>
      </w:r>
    </w:p>
    <w:p w14:paraId="5A25D88C" w14:textId="77777777" w:rsidR="005701D0" w:rsidRDefault="005701D0" w:rsidP="005701D0">
      <w:r>
        <w:rPr>
          <w:color w:val="000000"/>
        </w:rPr>
        <w:t>También se observa una complementariedad entre comunicación formal e informal. Los protocolos, actas, responsabilidades y canales institucionales proporcionan estabilidad, mientras que las redes de confianza y las interacciones cotidianas facilitan la adaptación y la resolución de problemas. La gestión interinstitucional requiere reconocer ambas capas y evitar que la coordinación dependa exclusivamente de relaciones personales o, en el extremo opuesto, de procedimientos formales sin apropiación por parte de los actores.</w:t>
      </w:r>
    </w:p>
    <w:p w14:paraId="78F14F18" w14:textId="77777777" w:rsidR="005701D0" w:rsidRDefault="005701D0" w:rsidP="005701D0">
      <w:pPr>
        <w:pStyle w:val="Ttulo2"/>
      </w:pPr>
      <w:r>
        <w:rPr>
          <w:color w:val="000000"/>
        </w:rPr>
        <w:t>4.3. Gestión estratégica de la comunicación</w:t>
      </w:r>
    </w:p>
    <w:p w14:paraId="5C743C8F" w14:textId="77777777" w:rsidR="005701D0" w:rsidRDefault="005701D0" w:rsidP="005701D0">
      <w:r>
        <w:rPr>
          <w:color w:val="000000"/>
        </w:rPr>
        <w:lastRenderedPageBreak/>
        <w:t>La gestión de comunicación organizacional implica planificar, ejecutar y evaluar prácticas comunicativas en función de objetivos definidos. Las funciones identificadas en la literatura incluyen informar, coordinar, proyectar imagen, gestionar crisis, fortalecer identidad y facilitar participación y retroalimentación. Estas funciones adquieren una escala interinstitucional cuando diferentes organizaciones deben actuar sobre un mismo territorio y comunicar una propuesta de valor compartida.</w:t>
      </w:r>
    </w:p>
    <w:p w14:paraId="72442911" w14:textId="77777777" w:rsidR="005701D0" w:rsidRDefault="005701D0" w:rsidP="005701D0">
      <w:r>
        <w:rPr>
          <w:color w:val="000000"/>
        </w:rPr>
        <w:t>La gestión requiere capacidades técnicas, relacionales y estructurales. Entre las primeras se encuentran la producción de contenidos, el manejo de herramientas digitales y el análisis de métricas; entre las segundas, la negociación, el liderazgo y la resolución de conflictos; y entre las estructurales, la disponibilidad de recursos, infraestructura y marcos normativos. Una debilidad en cualquiera de estos ámbitos puede generar fragmentación, duplicación de esfuerzos y pérdida de coherencia narrativa.</w:t>
      </w:r>
    </w:p>
    <w:p w14:paraId="3BE85954" w14:textId="77777777" w:rsidR="005701D0" w:rsidRDefault="005701D0" w:rsidP="005701D0">
      <w:r>
        <w:rPr>
          <w:color w:val="000000"/>
        </w:rPr>
        <w:t>La gobernanza constituye otro componente central. Ansell y Gash (2008) y Provan y Kenis (2008) muestran que la colaboración se sostiene mediante confianza, transparencia, responsabilidades definidas y mecanismos de rendición de cuentas. En comunicación, estos principios se traducen en instancias de coordinación, protocolos de intercambio, repositorios compartidos, criterios editoriales y sistemas de seguimiento. La gobernanza comunicacional debe permitir que los actores conozcan quién comunica, qué comunica, por qué canal, con qué responsabilidad y con qué mecanismos de evaluación.</w:t>
      </w:r>
    </w:p>
    <w:p w14:paraId="5BB7B192" w14:textId="77777777" w:rsidR="005701D0" w:rsidRDefault="005701D0" w:rsidP="005701D0">
      <w:r>
        <w:rPr>
          <w:color w:val="000000"/>
        </w:rPr>
        <w:t xml:space="preserve">La evaluación completa el ciclo de gestión. Los activos comunicacionales son en gran medida intangibles —confianza, reputación, cultura, coherencia o legitimidad—, pero ello no elimina la necesidad de medirlos. La revisión plantea combinar indicadores cuantitativos y cualitativos: frecuencia de reuniones, participación, contenidos </w:t>
      </w:r>
      <w:proofErr w:type="spellStart"/>
      <w:r>
        <w:rPr>
          <w:color w:val="000000"/>
        </w:rPr>
        <w:t>co-creados</w:t>
      </w:r>
      <w:proofErr w:type="spellEnd"/>
      <w:r>
        <w:rPr>
          <w:color w:val="000000"/>
        </w:rPr>
        <w:t>, alcance de narrativas, calidad informativa, percepción de confianza, reconocimiento de marca y resultados de posicionamiento. La evaluación convierte la comunicación en un proceso de aprendizaje y ajuste continuo.</w:t>
      </w:r>
    </w:p>
    <w:p w14:paraId="312427E0" w14:textId="77777777" w:rsidR="005701D0" w:rsidRDefault="005701D0" w:rsidP="005701D0">
      <w:pPr>
        <w:pStyle w:val="Ttulo2"/>
      </w:pPr>
      <w:r>
        <w:rPr>
          <w:color w:val="000000"/>
        </w:rPr>
        <w:t>4.4. Gestión turística, redes y posicionamiento territorial</w:t>
      </w:r>
    </w:p>
    <w:p w14:paraId="531A7D30" w14:textId="77777777" w:rsidR="005701D0" w:rsidRDefault="005701D0" w:rsidP="005701D0">
      <w:r>
        <w:rPr>
          <w:color w:val="000000"/>
        </w:rPr>
        <w:lastRenderedPageBreak/>
        <w:t>La gestión turística se presenta como un constructo multidimensional que articula actores, recursos, experiencias, sostenibilidad y generación de valor. Desde esta perspectiva, el destino funciona como un sistema territorial y no como una colección de organizaciones independientes. La gobernanza y la coordinación interinstitucional son, por tanto, condiciones para integrar decisiones, evitar dispersión y responder de manera coherente a las transformaciones del entorno.</w:t>
      </w:r>
    </w:p>
    <w:p w14:paraId="3A4178D9" w14:textId="77777777" w:rsidR="005701D0" w:rsidRDefault="005701D0" w:rsidP="005701D0">
      <w:r>
        <w:rPr>
          <w:color w:val="000000"/>
        </w:rPr>
        <w:t>Los estudios sobre redes turísticas advierten que la existencia de vínculos no produce automáticamente beneficios. Las redes requieren arquitecturas colaborativas con roles, incentivos, intercambio de información y seguimiento. Esta conclusión es relevante para el clúster turístico de Pastaza: la comunicación debe facilitar la cooperación efectiva y, simultáneamente, proyectar una narrativa territorial reconocible. El posicionamiento no depende únicamente de promoción, sino de la coherencia entre lo que el destino comunica, las relaciones que sostienen esa comunicación y la experiencia territorial que los actores son capaces de articular.</w:t>
      </w:r>
    </w:p>
    <w:p w14:paraId="7CC5F193" w14:textId="77777777" w:rsidR="005701D0" w:rsidRDefault="005701D0" w:rsidP="005701D0">
      <w:r>
        <w:rPr>
          <w:color w:val="000000"/>
        </w:rPr>
        <w:t>La marca-destino y la co-creación de contenidos emergen como ámbitos donde convergen comunicación y gestión turística. La coordinación entre organizaciones de gestión de destinos y actores locales puede fortalecer la coherencia discursiva y la legitimidad de la marca. A la vez, el contenido generado por comunidades y visitantes desplaza el modelo unidireccional hacia una producción distribuida de narrativas. La gestión debe habilitar esa diversidad sin perder criterios comunes de identidad, calidad y posicionamiento.</w:t>
      </w:r>
    </w:p>
    <w:p w14:paraId="50D17EF3" w14:textId="77777777" w:rsidR="005701D0" w:rsidRDefault="005701D0" w:rsidP="005701D0">
      <w:r>
        <w:rPr>
          <w:color w:val="000000"/>
        </w:rPr>
        <w:t>La sostenibilidad amplía el significado del posicionamiento. Un destino amazónico no debería proyectarse únicamente a partir de atributos promocionales, sino mediante narrativas capaces de integrar patrimonio natural, cultura, participación comunitaria y responsabilidad territorial. De esta forma, la comunicación interinstitucional puede contribuir a una diferenciación auténtica, siempre que los mensajes se sustenten en prácticas verificables y en acuerdos entre los actores que representan el territorio.</w:t>
      </w:r>
    </w:p>
    <w:p w14:paraId="10001582" w14:textId="77777777" w:rsidR="005701D0" w:rsidRDefault="005701D0" w:rsidP="005701D0">
      <w:pPr>
        <w:pStyle w:val="Ttulo2"/>
      </w:pPr>
      <w:r>
        <w:rPr>
          <w:color w:val="000000"/>
        </w:rPr>
        <w:lastRenderedPageBreak/>
        <w:t>4.5. Implicación de los colaboradores y participación de actores</w:t>
      </w:r>
    </w:p>
    <w:p w14:paraId="6E45DEE9" w14:textId="77777777" w:rsidR="005701D0" w:rsidRDefault="005701D0" w:rsidP="005701D0">
      <w:r>
        <w:rPr>
          <w:color w:val="000000"/>
        </w:rPr>
        <w:t xml:space="preserve">La revisión identifica la implicación como una condición para que la arquitectura comunicativa funcione. Participar no equivale solamente a recibir información o asistir a reuniones; implica capacidad de aportar, decidir, retroalimentar y </w:t>
      </w:r>
      <w:proofErr w:type="spellStart"/>
      <w:r>
        <w:rPr>
          <w:color w:val="000000"/>
        </w:rPr>
        <w:t>co-crear</w:t>
      </w:r>
      <w:proofErr w:type="spellEnd"/>
      <w:r>
        <w:rPr>
          <w:color w:val="000000"/>
        </w:rPr>
        <w:t>. En entornos interinstitucionales, los actores deben reconocerse como parte de un proyecto compartido para que los acuerdos formales se conviertan en prácticas sostenibles.</w:t>
      </w:r>
    </w:p>
    <w:p w14:paraId="098583D0" w14:textId="77777777" w:rsidR="005701D0" w:rsidRDefault="005701D0" w:rsidP="005701D0">
      <w:r>
        <w:rPr>
          <w:color w:val="000000"/>
        </w:rPr>
        <w:t>La implicación puede comprenderse en planos cognitivo, emocional y comportamental: conocer los propósitos comunes, identificarse con ellos y participar efectivamente en su realización. Este enfoque conecta comunicación interna, cultura, liderazgo e innovación. En un clúster turístico, además, amplía la noción de colaborador hacia instituciones, empresas, comunidades y actores que intervienen en la producción y circulación de la identidad territorial.</w:t>
      </w:r>
    </w:p>
    <w:p w14:paraId="621E7D14" w14:textId="77777777" w:rsidR="005701D0" w:rsidRDefault="005701D0" w:rsidP="005701D0">
      <w:r>
        <w:rPr>
          <w:color w:val="000000"/>
        </w:rPr>
        <w:t>La participación también fortalece la transparencia y la rendición de cuentas. Cuando los actores intervienen en la definición de indicadores, interpretación de resultados y seguimiento de compromisos, aumenta la apropiación del proceso y la corresponsabilidad. Por ello, una propuesta de gestión de comunicación interinstitucional debe incorporar espacios deliberativos, mecanismos de retroalimentación y criterios de evaluación compartidos.</w:t>
      </w:r>
    </w:p>
    <w:p w14:paraId="46B16326" w14:textId="77777777" w:rsidR="005701D0" w:rsidRDefault="005701D0" w:rsidP="005701D0">
      <w:pPr>
        <w:pStyle w:val="Ttulo2"/>
      </w:pPr>
      <w:r>
        <w:rPr>
          <w:color w:val="000000"/>
        </w:rPr>
        <w:t>4.6. Tendencias contemporáneas para la gestión interinstitucional</w:t>
      </w:r>
    </w:p>
    <w:p w14:paraId="1E357E73" w14:textId="77777777" w:rsidR="005701D0" w:rsidRDefault="005701D0" w:rsidP="005701D0">
      <w:r>
        <w:rPr>
          <w:color w:val="000000"/>
        </w:rPr>
        <w:t>La revisión muestra seis tendencias que modifican las condiciones de la gestión comunicacional: digitalización, ecología de medios, co-creación de contenidos, enfoque en stakeholders, interdependencia de redes y evaluación basada en evidencia. Estas tendencias no actúan de manera separada. En conjunto, desplazan el centro de la gestión desde el control del mensaje hacia la coordinación de un ecosistema en el que múltiples actores producen, reinterpretan y redistribuyen información. La institución deja de ser el único emisor y pasa a desempeñar funciones de facilitación, articulación, validación y seguimiento.</w:t>
      </w:r>
    </w:p>
    <w:p w14:paraId="0540CCDC" w14:textId="77777777" w:rsidR="005701D0" w:rsidRDefault="005701D0" w:rsidP="005701D0">
      <w:r>
        <w:rPr>
          <w:color w:val="000000"/>
        </w:rPr>
        <w:lastRenderedPageBreak/>
        <w:t>La digitalización ha trasladado una parte importante de las interacciones hacia sitios web, redes sociales, sistemas de mensajería, plataformas colaborativas y otras infraestructuras digitales. La literatura revisada insiste en que la incorporación tecnológica debe acompañarse de criterios de calidad informativa. Wang y Yan (2022) relacionan la precisión, actualidad y utilidad de la información turística con la confianza y la intención de viaje. En consecuencia, la gestión del clúster requiere protocolos editoriales, responsabilidades de actualización y criterios comunes para reducir contradicciones entre los contenidos difundidos por diferentes organizaciones.</w:t>
      </w:r>
    </w:p>
    <w:p w14:paraId="21FFC78D" w14:textId="77777777" w:rsidR="005701D0" w:rsidRDefault="005701D0" w:rsidP="005701D0">
      <w:r>
        <w:rPr>
          <w:color w:val="000000"/>
        </w:rPr>
        <w:t>La ecología de medios obliga a considerar que cada canal posee lógicas, públicos y formas de interacción específicas. Un mismo contenido no necesariamente produce el mismo efecto cuando circula en una reunión comunitaria, un boletín institucional, una red social o una plataforma de promoción turística. La comunicación interinstitucional debe, por ello, combinar medios presenciales y digitales y adaptar formatos sin perder coherencia. En territorios amazónicos, esta complementariedad adquiere una dimensión de inclusión, pues las brechas de conectividad hacen necesario conservar alternativas offline y espacios presenciales de deliberación.</w:t>
      </w:r>
    </w:p>
    <w:p w14:paraId="6C972577" w14:textId="77777777" w:rsidR="005701D0" w:rsidRDefault="005701D0" w:rsidP="005701D0">
      <w:r>
        <w:rPr>
          <w:color w:val="000000"/>
        </w:rPr>
        <w:t xml:space="preserve">La co-creación de contenidos constituye otra transformación relevante. Comunidades, visitantes, empresas e instituciones participan en la producción de fotografías, relatos, reseñas y recomendaciones que contribuyen a la imagen del destino. La literatura sobre </w:t>
      </w:r>
      <w:proofErr w:type="spellStart"/>
      <w:r>
        <w:rPr>
          <w:color w:val="000000"/>
        </w:rPr>
        <w:t>destination</w:t>
      </w:r>
      <w:proofErr w:type="spellEnd"/>
      <w:r>
        <w:rPr>
          <w:color w:val="000000"/>
        </w:rPr>
        <w:t xml:space="preserve"> branding sostiene que la coordinación entre organizaciones gestoras y actores locales puede incrementar la coherencia discursiva y la confianza en la marca (Morgan, Pritchard y Pride, 2011). Sin embargo, coordinar no significa apropiarse de las voces locales. El reto consiste en establecer pautas compartidas de identidad y calidad que permitan amplificar la diversidad cultural sin convertirla en una narrativa homogénea.</w:t>
      </w:r>
    </w:p>
    <w:p w14:paraId="7D853DBD" w14:textId="77777777" w:rsidR="005701D0" w:rsidRDefault="005701D0" w:rsidP="005701D0">
      <w:r>
        <w:rPr>
          <w:color w:val="000000"/>
        </w:rPr>
        <w:t xml:space="preserve">El enfoque de stakeholders refuerza la necesidad de procesos bidireccionales. La legitimidad de una estrategia comunicacional depende de que los actores puedan participar en la definición de problemas, objetivos, mensajes y criterios de evaluación. Freeman (1984) ofrece una base para comprender esta pluralidad de intereses, mientras que los enfoques </w:t>
      </w:r>
      <w:r>
        <w:rPr>
          <w:color w:val="000000"/>
        </w:rPr>
        <w:lastRenderedPageBreak/>
        <w:t xml:space="preserve">de gobernanza colaborativa destacan la necesidad de espacios </w:t>
      </w:r>
      <w:proofErr w:type="spellStart"/>
      <w:r>
        <w:rPr>
          <w:color w:val="000000"/>
        </w:rPr>
        <w:t>multi-actor</w:t>
      </w:r>
      <w:proofErr w:type="spellEnd"/>
      <w:r>
        <w:rPr>
          <w:color w:val="000000"/>
        </w:rPr>
        <w:t xml:space="preserve"> y responsabilidades explícitas. Para el clúster turístico, esto implica pasar de convocatorias ocasionales a mecanismos estables de diálogo, decisión y retroalimentación.</w:t>
      </w:r>
    </w:p>
    <w:p w14:paraId="7B9E7112" w14:textId="77777777" w:rsidR="005701D0" w:rsidRDefault="005701D0" w:rsidP="005701D0">
      <w:r>
        <w:rPr>
          <w:color w:val="000000"/>
        </w:rPr>
        <w:t>La interdependencia de las redes constituye un quinto eje. La literatura advierte que crear una red no equivale a producir cooperación efectiva. La coordinación requiere reglas de intercambio, incentivos, continuidad de acuerdos y capacidad para resolver conflictos. Desde esta perspectiva, la comunicación es el tejido operativo de la red: permite distribuir información, aclarar responsabilidades, documentar decisiones y sostener una memoria institucional. La ausencia de estos mecanismos incrementa la dependencia de relaciones personales y debilita la continuidad cuando cambian autoridades, responsables o prioridades.</w:t>
      </w:r>
    </w:p>
    <w:p w14:paraId="0864B1A9" w14:textId="77777777" w:rsidR="005701D0" w:rsidRDefault="005701D0" w:rsidP="005701D0">
      <w:r>
        <w:rPr>
          <w:color w:val="000000"/>
        </w:rPr>
        <w:t>Finalmente, el énfasis en evidencia y evaluación introduce una lógica de gestión orientada al aprendizaje. Los resultados de comunicación no siempre pueden expresarse mediante una sola variable, pero pueden observarse a través de combinaciones de indicadores. La revisión propone articular métricas de actividad, como reuniones, contenidos o frecuencia de actualización; métricas relacionales, como confianza, participación y satisfacción; y métricas de proyección, como alcance, reconocimiento, coherencia de imagen y presencia del destino. La triangulación de evidencias cuantitativas y cualitativas permite interpretar cambios sin reducir la complejidad del fenómeno.</w:t>
      </w:r>
    </w:p>
    <w:p w14:paraId="1A004616" w14:textId="77777777" w:rsidR="005701D0" w:rsidRDefault="005701D0" w:rsidP="005701D0">
      <w:pPr>
        <w:pStyle w:val="Ttulo2"/>
      </w:pPr>
      <w:r>
        <w:rPr>
          <w:color w:val="000000"/>
        </w:rPr>
        <w:t>4.7. Componentes integradores de la gestión de comunicación interinstitucional</w:t>
      </w:r>
    </w:p>
    <w:p w14:paraId="178D7B7B" w14:textId="77777777" w:rsidR="005701D0" w:rsidRDefault="005701D0" w:rsidP="005701D0">
      <w:r>
        <w:rPr>
          <w:color w:val="000000"/>
        </w:rPr>
        <w:t>La sistematización permite agrupar los elementos recurrentes de la literatura en ocho componentes: estructura comunicativa, procesos y flujos, actores, contenidos y canales, cultura organizacional, tecnología, gobernanza y evaluación. La estructura define instancias, responsabilidades y reglas; los procesos describen cómo circula la información y cómo se adoptan decisiones; los actores expresan la diversidad de intereses y capacidades; los contenidos y canales materializan la comuni</w:t>
      </w:r>
      <w:r>
        <w:rPr>
          <w:color w:val="000000"/>
        </w:rPr>
        <w:lastRenderedPageBreak/>
        <w:t>cación; la cultura proporciona significados y valores; la tecnología habilita nuevas formas de interacción; la gobernanza regula la cooperación; y la evaluación aporta evidencia para corregir y aprender.</w:t>
      </w:r>
    </w:p>
    <w:p w14:paraId="29C6EE15" w14:textId="77777777" w:rsidR="005701D0" w:rsidRDefault="005701D0" w:rsidP="005701D0">
      <w:r>
        <w:rPr>
          <w:color w:val="000000"/>
        </w:rPr>
        <w:t>Estos componentes son interdependientes. Una estructura formal sin flujos oportunos produce burocracia; canales digitales sin capacidades humanas generan subutilización; contenidos atractivos sin identidad compartida pueden fragmentar la imagen; participación sin reglas de decisión puede convertirse en consulta simbólica; y evaluación sin retroalimentación no produce mejora. Por ello, el valor de la propuesta teórico-metodológica no reside en acumular componentes, sino en explicar las relaciones entre ellos y traducirlas en procedimientos aplicables al contexto de Pastaza.</w:t>
      </w:r>
    </w:p>
    <w:p w14:paraId="4FA871A5" w14:textId="77777777" w:rsidR="005701D0" w:rsidRDefault="005701D0" w:rsidP="005701D0">
      <w:r>
        <w:rPr>
          <w:color w:val="000000"/>
        </w:rPr>
        <w:t>La cultura organizacional y territorial funciona como una capa transversal. Las instituciones no se relacionan únicamente mediante documentos y procedimientos, sino a través de expectativas, memorias, símbolos, rutinas y percepciones de legitimidad. En un territorio con presencia de comunidades indígenas y diversidad de actores, estos elementos influyen en la confianza y en la aceptación de las narrativas promocionales. La gestión comunicacional debe reconocer esta dimensión para evitar que la búsqueda de coherencia institucional invisibilice significados locales o reproduzca relaciones asimétricas de representación.</w:t>
      </w:r>
    </w:p>
    <w:p w14:paraId="0C1CB4DD" w14:textId="77777777" w:rsidR="005701D0" w:rsidRDefault="005701D0" w:rsidP="005701D0">
      <w:r>
        <w:rPr>
          <w:color w:val="000000"/>
        </w:rPr>
        <w:t>La tecnología también debe comprenderse transversalmente. Las plataformas pueden mejorar la velocidad de coordinación y ampliar la visibilidad del destino, pero su impacto depende de reglas de uso, alfabetización digital, acceso y gobernanza de la información. Una estrategia pertinente para un clúster amazónico necesita combinar innovación tecnológica con criterios de accesibilidad y redundancia de canales. De esta manera, la digitalización puede fortalecer la red sin excluir a actores con menor conectividad o diferentes prácticas comunicativas.</w:t>
      </w:r>
    </w:p>
    <w:p w14:paraId="445347AB" w14:textId="77777777" w:rsidR="005701D0" w:rsidRDefault="005701D0" w:rsidP="005701D0">
      <w:r>
        <w:rPr>
          <w:color w:val="000000"/>
        </w:rPr>
        <w:t xml:space="preserve">La evaluación, por su parte, conecta el funcionamiento interno con el resultado externo. Para el objeto de estudio resulta relevante distinguir entre indicadores de procesos de comunicación, indicadores de relaciones interinstitucionales e indicadores de visibilidad y posicionamiento. Esta diferenciación permite evitar que el posicionamiento sea tratado </w:t>
      </w:r>
      <w:r>
        <w:rPr>
          <w:color w:val="000000"/>
        </w:rPr>
        <w:lastRenderedPageBreak/>
        <w:t>como una simple actividad comunicativa. La visibilidad y el reconocimiento del destino constituyen resultados que deben analizarse en relación con la coherencia de las narrativas, la articulación promocional y la capacidad del clúster para sostener una propuesta territorial diferenciada.</w:t>
      </w:r>
    </w:p>
    <w:p w14:paraId="49F14C9A" w14:textId="77777777" w:rsidR="005701D0" w:rsidRDefault="005701D0" w:rsidP="005701D0">
      <w:pPr>
        <w:pStyle w:val="Ttulo2"/>
      </w:pPr>
      <w:r>
        <w:rPr>
          <w:color w:val="000000"/>
        </w:rPr>
        <w:t>4.8. Implicaciones para el clúster turístico de Pastaza</w:t>
      </w:r>
    </w:p>
    <w:p w14:paraId="491495D9" w14:textId="77777777" w:rsidR="005701D0" w:rsidRDefault="005701D0" w:rsidP="005701D0">
      <w:r>
        <w:rPr>
          <w:color w:val="000000"/>
        </w:rPr>
        <w:t>La literatura sistematizada ofrece criterios para interpretar el caso de Pastaza sin anticipar los resultados del diagnóstico. En primer lugar, orienta a examinar cómo se organizan los procesos de comunicación: qué instancias existen, cómo fluye la información, qué canales se utilizan, quién produce contenidos y cómo se evalúan. En segundo lugar, exige observar las relaciones interinstitucionales como una dimensión propia: niveles de coordinación, cooperación, confianza, participación, formalización de acuerdos y continuidad de las acciones conjuntas.</w:t>
      </w:r>
    </w:p>
    <w:p w14:paraId="35C580DF" w14:textId="77777777" w:rsidR="005701D0" w:rsidRDefault="005701D0" w:rsidP="005701D0">
      <w:r>
        <w:rPr>
          <w:color w:val="000000"/>
        </w:rPr>
        <w:t>En tercer lugar, la revisión sitúa la visibilidad y el posicionamiento del clúster como un ámbito de análisis diferenciado. Este componente requiere observar la presencia del destino en soportes institucionales y digitales, la coherencia entre mensajes, la identidad proyectada, la articulación de campañas, el reconocimiento de atributos territoriales y la percepción de Pastaza como destino. El interés no es atribuir causalidad automática a la comunicación, sino establecer una línea de base que permita valorar posteriormente la contribución de una gestión interinstitucional más coherente.</w:t>
      </w:r>
    </w:p>
    <w:p w14:paraId="74EDB916" w14:textId="43C85AD8" w:rsidR="005701D0" w:rsidRDefault="005701D0" w:rsidP="005701D0">
      <w:pPr>
        <w:rPr>
          <w:color w:val="000000"/>
        </w:rPr>
      </w:pPr>
      <w:r>
        <w:rPr>
          <w:color w:val="000000"/>
        </w:rPr>
        <w:t>Estas tres áreas —procesos comunicativos, relaciones interinstitucionales y visibilidad-posicionamiento— mantienen una relación lógica con la categoría central. La comunicación proporciona los mecanismos de producción e intercambio de sentidos; lo interinstitucional define el espacio relacional donde los actores coordinan decisiones; y el clúster turístico constituye la configuración territorial donde esas relaciones buscan generar valor y proyección. Separarlas analíticamente permite otorgarles peso propio sin perder su articulación sistémica.</w:t>
      </w:r>
      <w:r w:rsidR="00F91369">
        <w:rPr>
          <w:color w:val="000000"/>
        </w:rPr>
        <w:t xml:space="preserve"> </w:t>
      </w:r>
    </w:p>
    <w:p w14:paraId="4B0C2171" w14:textId="77777777" w:rsidR="00C62E89" w:rsidRDefault="00C62E89" w:rsidP="00C62E89">
      <w:r>
        <w:rPr>
          <w:color w:val="000000"/>
        </w:rPr>
        <w:lastRenderedPageBreak/>
        <w:t>En consecuencia, la propuesta futura deberá vincular diagnóstico, fundamentos teóricos y procedimientos de intervención. Los principios derivados de la revisión apuntan a una gestión participativa, intercultural, multicanal, transparente, adaptable y evaluable. Su operacionalización deberá establecer actores responsables, secuencias de trabajo, mecanismos de coordinación, criterios de producción de contenidos, protocolos de intercambio y un sistema de indicadores que permita observar tanto el funcionamiento de la red como los avances en visibilidad y posicionamiento.</w:t>
      </w:r>
    </w:p>
    <w:p w14:paraId="740C7DA7" w14:textId="439E758C" w:rsidR="00CE0F4B" w:rsidRDefault="002A43CD" w:rsidP="005701D0">
      <w:pPr>
        <w:pStyle w:val="Ttulo1"/>
      </w:pPr>
      <w:r w:rsidRPr="002A43CD">
        <w:t>5.</w:t>
      </w:r>
      <w:r>
        <w:t xml:space="preserve"> </w:t>
      </w:r>
      <w:r w:rsidR="00CE0F4B">
        <w:t>discusión</w:t>
      </w:r>
    </w:p>
    <w:p w14:paraId="5226314C" w14:textId="77777777" w:rsidR="00DF4082" w:rsidRDefault="00DF4082" w:rsidP="00DF4082">
      <w:r>
        <w:rPr>
          <w:color w:val="000000"/>
        </w:rPr>
        <w:t>Los hallazgos permiten discutir la comunicación interinstitucional como un fenómeno que no puede reducirse a un departamento, una plataforma o un conjunto de piezas promocionales. La literatura converge en la necesidad de una visión sistémica donde comunicación, relaciones interinstitucionales y territorio interactúan. Esta lectura resulta coherente con el objeto doctoral, porque el posicionamiento de Pastaza no puede analizarse de manera independiente de la calidad de la coordinación que sostiene los mensajes y acciones del clúster.</w:t>
      </w:r>
    </w:p>
    <w:p w14:paraId="1E3E0AFA" w14:textId="77777777" w:rsidR="00DF4082" w:rsidRDefault="00DF4082" w:rsidP="00DF4082">
      <w:r>
        <w:rPr>
          <w:color w:val="000000"/>
        </w:rPr>
        <w:t>Un primer aspecto crítico es la tensión entre formalización y relación. Las redes requieren protocolos, roles y mecanismos de control, pero también confianza, reciprocidad y reconocimiento de las diferencias culturales. Una propuesta centrada únicamente en normas podría producir una estructura burocrática sin compromiso; una propuesta basada solo en relaciones informales podría carecer de continuidad y trazabilidad. La gestión comunicacional debe integrar ambas dimensiones mediante acuerdos operativos, espacios de diálogo y responsabilidades verificables.</w:t>
      </w:r>
    </w:p>
    <w:p w14:paraId="4D37CE8B" w14:textId="77777777" w:rsidR="00DF4082" w:rsidRDefault="00DF4082" w:rsidP="00DF4082">
      <w:r>
        <w:rPr>
          <w:color w:val="000000"/>
        </w:rPr>
        <w:t xml:space="preserve">Un segundo aspecto es la relación entre pluralidad y coherencia narrativa. En un territorio amazónico multicultural, la coherencia no debe confundirse con homogeneización. La gestión estratégica debe ofrecer criterios compartidos de identidad y posicionamiento, a la vez que preserve la participación de comunidades y organizaciones diversas. La </w:t>
      </w:r>
      <w:r>
        <w:rPr>
          <w:color w:val="000000"/>
        </w:rPr>
        <w:lastRenderedPageBreak/>
        <w:t>co-creación de contenidos y la comunicación multicanal son oportunidades para ampliar la representación, siempre que existan mecanismos para asegurar calidad informativa, respeto cultural y correspondencia entre discurso y práctica.</w:t>
      </w:r>
    </w:p>
    <w:p w14:paraId="70FB8D66" w14:textId="77777777" w:rsidR="00DF4082" w:rsidRDefault="00DF4082" w:rsidP="00DF4082">
      <w:r>
        <w:rPr>
          <w:color w:val="000000"/>
        </w:rPr>
        <w:t>Un tercer aspecto es la evaluación. La literatura muestra que los resultados comunicacionales combinan dimensiones observables e intangibles. Esto obliga a utilizar indicadores mixtos que vinculen procesos internos —coordinación, participación, flujos, confianza— con resultados externos —visibilidad, coherencia de imagen, reconocimiento y posicionamiento—. En consecuencia, la evaluación no debe ubicarse al final como una actividad de control, sino integrarse desde el diseño de la gestión para generar aprendizaje institucional.</w:t>
      </w:r>
    </w:p>
    <w:p w14:paraId="7D6C7943" w14:textId="77777777" w:rsidR="00DF4082" w:rsidRDefault="00DF4082" w:rsidP="00DF4082">
      <w:r>
        <w:rPr>
          <w:color w:val="000000"/>
        </w:rPr>
        <w:t>La principal implicación teórica de la revisión es que la futura propuesta para el clúster turístico de Pastaza debe articular una arquitectura comunicativa participativa, intercultural, multicanal y evaluable. Su pertinencia dependerá de que traduzca los referentes generales a las condiciones reales del territorio, por lo que la revisión bibliográfica constituye un fundamento y no un sustituto del diagnóstico empírico. La fase de campo deberá determinar cómo se expresan estas dimensiones en las relaciones, prácticas comunicativas y procesos de visibilidad y posicionamiento del clúster.</w:t>
      </w:r>
    </w:p>
    <w:p w14:paraId="568F694A" w14:textId="337BD443" w:rsidR="004307D4" w:rsidRDefault="00721EBE" w:rsidP="00721EBE">
      <w:pPr>
        <w:pStyle w:val="Ttulo1"/>
      </w:pPr>
      <w:r w:rsidRPr="00721EBE">
        <w:rPr>
          <w:caps w:val="0"/>
        </w:rPr>
        <w:t>6.</w:t>
      </w:r>
      <w:r>
        <w:t xml:space="preserve"> </w:t>
      </w:r>
      <w:r w:rsidR="004307D4">
        <w:t xml:space="preserve">conclusiones </w:t>
      </w:r>
    </w:p>
    <w:p w14:paraId="621BEBB4" w14:textId="77777777" w:rsidR="00415CA5" w:rsidRDefault="00415CA5" w:rsidP="00415CA5">
      <w:r>
        <w:rPr>
          <w:color w:val="000000"/>
        </w:rPr>
        <w:t>La sistematización teórica permite concluir que la comunicación interinstitucional, aplicada al turismo, es un proceso estructurante de relaciones, coordinaciones y sentidos compartidos. Su función excede la transmisión de información, pues interviene en la articulación de actores, la construcción de confianza, la legitimación de decisiones y la producción de narrativas territoriales.</w:t>
      </w:r>
    </w:p>
    <w:p w14:paraId="642E4902" w14:textId="77777777" w:rsidR="00415CA5" w:rsidRDefault="00415CA5" w:rsidP="00415CA5">
      <w:r>
        <w:rPr>
          <w:color w:val="000000"/>
        </w:rPr>
        <w:t>Los enfoques lineales y fragmentados son insuficientes para explicar la dinámica de un clúster turístico. La gestión requiere integrar estructuras, flujos, canales, contenidos, cultura, tecnologías, participación, go</w:t>
      </w:r>
      <w:r>
        <w:rPr>
          <w:color w:val="000000"/>
        </w:rPr>
        <w:lastRenderedPageBreak/>
        <w:t>bernanza y evaluación. Esta integración permite comprender la comunicación como capacidad estratégica y no como una suma de acciones aisladas.</w:t>
      </w:r>
    </w:p>
    <w:p w14:paraId="5EB3ABCA" w14:textId="77777777" w:rsidR="00415CA5" w:rsidRDefault="00415CA5" w:rsidP="00415CA5">
      <w:r>
        <w:rPr>
          <w:color w:val="000000"/>
        </w:rPr>
        <w:t>La gestión turística y la comunicación se vinculan mediante la coordinación territorial y el posicionamiento. El destino debe concebirse como un sistema de cooperación y generación de valor compartido; por ello, su visibilidad e imagen dependen tanto de la calidad de los contenidos como de la capacidad de los actores para sostener acuerdos, proyectar una identidad coherente y responder a públicos diversos.</w:t>
      </w:r>
    </w:p>
    <w:p w14:paraId="2DD24AF6" w14:textId="77777777" w:rsidR="00415CA5" w:rsidRDefault="00415CA5" w:rsidP="00415CA5">
      <w:r>
        <w:rPr>
          <w:color w:val="000000"/>
        </w:rPr>
        <w:t>La participación e implicación de instituciones, empresas, comunidades y colaboradores constituyen condiciones para la sostenibilidad de la gestión. Los actores deben intervenir en la construcción de mensajes, protocolos, indicadores y procesos de retroalimentación, de modo que la comunicación se convierta en una práctica de corresponsabilidad y gobernanza compartida.</w:t>
      </w:r>
    </w:p>
    <w:p w14:paraId="77928C64" w14:textId="77777777" w:rsidR="00415CA5" w:rsidRDefault="00415CA5" w:rsidP="00415CA5">
      <w:r>
        <w:rPr>
          <w:color w:val="000000"/>
        </w:rPr>
        <w:t>En síntesis, la revisión ofrece bases para sustentar una propuesta teórico-metodológica de comunicación interinstitucional sistémica, participativa, evaluable y territorialmente contextualizada. Estos fundamentos orientan el posterior diagnóstico del clúster turístico de Pastaza y permiten vincular la gestión comunicacional con la visibilidad y el posicionamiento del territorio como destino turístico del Ecuador.</w:t>
      </w:r>
    </w:p>
    <w:p w14:paraId="6C5733CD" w14:textId="02136912" w:rsidR="002F3733" w:rsidRDefault="00721EBE" w:rsidP="00721EBE">
      <w:pPr>
        <w:pStyle w:val="Ttulo1"/>
      </w:pPr>
      <w:r w:rsidRPr="00721EBE">
        <w:rPr>
          <w:caps w:val="0"/>
        </w:rPr>
        <w:t>7</w:t>
      </w:r>
      <w:r w:rsidR="00920563">
        <w:rPr>
          <w:caps w:val="0"/>
        </w:rPr>
        <w:t>.</w:t>
      </w:r>
      <w:r>
        <w:t xml:space="preserve"> </w:t>
      </w:r>
      <w:r w:rsidR="002F3733">
        <w:t>Agradecimientos</w:t>
      </w:r>
      <w:r w:rsidR="009E664A">
        <w:t>/</w:t>
      </w:r>
      <w:r w:rsidR="005A43E3">
        <w:t>Apoyos</w:t>
      </w:r>
      <w:r w:rsidR="00920563">
        <w:t xml:space="preserve"> </w:t>
      </w:r>
    </w:p>
    <w:p w14:paraId="07F085D9" w14:textId="77777777" w:rsidR="0012133F" w:rsidRPr="00832026" w:rsidRDefault="0012133F" w:rsidP="0012133F">
      <w:pPr>
        <w:rPr>
          <w:rFonts w:cs="Times New Roman"/>
        </w:rPr>
      </w:pPr>
      <w:r w:rsidRPr="00832026">
        <w:rPr>
          <w:rFonts w:cs="Times New Roman"/>
        </w:rPr>
        <w:t>Deseo expresar mi más profundo y sincero agradecimiento a mi tutora, la Dra. Irene Trelles, por su guía experta, su constante apoyo científico y su sabiduría compartida a lo largo de este trayecto de investigación doctoral.</w:t>
      </w:r>
    </w:p>
    <w:p w14:paraId="314B8D21" w14:textId="77777777" w:rsidR="0012133F" w:rsidRPr="00832026" w:rsidRDefault="0012133F" w:rsidP="0012133F">
      <w:pPr>
        <w:rPr>
          <w:rFonts w:cs="Times New Roman"/>
        </w:rPr>
      </w:pPr>
      <w:r w:rsidRPr="00832026">
        <w:rPr>
          <w:rFonts w:cs="Times New Roman"/>
        </w:rPr>
        <w:t>De manera entrañable, agradezco a mi familia; a mi esposo Víctor Del Corral y a mi hijo Emilio Del Corral, quienes con su amor incondicional, paciencia infinita e inspiración diaria han sido el pilar fundamental que hizo posible el desarrollo exitoso de este esfuerzo académico.</w:t>
      </w:r>
    </w:p>
    <w:p w14:paraId="74DC25C0" w14:textId="382DB6B9" w:rsidR="002F3733" w:rsidRDefault="002F3733" w:rsidP="00920563"/>
    <w:p w14:paraId="703B2935" w14:textId="4CC7A31C" w:rsidR="004307D4" w:rsidRPr="008B6A98" w:rsidRDefault="00721EBE" w:rsidP="00721EBE">
      <w:pPr>
        <w:pStyle w:val="Ttulo1"/>
      </w:pPr>
      <w:r w:rsidRPr="008B6A98">
        <w:rPr>
          <w:caps w:val="0"/>
        </w:rPr>
        <w:lastRenderedPageBreak/>
        <w:t>8.</w:t>
      </w:r>
      <w:r w:rsidRPr="008B6A98">
        <w:t xml:space="preserve"> </w:t>
      </w:r>
      <w:r w:rsidR="002F3733" w:rsidRPr="008B6A98">
        <w:t>Referencias</w:t>
      </w:r>
      <w:r w:rsidR="005417EB">
        <w:t xml:space="preserve"> </w:t>
      </w:r>
    </w:p>
    <w:p w14:paraId="784FD165" w14:textId="77777777" w:rsidR="00F61FAD" w:rsidRDefault="00F61FAD" w:rsidP="00F61FAD">
      <w:pPr>
        <w:pStyle w:val="Bibliografa"/>
      </w:pPr>
      <w:r>
        <w:rPr>
          <w:color w:val="000000"/>
        </w:rPr>
        <w:t xml:space="preserve">Ansell, C., y Gash, A. (2008). </w:t>
      </w:r>
      <w:proofErr w:type="spellStart"/>
      <w:r>
        <w:rPr>
          <w:color w:val="000000"/>
        </w:rPr>
        <w:t>Collaborative</w:t>
      </w:r>
      <w:proofErr w:type="spellEnd"/>
      <w:r>
        <w:rPr>
          <w:color w:val="000000"/>
        </w:rPr>
        <w:t xml:space="preserve"> </w:t>
      </w:r>
      <w:proofErr w:type="spellStart"/>
      <w:r>
        <w:rPr>
          <w:color w:val="000000"/>
        </w:rPr>
        <w:t>governance</w:t>
      </w:r>
      <w:proofErr w:type="spellEnd"/>
      <w:r>
        <w:rPr>
          <w:color w:val="000000"/>
        </w:rPr>
        <w:t xml:space="preserve"> in </w:t>
      </w:r>
      <w:proofErr w:type="spellStart"/>
      <w:r>
        <w:rPr>
          <w:color w:val="000000"/>
        </w:rPr>
        <w:t>theory</w:t>
      </w:r>
      <w:proofErr w:type="spellEnd"/>
      <w:r>
        <w:rPr>
          <w:color w:val="000000"/>
        </w:rPr>
        <w:t xml:space="preserve"> and </w:t>
      </w:r>
      <w:proofErr w:type="spellStart"/>
      <w:r>
        <w:rPr>
          <w:color w:val="000000"/>
        </w:rPr>
        <w:t>practice</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Public </w:t>
      </w:r>
      <w:proofErr w:type="spellStart"/>
      <w:r>
        <w:rPr>
          <w:color w:val="000000"/>
        </w:rPr>
        <w:t>Administration</w:t>
      </w:r>
      <w:proofErr w:type="spellEnd"/>
      <w:r>
        <w:rPr>
          <w:color w:val="000000"/>
        </w:rPr>
        <w:t xml:space="preserve"> </w:t>
      </w:r>
      <w:proofErr w:type="spellStart"/>
      <w:r>
        <w:rPr>
          <w:color w:val="000000"/>
        </w:rPr>
        <w:t>Research</w:t>
      </w:r>
      <w:proofErr w:type="spellEnd"/>
      <w:r>
        <w:rPr>
          <w:color w:val="000000"/>
        </w:rPr>
        <w:t xml:space="preserve"> and Theory, 18(4), 543-571. https://doi.org/10.1093/jopart/mum032</w:t>
      </w:r>
    </w:p>
    <w:p w14:paraId="29211358" w14:textId="77777777" w:rsidR="00F61FAD" w:rsidRDefault="00F61FAD" w:rsidP="00F61FAD">
      <w:pPr>
        <w:pStyle w:val="Bibliografa"/>
      </w:pPr>
      <w:r>
        <w:rPr>
          <w:color w:val="000000"/>
        </w:rPr>
        <w:t xml:space="preserve">Argenti, P. A. (1998). </w:t>
      </w:r>
      <w:proofErr w:type="spellStart"/>
      <w:r>
        <w:rPr>
          <w:color w:val="000000"/>
        </w:rPr>
        <w:t>Corporate</w:t>
      </w:r>
      <w:proofErr w:type="spellEnd"/>
      <w:r>
        <w:rPr>
          <w:color w:val="000000"/>
        </w:rPr>
        <w:t xml:space="preserve"> </w:t>
      </w:r>
      <w:proofErr w:type="spellStart"/>
      <w:r>
        <w:rPr>
          <w:color w:val="000000"/>
        </w:rPr>
        <w:t>communication</w:t>
      </w:r>
      <w:proofErr w:type="spellEnd"/>
      <w:r>
        <w:rPr>
          <w:color w:val="000000"/>
        </w:rPr>
        <w:t>. McGraw-Hill.</w:t>
      </w:r>
    </w:p>
    <w:p w14:paraId="74EFCFFC" w14:textId="77777777" w:rsidR="00F61FAD" w:rsidRDefault="00F61FAD" w:rsidP="00F61FAD">
      <w:pPr>
        <w:pStyle w:val="Bibliografa"/>
      </w:pPr>
      <w:r>
        <w:rPr>
          <w:color w:val="000000"/>
        </w:rPr>
        <w:t xml:space="preserve">Borgatti, S. P., y Foster, P. C. (2003). The </w:t>
      </w:r>
      <w:proofErr w:type="spellStart"/>
      <w:r>
        <w:rPr>
          <w:color w:val="000000"/>
        </w:rPr>
        <w:t>network</w:t>
      </w:r>
      <w:proofErr w:type="spellEnd"/>
      <w:r>
        <w:rPr>
          <w:color w:val="000000"/>
        </w:rPr>
        <w:t xml:space="preserve"> </w:t>
      </w:r>
      <w:proofErr w:type="spellStart"/>
      <w:r>
        <w:rPr>
          <w:color w:val="000000"/>
        </w:rPr>
        <w:t>paradigm</w:t>
      </w:r>
      <w:proofErr w:type="spellEnd"/>
      <w:r>
        <w:rPr>
          <w:color w:val="000000"/>
        </w:rPr>
        <w:t xml:space="preserve"> in </w:t>
      </w:r>
      <w:proofErr w:type="spellStart"/>
      <w:r>
        <w:rPr>
          <w:color w:val="000000"/>
        </w:rPr>
        <w:t>organizational</w:t>
      </w:r>
      <w:proofErr w:type="spellEnd"/>
      <w:r>
        <w:rPr>
          <w:color w:val="000000"/>
        </w:rPr>
        <w:t xml:space="preserve"> </w:t>
      </w:r>
      <w:proofErr w:type="spellStart"/>
      <w:r>
        <w:rPr>
          <w:color w:val="000000"/>
        </w:rPr>
        <w:t>research</w:t>
      </w:r>
      <w:proofErr w:type="spellEnd"/>
      <w:r>
        <w:rPr>
          <w:color w:val="000000"/>
        </w:rPr>
        <w:t xml:space="preserve">: A </w:t>
      </w:r>
      <w:proofErr w:type="spellStart"/>
      <w:r>
        <w:rPr>
          <w:color w:val="000000"/>
        </w:rPr>
        <w:t>review</w:t>
      </w:r>
      <w:proofErr w:type="spellEnd"/>
      <w:r>
        <w:rPr>
          <w:color w:val="000000"/>
        </w:rPr>
        <w:t xml:space="preserve"> and </w:t>
      </w:r>
      <w:proofErr w:type="spellStart"/>
      <w:r>
        <w:rPr>
          <w:color w:val="000000"/>
        </w:rPr>
        <w:t>typology</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Management, 29(6), 991-1013. https://doi.org/10.1016/S0149-2063(03)00087-4</w:t>
      </w:r>
    </w:p>
    <w:p w14:paraId="2F0AFF84" w14:textId="77777777" w:rsidR="00F61FAD" w:rsidRDefault="00F61FAD" w:rsidP="00F61FAD">
      <w:pPr>
        <w:pStyle w:val="Bibliografa"/>
      </w:pPr>
      <w:r>
        <w:rPr>
          <w:color w:val="000000"/>
        </w:rPr>
        <w:t xml:space="preserve">Bryson, J. M., Crosby, B. C., y Bloomberg, L. (2016). Public </w:t>
      </w:r>
      <w:proofErr w:type="spellStart"/>
      <w:r>
        <w:rPr>
          <w:color w:val="000000"/>
        </w:rPr>
        <w:t>value</w:t>
      </w:r>
      <w:proofErr w:type="spellEnd"/>
      <w:r>
        <w:rPr>
          <w:color w:val="000000"/>
        </w:rPr>
        <w:t xml:space="preserve"> </w:t>
      </w:r>
      <w:proofErr w:type="spellStart"/>
      <w:r>
        <w:rPr>
          <w:color w:val="000000"/>
        </w:rPr>
        <w:t>governance</w:t>
      </w:r>
      <w:proofErr w:type="spellEnd"/>
      <w:r>
        <w:rPr>
          <w:color w:val="000000"/>
        </w:rPr>
        <w:t xml:space="preserve">: </w:t>
      </w:r>
      <w:proofErr w:type="spellStart"/>
      <w:r>
        <w:rPr>
          <w:color w:val="000000"/>
        </w:rPr>
        <w:t>Moving</w:t>
      </w:r>
      <w:proofErr w:type="spellEnd"/>
      <w:r>
        <w:rPr>
          <w:color w:val="000000"/>
        </w:rPr>
        <w:t xml:space="preserve"> </w:t>
      </w:r>
      <w:proofErr w:type="spellStart"/>
      <w:r>
        <w:rPr>
          <w:color w:val="000000"/>
        </w:rPr>
        <w:t>beyond</w:t>
      </w:r>
      <w:proofErr w:type="spellEnd"/>
      <w:r>
        <w:rPr>
          <w:color w:val="000000"/>
        </w:rPr>
        <w:t xml:space="preserve"> </w:t>
      </w:r>
      <w:proofErr w:type="spellStart"/>
      <w:r>
        <w:rPr>
          <w:color w:val="000000"/>
        </w:rPr>
        <w:t>traditional</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administration</w:t>
      </w:r>
      <w:proofErr w:type="spellEnd"/>
      <w:r>
        <w:rPr>
          <w:color w:val="000000"/>
        </w:rPr>
        <w:t xml:space="preserve"> and </w:t>
      </w:r>
      <w:proofErr w:type="spellStart"/>
      <w:r>
        <w:rPr>
          <w:color w:val="000000"/>
        </w:rPr>
        <w:t>the</w:t>
      </w:r>
      <w:proofErr w:type="spellEnd"/>
      <w:r>
        <w:rPr>
          <w:color w:val="000000"/>
        </w:rPr>
        <w:t xml:space="preserve"> New Public Management. Public </w:t>
      </w:r>
      <w:proofErr w:type="spellStart"/>
      <w:r>
        <w:rPr>
          <w:color w:val="000000"/>
        </w:rPr>
        <w:t>Administration</w:t>
      </w:r>
      <w:proofErr w:type="spellEnd"/>
      <w:r>
        <w:rPr>
          <w:color w:val="000000"/>
        </w:rPr>
        <w:t xml:space="preserve"> </w:t>
      </w:r>
      <w:proofErr w:type="spellStart"/>
      <w:r>
        <w:rPr>
          <w:color w:val="000000"/>
        </w:rPr>
        <w:t>Review</w:t>
      </w:r>
      <w:proofErr w:type="spellEnd"/>
      <w:r>
        <w:rPr>
          <w:color w:val="000000"/>
        </w:rPr>
        <w:t>, 74(4), 445-456. https://doi.org/10.1111/puar.12465</w:t>
      </w:r>
    </w:p>
    <w:p w14:paraId="53F9464A" w14:textId="77777777" w:rsidR="00F61FAD" w:rsidRDefault="00F61FAD" w:rsidP="00F61FAD">
      <w:pPr>
        <w:pStyle w:val="Bibliografa"/>
      </w:pPr>
      <w:r>
        <w:rPr>
          <w:color w:val="000000"/>
        </w:rPr>
        <w:t xml:space="preserve">Coombs, W. T. (2012). The </w:t>
      </w:r>
      <w:proofErr w:type="spellStart"/>
      <w:r>
        <w:rPr>
          <w:color w:val="000000"/>
        </w:rPr>
        <w:t>handbook</w:t>
      </w:r>
      <w:proofErr w:type="spellEnd"/>
      <w:r>
        <w:rPr>
          <w:color w:val="000000"/>
        </w:rPr>
        <w:t xml:space="preserve"> </w:t>
      </w:r>
      <w:proofErr w:type="spellStart"/>
      <w:r>
        <w:rPr>
          <w:color w:val="000000"/>
        </w:rPr>
        <w:t>of</w:t>
      </w:r>
      <w:proofErr w:type="spellEnd"/>
      <w:r>
        <w:rPr>
          <w:color w:val="000000"/>
        </w:rPr>
        <w:t xml:space="preserve"> crisis </w:t>
      </w:r>
      <w:proofErr w:type="spellStart"/>
      <w:r>
        <w:rPr>
          <w:color w:val="000000"/>
        </w:rPr>
        <w:t>communication</w:t>
      </w:r>
      <w:proofErr w:type="spellEnd"/>
      <w:r>
        <w:rPr>
          <w:color w:val="000000"/>
        </w:rPr>
        <w:t>. Wiley-Blackwell.</w:t>
      </w:r>
    </w:p>
    <w:p w14:paraId="1D0A6ED5" w14:textId="77777777" w:rsidR="00F61FAD" w:rsidRDefault="00F61FAD" w:rsidP="00F61FAD">
      <w:pPr>
        <w:pStyle w:val="Bibliografa"/>
      </w:pPr>
      <w:r>
        <w:rPr>
          <w:color w:val="000000"/>
        </w:rPr>
        <w:t xml:space="preserve">Creswell, J. W. (2014). </w:t>
      </w:r>
      <w:proofErr w:type="spellStart"/>
      <w:r>
        <w:rPr>
          <w:color w:val="000000"/>
        </w:rPr>
        <w:t>Research</w:t>
      </w:r>
      <w:proofErr w:type="spellEnd"/>
      <w:r>
        <w:rPr>
          <w:color w:val="000000"/>
        </w:rPr>
        <w:t xml:space="preserve"> </w:t>
      </w:r>
      <w:proofErr w:type="spellStart"/>
      <w:r>
        <w:rPr>
          <w:color w:val="000000"/>
        </w:rPr>
        <w:t>design</w:t>
      </w:r>
      <w:proofErr w:type="spellEnd"/>
      <w:r>
        <w:rPr>
          <w:color w:val="000000"/>
        </w:rPr>
        <w:t xml:space="preserve">: </w:t>
      </w:r>
      <w:proofErr w:type="spellStart"/>
      <w:r>
        <w:rPr>
          <w:color w:val="000000"/>
        </w:rPr>
        <w:t>Qualitative</w:t>
      </w:r>
      <w:proofErr w:type="spellEnd"/>
      <w:r>
        <w:rPr>
          <w:color w:val="000000"/>
        </w:rPr>
        <w:t xml:space="preserve">, </w:t>
      </w:r>
      <w:proofErr w:type="spellStart"/>
      <w:r>
        <w:rPr>
          <w:color w:val="000000"/>
        </w:rPr>
        <w:t>quantitative</w:t>
      </w:r>
      <w:proofErr w:type="spellEnd"/>
      <w:r>
        <w:rPr>
          <w:color w:val="000000"/>
        </w:rPr>
        <w:t xml:space="preserve">, and </w:t>
      </w:r>
      <w:proofErr w:type="spellStart"/>
      <w:r>
        <w:rPr>
          <w:color w:val="000000"/>
        </w:rPr>
        <w:t>mixed</w:t>
      </w:r>
      <w:proofErr w:type="spellEnd"/>
      <w:r>
        <w:rPr>
          <w:color w:val="000000"/>
        </w:rPr>
        <w:t xml:space="preserve"> </w:t>
      </w:r>
      <w:proofErr w:type="spellStart"/>
      <w:r>
        <w:rPr>
          <w:color w:val="000000"/>
        </w:rPr>
        <w:t>methods</w:t>
      </w:r>
      <w:proofErr w:type="spellEnd"/>
      <w:r>
        <w:rPr>
          <w:color w:val="000000"/>
        </w:rPr>
        <w:t xml:space="preserve"> </w:t>
      </w:r>
      <w:proofErr w:type="spellStart"/>
      <w:r>
        <w:rPr>
          <w:color w:val="000000"/>
        </w:rPr>
        <w:t>approaches</w:t>
      </w:r>
      <w:proofErr w:type="spellEnd"/>
      <w:r>
        <w:rPr>
          <w:color w:val="000000"/>
        </w:rPr>
        <w:t xml:space="preserve"> (4th ed.). SAGE </w:t>
      </w:r>
      <w:proofErr w:type="spellStart"/>
      <w:r>
        <w:rPr>
          <w:color w:val="000000"/>
        </w:rPr>
        <w:t>Publications</w:t>
      </w:r>
      <w:proofErr w:type="spellEnd"/>
      <w:r>
        <w:rPr>
          <w:color w:val="000000"/>
        </w:rPr>
        <w:t>.</w:t>
      </w:r>
    </w:p>
    <w:p w14:paraId="344AB513" w14:textId="77777777" w:rsidR="00F61FAD" w:rsidRDefault="00F61FAD" w:rsidP="00F61FAD">
      <w:pPr>
        <w:pStyle w:val="Bibliografa"/>
      </w:pPr>
      <w:r>
        <w:rPr>
          <w:color w:val="000000"/>
        </w:rPr>
        <w:t xml:space="preserve">Fairclough, N. (2003). </w:t>
      </w:r>
      <w:proofErr w:type="spellStart"/>
      <w:r>
        <w:rPr>
          <w:color w:val="000000"/>
        </w:rPr>
        <w:t>Analysing</w:t>
      </w:r>
      <w:proofErr w:type="spellEnd"/>
      <w:r>
        <w:rPr>
          <w:color w:val="000000"/>
        </w:rPr>
        <w:t xml:space="preserve"> </w:t>
      </w:r>
      <w:proofErr w:type="spellStart"/>
      <w:r>
        <w:rPr>
          <w:color w:val="000000"/>
        </w:rPr>
        <w:t>discourse</w:t>
      </w:r>
      <w:proofErr w:type="spellEnd"/>
      <w:r>
        <w:rPr>
          <w:color w:val="000000"/>
        </w:rPr>
        <w:t xml:space="preserve">: Textual </w:t>
      </w:r>
      <w:proofErr w:type="spellStart"/>
      <w:r>
        <w:rPr>
          <w:color w:val="000000"/>
        </w:rPr>
        <w:t>analysis</w:t>
      </w:r>
      <w:proofErr w:type="spellEnd"/>
      <w:r>
        <w:rPr>
          <w:color w:val="000000"/>
        </w:rPr>
        <w:t xml:space="preserve"> </w:t>
      </w:r>
      <w:proofErr w:type="spellStart"/>
      <w:r>
        <w:rPr>
          <w:color w:val="000000"/>
        </w:rPr>
        <w:t>for</w:t>
      </w:r>
      <w:proofErr w:type="spellEnd"/>
      <w:r>
        <w:rPr>
          <w:color w:val="000000"/>
        </w:rPr>
        <w:t xml:space="preserve"> social </w:t>
      </w:r>
      <w:proofErr w:type="spellStart"/>
      <w:r>
        <w:rPr>
          <w:color w:val="000000"/>
        </w:rPr>
        <w:t>research</w:t>
      </w:r>
      <w:proofErr w:type="spellEnd"/>
      <w:r>
        <w:rPr>
          <w:color w:val="000000"/>
        </w:rPr>
        <w:t>. Routledge.</w:t>
      </w:r>
    </w:p>
    <w:p w14:paraId="31116F9F" w14:textId="77777777" w:rsidR="00F61FAD" w:rsidRDefault="00F61FAD" w:rsidP="00F61FAD">
      <w:pPr>
        <w:pStyle w:val="Bibliografa"/>
      </w:pPr>
      <w:r>
        <w:rPr>
          <w:color w:val="000000"/>
        </w:rPr>
        <w:t xml:space="preserve">Fernández-Cavia, J., y Míguez-González, M. (2015). The role </w:t>
      </w:r>
      <w:proofErr w:type="spellStart"/>
      <w:r>
        <w:rPr>
          <w:color w:val="000000"/>
        </w:rPr>
        <w:t>of</w:t>
      </w:r>
      <w:proofErr w:type="spellEnd"/>
      <w:r>
        <w:rPr>
          <w:color w:val="000000"/>
        </w:rPr>
        <w:t xml:space="preserve"> </w:t>
      </w:r>
      <w:proofErr w:type="spellStart"/>
      <w:r>
        <w:rPr>
          <w:color w:val="000000"/>
        </w:rPr>
        <w:t>user-generated</w:t>
      </w:r>
      <w:proofErr w:type="spellEnd"/>
      <w:r>
        <w:rPr>
          <w:color w:val="000000"/>
        </w:rPr>
        <w:t xml:space="preserve"> </w:t>
      </w:r>
      <w:proofErr w:type="spellStart"/>
      <w:r>
        <w:rPr>
          <w:color w:val="000000"/>
        </w:rPr>
        <w:t>content</w:t>
      </w:r>
      <w:proofErr w:type="spellEnd"/>
      <w:r>
        <w:rPr>
          <w:color w:val="000000"/>
        </w:rPr>
        <w:t xml:space="preserve"> in </w:t>
      </w:r>
      <w:proofErr w:type="spellStart"/>
      <w:r>
        <w:rPr>
          <w:color w:val="000000"/>
        </w:rPr>
        <w:t>destination</w:t>
      </w:r>
      <w:proofErr w:type="spellEnd"/>
      <w:r>
        <w:rPr>
          <w:color w:val="000000"/>
        </w:rPr>
        <w:t xml:space="preserve"> branding.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Destination</w:t>
      </w:r>
      <w:proofErr w:type="spellEnd"/>
      <w:r>
        <w:rPr>
          <w:color w:val="000000"/>
        </w:rPr>
        <w:t xml:space="preserve"> Marketing &amp; Management, 4(3), 204-212. https://doi.org/10.1016/j.jdmm.2015.07.002</w:t>
      </w:r>
    </w:p>
    <w:p w14:paraId="04F3F8D0" w14:textId="77777777" w:rsidR="00F61FAD" w:rsidRDefault="00F61FAD" w:rsidP="00F61FAD">
      <w:pPr>
        <w:pStyle w:val="Bibliografa"/>
      </w:pPr>
      <w:r>
        <w:rPr>
          <w:color w:val="000000"/>
        </w:rPr>
        <w:t xml:space="preserve">Freeman, R. E. (1984). </w:t>
      </w:r>
      <w:proofErr w:type="spellStart"/>
      <w:r>
        <w:rPr>
          <w:color w:val="000000"/>
        </w:rPr>
        <w:t>Strategic</w:t>
      </w:r>
      <w:proofErr w:type="spellEnd"/>
      <w:r>
        <w:rPr>
          <w:color w:val="000000"/>
        </w:rPr>
        <w:t xml:space="preserve"> </w:t>
      </w:r>
      <w:proofErr w:type="spellStart"/>
      <w:r>
        <w:rPr>
          <w:color w:val="000000"/>
        </w:rPr>
        <w:t>management</w:t>
      </w:r>
      <w:proofErr w:type="spellEnd"/>
      <w:r>
        <w:rPr>
          <w:color w:val="000000"/>
        </w:rPr>
        <w:t xml:space="preserve">: A </w:t>
      </w:r>
      <w:proofErr w:type="spellStart"/>
      <w:r>
        <w:rPr>
          <w:color w:val="000000"/>
        </w:rPr>
        <w:t>stakeholder</w:t>
      </w:r>
      <w:proofErr w:type="spellEnd"/>
      <w:r>
        <w:rPr>
          <w:color w:val="000000"/>
        </w:rPr>
        <w:t xml:space="preserve"> </w:t>
      </w:r>
      <w:proofErr w:type="spellStart"/>
      <w:r>
        <w:rPr>
          <w:color w:val="000000"/>
        </w:rPr>
        <w:t>approach</w:t>
      </w:r>
      <w:proofErr w:type="spellEnd"/>
      <w:r>
        <w:rPr>
          <w:color w:val="000000"/>
        </w:rPr>
        <w:t>. Pitman.</w:t>
      </w:r>
    </w:p>
    <w:p w14:paraId="1E9CF312" w14:textId="77777777" w:rsidR="00F61FAD" w:rsidRDefault="00F61FAD" w:rsidP="00F61FAD">
      <w:pPr>
        <w:pStyle w:val="Bibliografa"/>
      </w:pPr>
      <w:r>
        <w:rPr>
          <w:color w:val="000000"/>
        </w:rPr>
        <w:t>García-García, M., López, P., y Castillo, R. (2023). Propuesta teórico-metodológica para la gestión de comunicación interinstitucional en clústeres turísticos. Revista Latinoamericana de Comunicación, 18(1), 112-135.</w:t>
      </w:r>
    </w:p>
    <w:p w14:paraId="0625B32A" w14:textId="77777777" w:rsidR="00F61FAD" w:rsidRDefault="00F61FAD" w:rsidP="00F61FAD">
      <w:pPr>
        <w:pStyle w:val="Bibliografa"/>
      </w:pPr>
      <w:r>
        <w:rPr>
          <w:color w:val="000000"/>
        </w:rPr>
        <w:t xml:space="preserve">Hankinson, G. (2010). Place branding </w:t>
      </w:r>
      <w:proofErr w:type="spellStart"/>
      <w:r>
        <w:rPr>
          <w:color w:val="000000"/>
        </w:rPr>
        <w:t>theory</w:t>
      </w:r>
      <w:proofErr w:type="spellEnd"/>
      <w:r>
        <w:rPr>
          <w:color w:val="000000"/>
        </w:rPr>
        <w:t xml:space="preserve">: A </w:t>
      </w:r>
      <w:proofErr w:type="spellStart"/>
      <w:r>
        <w:rPr>
          <w:color w:val="000000"/>
        </w:rPr>
        <w:t>cross-domain</w:t>
      </w:r>
      <w:proofErr w:type="spellEnd"/>
      <w:r>
        <w:rPr>
          <w:color w:val="000000"/>
        </w:rPr>
        <w:t xml:space="preserve"> </w:t>
      </w:r>
      <w:proofErr w:type="spellStart"/>
      <w:r>
        <w:rPr>
          <w:color w:val="000000"/>
        </w:rPr>
        <w:t>literature</w:t>
      </w:r>
      <w:proofErr w:type="spellEnd"/>
      <w:r>
        <w:rPr>
          <w:color w:val="000000"/>
        </w:rPr>
        <w:t xml:space="preserve"> </w:t>
      </w:r>
      <w:proofErr w:type="spellStart"/>
      <w:r>
        <w:rPr>
          <w:color w:val="000000"/>
        </w:rPr>
        <w:t>review</w:t>
      </w:r>
      <w:proofErr w:type="spellEnd"/>
      <w:r>
        <w:rPr>
          <w:color w:val="000000"/>
        </w:rPr>
        <w:t xml:space="preserve"> </w:t>
      </w:r>
      <w:proofErr w:type="spellStart"/>
      <w:r>
        <w:rPr>
          <w:color w:val="000000"/>
        </w:rPr>
        <w:t>from</w:t>
      </w:r>
      <w:proofErr w:type="spellEnd"/>
      <w:r>
        <w:rPr>
          <w:color w:val="000000"/>
        </w:rPr>
        <w:t xml:space="preserve"> place marketing, regional </w:t>
      </w:r>
      <w:proofErr w:type="spellStart"/>
      <w:r>
        <w:rPr>
          <w:color w:val="000000"/>
        </w:rPr>
        <w:t>development</w:t>
      </w:r>
      <w:proofErr w:type="spellEnd"/>
      <w:r>
        <w:rPr>
          <w:color w:val="000000"/>
        </w:rPr>
        <w:t xml:space="preserve"> and </w:t>
      </w:r>
      <w:proofErr w:type="spellStart"/>
      <w:r>
        <w:rPr>
          <w:color w:val="000000"/>
        </w:rPr>
        <w:t>urban</w:t>
      </w:r>
      <w:proofErr w:type="spellEnd"/>
      <w:r>
        <w:rPr>
          <w:color w:val="000000"/>
        </w:rPr>
        <w:t xml:space="preserve"> </w:t>
      </w:r>
      <w:proofErr w:type="spellStart"/>
      <w:r>
        <w:rPr>
          <w:color w:val="000000"/>
        </w:rPr>
        <w:t>planning</w:t>
      </w:r>
      <w:proofErr w:type="spellEnd"/>
      <w:r>
        <w:rPr>
          <w:color w:val="000000"/>
        </w:rPr>
        <w:t xml:space="preserve">. Place Branding and Public </w:t>
      </w:r>
      <w:proofErr w:type="spellStart"/>
      <w:r>
        <w:rPr>
          <w:color w:val="000000"/>
        </w:rPr>
        <w:t>Diplomacy</w:t>
      </w:r>
      <w:proofErr w:type="spellEnd"/>
      <w:r>
        <w:rPr>
          <w:color w:val="000000"/>
        </w:rPr>
        <w:t>, 6(4), 225-239. https://doi.org/10.1057/pb.2010.20</w:t>
      </w:r>
    </w:p>
    <w:p w14:paraId="6F56F985" w14:textId="77777777" w:rsidR="00F61FAD" w:rsidRDefault="00F61FAD" w:rsidP="00F61FAD">
      <w:pPr>
        <w:pStyle w:val="Bibliografa"/>
      </w:pPr>
      <w:r>
        <w:rPr>
          <w:color w:val="000000"/>
        </w:rPr>
        <w:t xml:space="preserve">Kaplan, A. M., y Haenlein, M. (2010). </w:t>
      </w:r>
      <w:proofErr w:type="spellStart"/>
      <w:r>
        <w:rPr>
          <w:color w:val="000000"/>
        </w:rPr>
        <w:t>Users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world</w:t>
      </w:r>
      <w:proofErr w:type="spellEnd"/>
      <w:r>
        <w:rPr>
          <w:color w:val="000000"/>
        </w:rPr>
        <w:t xml:space="preserve">, </w:t>
      </w:r>
      <w:proofErr w:type="spellStart"/>
      <w:r>
        <w:rPr>
          <w:color w:val="000000"/>
        </w:rPr>
        <w:t>unite</w:t>
      </w:r>
      <w:proofErr w:type="spellEnd"/>
      <w:r>
        <w:rPr>
          <w:color w:val="000000"/>
        </w:rPr>
        <w:t xml:space="preserve">! The </w:t>
      </w:r>
      <w:proofErr w:type="spellStart"/>
      <w:r>
        <w:rPr>
          <w:color w:val="000000"/>
        </w:rPr>
        <w:t>challenges</w:t>
      </w:r>
      <w:proofErr w:type="spellEnd"/>
      <w:r>
        <w:rPr>
          <w:color w:val="000000"/>
        </w:rPr>
        <w:t xml:space="preserve"> and </w:t>
      </w:r>
      <w:proofErr w:type="spellStart"/>
      <w:r>
        <w:rPr>
          <w:color w:val="000000"/>
        </w:rPr>
        <w:t>opportunities</w:t>
      </w:r>
      <w:proofErr w:type="spellEnd"/>
      <w:r>
        <w:rPr>
          <w:color w:val="000000"/>
        </w:rPr>
        <w:t xml:space="preserve"> </w:t>
      </w:r>
      <w:proofErr w:type="spellStart"/>
      <w:r>
        <w:rPr>
          <w:color w:val="000000"/>
        </w:rPr>
        <w:t>of</w:t>
      </w:r>
      <w:proofErr w:type="spellEnd"/>
      <w:r>
        <w:rPr>
          <w:color w:val="000000"/>
        </w:rPr>
        <w:t xml:space="preserve"> social media. Business </w:t>
      </w:r>
      <w:proofErr w:type="spellStart"/>
      <w:r>
        <w:rPr>
          <w:color w:val="000000"/>
        </w:rPr>
        <w:t>Horizons</w:t>
      </w:r>
      <w:proofErr w:type="spellEnd"/>
      <w:r>
        <w:rPr>
          <w:color w:val="000000"/>
        </w:rPr>
        <w:t>, 53(1), 59-68. https://doi.org/10.1016/j.bushor.2009.09.003</w:t>
      </w:r>
    </w:p>
    <w:p w14:paraId="76AF440C" w14:textId="77777777" w:rsidR="00F61FAD" w:rsidRDefault="00F61FAD" w:rsidP="00F61FAD">
      <w:pPr>
        <w:pStyle w:val="Bibliografa"/>
      </w:pPr>
      <w:proofErr w:type="spellStart"/>
      <w:r>
        <w:rPr>
          <w:color w:val="000000"/>
        </w:rPr>
        <w:t>Kavaratzis</w:t>
      </w:r>
      <w:proofErr w:type="spellEnd"/>
      <w:r>
        <w:rPr>
          <w:color w:val="000000"/>
        </w:rPr>
        <w:t xml:space="preserve">, M., y Hatch, M. J. (2013). The </w:t>
      </w:r>
      <w:proofErr w:type="spellStart"/>
      <w:r>
        <w:rPr>
          <w:color w:val="000000"/>
        </w:rPr>
        <w:t>dynamics</w:t>
      </w:r>
      <w:proofErr w:type="spellEnd"/>
      <w:r>
        <w:rPr>
          <w:color w:val="000000"/>
        </w:rPr>
        <w:t xml:space="preserve"> </w:t>
      </w:r>
      <w:proofErr w:type="spellStart"/>
      <w:r>
        <w:rPr>
          <w:color w:val="000000"/>
        </w:rPr>
        <w:t>of</w:t>
      </w:r>
      <w:proofErr w:type="spellEnd"/>
      <w:r>
        <w:rPr>
          <w:color w:val="000000"/>
        </w:rPr>
        <w:t xml:space="preserve"> place </w:t>
      </w:r>
      <w:proofErr w:type="spellStart"/>
      <w:r>
        <w:rPr>
          <w:color w:val="000000"/>
        </w:rPr>
        <w:t>brands</w:t>
      </w:r>
      <w:proofErr w:type="spellEnd"/>
      <w:r>
        <w:rPr>
          <w:color w:val="000000"/>
        </w:rPr>
        <w:t xml:space="preserve">: </w:t>
      </w:r>
      <w:proofErr w:type="spellStart"/>
      <w:r>
        <w:rPr>
          <w:color w:val="000000"/>
        </w:rPr>
        <w:t>An</w:t>
      </w:r>
      <w:proofErr w:type="spellEnd"/>
      <w:r>
        <w:rPr>
          <w:color w:val="000000"/>
        </w:rPr>
        <w:t xml:space="preserve"> </w:t>
      </w:r>
      <w:proofErr w:type="spellStart"/>
      <w:r>
        <w:rPr>
          <w:color w:val="000000"/>
        </w:rPr>
        <w:t>identity-based</w:t>
      </w:r>
      <w:proofErr w:type="spellEnd"/>
      <w:r>
        <w:rPr>
          <w:color w:val="000000"/>
        </w:rPr>
        <w:t xml:space="preserve"> </w:t>
      </w:r>
      <w:proofErr w:type="spellStart"/>
      <w:r>
        <w:rPr>
          <w:color w:val="000000"/>
        </w:rPr>
        <w:t>approach</w:t>
      </w:r>
      <w:proofErr w:type="spellEnd"/>
      <w:r>
        <w:rPr>
          <w:color w:val="000000"/>
        </w:rPr>
        <w:t xml:space="preserve"> </w:t>
      </w:r>
      <w:proofErr w:type="spellStart"/>
      <w:r>
        <w:rPr>
          <w:color w:val="000000"/>
        </w:rPr>
        <w:t>to</w:t>
      </w:r>
      <w:proofErr w:type="spellEnd"/>
      <w:r>
        <w:rPr>
          <w:color w:val="000000"/>
        </w:rPr>
        <w:t xml:space="preserve"> place branding </w:t>
      </w:r>
      <w:proofErr w:type="spellStart"/>
      <w:r>
        <w:rPr>
          <w:color w:val="000000"/>
        </w:rPr>
        <w:t>theory</w:t>
      </w:r>
      <w:proofErr w:type="spellEnd"/>
      <w:r>
        <w:rPr>
          <w:color w:val="000000"/>
        </w:rPr>
        <w:t>. Marketing Theory, 13(1), 69-86. https://doi.org/10.1177/1470593112467268</w:t>
      </w:r>
    </w:p>
    <w:p w14:paraId="3CD26D61" w14:textId="77777777" w:rsidR="00F61FAD" w:rsidRDefault="00F61FAD" w:rsidP="00F61FAD">
      <w:pPr>
        <w:pStyle w:val="Bibliografa"/>
      </w:pPr>
      <w:proofErr w:type="spellStart"/>
      <w:r>
        <w:rPr>
          <w:color w:val="000000"/>
        </w:rPr>
        <w:t>Kuščer</w:t>
      </w:r>
      <w:proofErr w:type="spellEnd"/>
      <w:r>
        <w:rPr>
          <w:color w:val="000000"/>
        </w:rPr>
        <w:t xml:space="preserve">, K. (2022). Crisis </w:t>
      </w:r>
      <w:proofErr w:type="spellStart"/>
      <w:r>
        <w:rPr>
          <w:color w:val="000000"/>
        </w:rPr>
        <w:t>communication</w:t>
      </w:r>
      <w:proofErr w:type="spellEnd"/>
      <w:r>
        <w:rPr>
          <w:color w:val="000000"/>
        </w:rPr>
        <w:t xml:space="preserve"> in </w:t>
      </w:r>
      <w:proofErr w:type="spellStart"/>
      <w:r>
        <w:rPr>
          <w:color w:val="000000"/>
        </w:rPr>
        <w:t>tourism</w:t>
      </w:r>
      <w:proofErr w:type="spellEnd"/>
      <w:r>
        <w:rPr>
          <w:color w:val="000000"/>
        </w:rPr>
        <w:t xml:space="preserve">: </w:t>
      </w:r>
      <w:proofErr w:type="spellStart"/>
      <w:r>
        <w:rPr>
          <w:color w:val="000000"/>
        </w:rPr>
        <w:t>Strategies</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resilience</w:t>
      </w:r>
      <w:proofErr w:type="spellEnd"/>
      <w:r>
        <w:rPr>
          <w:color w:val="000000"/>
        </w:rPr>
        <w:t xml:space="preserve"> and </w:t>
      </w:r>
      <w:proofErr w:type="spellStart"/>
      <w:r>
        <w:rPr>
          <w:color w:val="000000"/>
        </w:rPr>
        <w:t>recovery</w:t>
      </w:r>
      <w:proofErr w:type="spellEnd"/>
      <w:r>
        <w:rPr>
          <w:color w:val="000000"/>
        </w:rPr>
        <w:t xml:space="preserve">. </w:t>
      </w:r>
      <w:proofErr w:type="spellStart"/>
      <w:r>
        <w:rPr>
          <w:color w:val="000000"/>
        </w:rPr>
        <w:t>Tourism</w:t>
      </w:r>
      <w:proofErr w:type="spellEnd"/>
      <w:r>
        <w:rPr>
          <w:color w:val="000000"/>
        </w:rPr>
        <w:t xml:space="preserve"> Management </w:t>
      </w:r>
      <w:proofErr w:type="spellStart"/>
      <w:r>
        <w:rPr>
          <w:color w:val="000000"/>
        </w:rPr>
        <w:t>Perspectives</w:t>
      </w:r>
      <w:proofErr w:type="spellEnd"/>
      <w:r>
        <w:rPr>
          <w:color w:val="000000"/>
        </w:rPr>
        <w:t>, 43, 101012. https://doi.org/10.1016/j.tmp.2022.101012</w:t>
      </w:r>
    </w:p>
    <w:p w14:paraId="6FBB072A" w14:textId="77777777" w:rsidR="00F61FAD" w:rsidRDefault="00F61FAD" w:rsidP="00F61FAD">
      <w:pPr>
        <w:pStyle w:val="Bibliografa"/>
      </w:pPr>
      <w:r>
        <w:rPr>
          <w:color w:val="000000"/>
        </w:rPr>
        <w:lastRenderedPageBreak/>
        <w:t xml:space="preserve">Leonardi, P. M. (2011). </w:t>
      </w:r>
      <w:proofErr w:type="spellStart"/>
      <w:r>
        <w:rPr>
          <w:color w:val="000000"/>
        </w:rPr>
        <w:t>When</w:t>
      </w:r>
      <w:proofErr w:type="spellEnd"/>
      <w:r>
        <w:rPr>
          <w:color w:val="000000"/>
        </w:rPr>
        <w:t xml:space="preserve"> flexible </w:t>
      </w:r>
      <w:proofErr w:type="spellStart"/>
      <w:r>
        <w:rPr>
          <w:color w:val="000000"/>
        </w:rPr>
        <w:t>routines</w:t>
      </w:r>
      <w:proofErr w:type="spellEnd"/>
      <w:r>
        <w:rPr>
          <w:color w:val="000000"/>
        </w:rPr>
        <w:t xml:space="preserve"> </w:t>
      </w:r>
      <w:proofErr w:type="spellStart"/>
      <w:r>
        <w:rPr>
          <w:color w:val="000000"/>
        </w:rPr>
        <w:t>meet</w:t>
      </w:r>
      <w:proofErr w:type="spellEnd"/>
      <w:r>
        <w:rPr>
          <w:color w:val="000000"/>
        </w:rPr>
        <w:t xml:space="preserve"> flexible </w:t>
      </w:r>
      <w:proofErr w:type="spellStart"/>
      <w:r>
        <w:rPr>
          <w:color w:val="000000"/>
        </w:rPr>
        <w:t>technologies</w:t>
      </w:r>
      <w:proofErr w:type="spellEnd"/>
      <w:r>
        <w:rPr>
          <w:color w:val="000000"/>
        </w:rPr>
        <w:t xml:space="preserve">: </w:t>
      </w:r>
      <w:proofErr w:type="spellStart"/>
      <w:r>
        <w:rPr>
          <w:color w:val="000000"/>
        </w:rPr>
        <w:t>Affordance</w:t>
      </w:r>
      <w:proofErr w:type="spellEnd"/>
      <w:r>
        <w:rPr>
          <w:color w:val="000000"/>
        </w:rPr>
        <w:t xml:space="preserve">, </w:t>
      </w:r>
      <w:proofErr w:type="spellStart"/>
      <w:r>
        <w:rPr>
          <w:color w:val="000000"/>
        </w:rPr>
        <w:t>constraint</w:t>
      </w:r>
      <w:proofErr w:type="spellEnd"/>
      <w:r>
        <w:rPr>
          <w:color w:val="000000"/>
        </w:rPr>
        <w:t xml:space="preserve">, and </w:t>
      </w:r>
      <w:proofErr w:type="spellStart"/>
      <w:r>
        <w:rPr>
          <w:color w:val="000000"/>
        </w:rPr>
        <w:t>the</w:t>
      </w:r>
      <w:proofErr w:type="spellEnd"/>
      <w:r>
        <w:rPr>
          <w:color w:val="000000"/>
        </w:rPr>
        <w:t xml:space="preserve"> </w:t>
      </w:r>
      <w:proofErr w:type="spellStart"/>
      <w:r>
        <w:rPr>
          <w:color w:val="000000"/>
        </w:rPr>
        <w:t>imbrication</w:t>
      </w:r>
      <w:proofErr w:type="spellEnd"/>
      <w:r>
        <w:rPr>
          <w:color w:val="000000"/>
        </w:rPr>
        <w:t xml:space="preserve"> </w:t>
      </w:r>
      <w:proofErr w:type="spellStart"/>
      <w:r>
        <w:rPr>
          <w:color w:val="000000"/>
        </w:rPr>
        <w:t>of</w:t>
      </w:r>
      <w:proofErr w:type="spellEnd"/>
      <w:r>
        <w:rPr>
          <w:color w:val="000000"/>
        </w:rPr>
        <w:t xml:space="preserve"> human and material agencies. MIS </w:t>
      </w:r>
      <w:proofErr w:type="spellStart"/>
      <w:r>
        <w:rPr>
          <w:color w:val="000000"/>
        </w:rPr>
        <w:t>Quarterly</w:t>
      </w:r>
      <w:proofErr w:type="spellEnd"/>
      <w:r>
        <w:rPr>
          <w:color w:val="000000"/>
        </w:rPr>
        <w:t>, 35(1), 147-167. https://doi.org/10.2307/23043493</w:t>
      </w:r>
    </w:p>
    <w:p w14:paraId="750EC9CB" w14:textId="77777777" w:rsidR="00F61FAD" w:rsidRDefault="00F61FAD" w:rsidP="00F61FAD">
      <w:pPr>
        <w:pStyle w:val="Bibliografa"/>
      </w:pPr>
      <w:r>
        <w:rPr>
          <w:color w:val="000000"/>
        </w:rPr>
        <w:t xml:space="preserve">Men, L. R. (2014). </w:t>
      </w:r>
      <w:proofErr w:type="spellStart"/>
      <w:r>
        <w:rPr>
          <w:color w:val="000000"/>
        </w:rPr>
        <w:t>Strategic</w:t>
      </w:r>
      <w:proofErr w:type="spellEnd"/>
      <w:r>
        <w:rPr>
          <w:color w:val="000000"/>
        </w:rPr>
        <w:t xml:space="preserve"> </w:t>
      </w:r>
      <w:proofErr w:type="spellStart"/>
      <w:r>
        <w:rPr>
          <w:color w:val="000000"/>
        </w:rPr>
        <w:t>internal</w:t>
      </w:r>
      <w:proofErr w:type="spellEnd"/>
      <w:r>
        <w:rPr>
          <w:color w:val="000000"/>
        </w:rPr>
        <w:t xml:space="preserve"> </w:t>
      </w:r>
      <w:proofErr w:type="spellStart"/>
      <w:r>
        <w:rPr>
          <w:color w:val="000000"/>
        </w:rPr>
        <w:t>communication</w:t>
      </w:r>
      <w:proofErr w:type="spellEnd"/>
      <w:r>
        <w:rPr>
          <w:color w:val="000000"/>
        </w:rPr>
        <w:t xml:space="preserve">: </w:t>
      </w:r>
      <w:proofErr w:type="spellStart"/>
      <w:r>
        <w:rPr>
          <w:color w:val="000000"/>
        </w:rPr>
        <w:t>Transformational</w:t>
      </w:r>
      <w:proofErr w:type="spellEnd"/>
      <w:r>
        <w:rPr>
          <w:color w:val="000000"/>
        </w:rPr>
        <w:t xml:space="preserve"> </w:t>
      </w:r>
      <w:proofErr w:type="spellStart"/>
      <w:r>
        <w:rPr>
          <w:color w:val="000000"/>
        </w:rPr>
        <w:t>leadership</w:t>
      </w:r>
      <w:proofErr w:type="spellEnd"/>
      <w:r>
        <w:rPr>
          <w:color w:val="000000"/>
        </w:rPr>
        <w:t xml:space="preserve">, </w:t>
      </w:r>
      <w:proofErr w:type="spellStart"/>
      <w:r>
        <w:rPr>
          <w:color w:val="000000"/>
        </w:rPr>
        <w:t>communication</w:t>
      </w:r>
      <w:proofErr w:type="spellEnd"/>
      <w:r>
        <w:rPr>
          <w:color w:val="000000"/>
        </w:rPr>
        <w:t xml:space="preserve"> </w:t>
      </w:r>
      <w:proofErr w:type="spellStart"/>
      <w:r>
        <w:rPr>
          <w:color w:val="000000"/>
        </w:rPr>
        <w:t>channels</w:t>
      </w:r>
      <w:proofErr w:type="spellEnd"/>
      <w:r>
        <w:rPr>
          <w:color w:val="000000"/>
        </w:rPr>
        <w:t xml:space="preserve">, and </w:t>
      </w:r>
      <w:proofErr w:type="spellStart"/>
      <w:r>
        <w:rPr>
          <w:color w:val="000000"/>
        </w:rPr>
        <w:t>employee</w:t>
      </w:r>
      <w:proofErr w:type="spellEnd"/>
      <w:r>
        <w:rPr>
          <w:color w:val="000000"/>
        </w:rPr>
        <w:t xml:space="preserve"> </w:t>
      </w:r>
      <w:proofErr w:type="spellStart"/>
      <w:r>
        <w:rPr>
          <w:color w:val="000000"/>
        </w:rPr>
        <w:t>satisfaction</w:t>
      </w:r>
      <w:proofErr w:type="spellEnd"/>
      <w:r>
        <w:rPr>
          <w:color w:val="000000"/>
        </w:rPr>
        <w:t xml:space="preserve">. Management Communication </w:t>
      </w:r>
      <w:proofErr w:type="spellStart"/>
      <w:r>
        <w:rPr>
          <w:color w:val="000000"/>
        </w:rPr>
        <w:t>Quarterly</w:t>
      </w:r>
      <w:proofErr w:type="spellEnd"/>
      <w:r>
        <w:rPr>
          <w:color w:val="000000"/>
        </w:rPr>
        <w:t>, 28(2), 264-284. https://doi.org/10.1177/0893318914524536</w:t>
      </w:r>
    </w:p>
    <w:p w14:paraId="5360748B" w14:textId="77777777" w:rsidR="00F61FAD" w:rsidRDefault="00F61FAD" w:rsidP="00F61FAD">
      <w:pPr>
        <w:pStyle w:val="Bibliografa"/>
      </w:pPr>
      <w:r>
        <w:rPr>
          <w:color w:val="000000"/>
        </w:rPr>
        <w:t xml:space="preserve">Morgan, N., Pritchard, A., y Pride, R. (2011). </w:t>
      </w:r>
      <w:proofErr w:type="spellStart"/>
      <w:r>
        <w:rPr>
          <w:color w:val="000000"/>
        </w:rPr>
        <w:t>Destination</w:t>
      </w:r>
      <w:proofErr w:type="spellEnd"/>
      <w:r>
        <w:rPr>
          <w:color w:val="000000"/>
        </w:rPr>
        <w:t xml:space="preserve"> branding: </w:t>
      </w:r>
      <w:proofErr w:type="spellStart"/>
      <w:r>
        <w:rPr>
          <w:color w:val="000000"/>
        </w:rPr>
        <w:t>Creating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unique</w:t>
      </w:r>
      <w:proofErr w:type="spellEnd"/>
      <w:r>
        <w:rPr>
          <w:color w:val="000000"/>
        </w:rPr>
        <w:t xml:space="preserve"> </w:t>
      </w:r>
      <w:proofErr w:type="spellStart"/>
      <w:r>
        <w:rPr>
          <w:color w:val="000000"/>
        </w:rPr>
        <w:t>destination</w:t>
      </w:r>
      <w:proofErr w:type="spellEnd"/>
      <w:r>
        <w:rPr>
          <w:color w:val="000000"/>
        </w:rPr>
        <w:t xml:space="preserve"> </w:t>
      </w:r>
      <w:proofErr w:type="spellStart"/>
      <w:r>
        <w:rPr>
          <w:color w:val="000000"/>
        </w:rPr>
        <w:t>proposition</w:t>
      </w:r>
      <w:proofErr w:type="spellEnd"/>
      <w:r>
        <w:rPr>
          <w:color w:val="000000"/>
        </w:rPr>
        <w:t xml:space="preserve"> (2nd ed.). Routledge.</w:t>
      </w:r>
    </w:p>
    <w:p w14:paraId="3663E5D1" w14:textId="77777777" w:rsidR="00F61FAD" w:rsidRDefault="00F61FAD" w:rsidP="00F61FAD">
      <w:pPr>
        <w:pStyle w:val="Bibliografa"/>
      </w:pPr>
      <w:proofErr w:type="spellStart"/>
      <w:r>
        <w:rPr>
          <w:color w:val="000000"/>
        </w:rPr>
        <w:t>Moscardo</w:t>
      </w:r>
      <w:proofErr w:type="spellEnd"/>
      <w:r>
        <w:rPr>
          <w:color w:val="000000"/>
        </w:rPr>
        <w:t xml:space="preserve">, G. (2011). </w:t>
      </w:r>
      <w:proofErr w:type="spellStart"/>
      <w:r>
        <w:rPr>
          <w:color w:val="000000"/>
        </w:rPr>
        <w:t>Exploring</w:t>
      </w:r>
      <w:proofErr w:type="spellEnd"/>
      <w:r>
        <w:rPr>
          <w:color w:val="000000"/>
        </w:rPr>
        <w:t xml:space="preserve"> social </w:t>
      </w:r>
      <w:proofErr w:type="spellStart"/>
      <w:r>
        <w:rPr>
          <w:color w:val="000000"/>
        </w:rPr>
        <w:t>representations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tourism</w:t>
      </w:r>
      <w:proofErr w:type="spellEnd"/>
      <w:r>
        <w:rPr>
          <w:color w:val="000000"/>
        </w:rPr>
        <w:t xml:space="preserve"> </w:t>
      </w:r>
      <w:proofErr w:type="spellStart"/>
      <w:r>
        <w:rPr>
          <w:color w:val="000000"/>
        </w:rPr>
        <w:t>planning</w:t>
      </w:r>
      <w:proofErr w:type="spellEnd"/>
      <w:r>
        <w:rPr>
          <w:color w:val="000000"/>
        </w:rPr>
        <w:t xml:space="preserve">. </w:t>
      </w:r>
      <w:proofErr w:type="spellStart"/>
      <w:r>
        <w:rPr>
          <w:color w:val="000000"/>
        </w:rPr>
        <w:t>Annals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Tourism</w:t>
      </w:r>
      <w:proofErr w:type="spellEnd"/>
      <w:r>
        <w:rPr>
          <w:color w:val="000000"/>
        </w:rPr>
        <w:t xml:space="preserve"> </w:t>
      </w:r>
      <w:proofErr w:type="spellStart"/>
      <w:r>
        <w:rPr>
          <w:color w:val="000000"/>
        </w:rPr>
        <w:t>Research</w:t>
      </w:r>
      <w:proofErr w:type="spellEnd"/>
      <w:r>
        <w:rPr>
          <w:color w:val="000000"/>
        </w:rPr>
        <w:t>, 38(3), 826-846. https://doi.org/10.1016/j.annals.2011.01.012</w:t>
      </w:r>
    </w:p>
    <w:p w14:paraId="31745D4A" w14:textId="77777777" w:rsidR="00F61FAD" w:rsidRDefault="00F61FAD" w:rsidP="00F61FAD">
      <w:pPr>
        <w:pStyle w:val="Bibliografa"/>
      </w:pPr>
      <w:r>
        <w:rPr>
          <w:color w:val="000000"/>
        </w:rPr>
        <w:t xml:space="preserve">Patton, M. Q. (2015). </w:t>
      </w:r>
      <w:proofErr w:type="spellStart"/>
      <w:r>
        <w:rPr>
          <w:color w:val="000000"/>
        </w:rPr>
        <w:t>Qualitative</w:t>
      </w:r>
      <w:proofErr w:type="spellEnd"/>
      <w:r>
        <w:rPr>
          <w:color w:val="000000"/>
        </w:rPr>
        <w:t xml:space="preserve"> </w:t>
      </w:r>
      <w:proofErr w:type="spellStart"/>
      <w:r>
        <w:rPr>
          <w:color w:val="000000"/>
        </w:rPr>
        <w:t>research</w:t>
      </w:r>
      <w:proofErr w:type="spellEnd"/>
      <w:r>
        <w:rPr>
          <w:color w:val="000000"/>
        </w:rPr>
        <w:t xml:space="preserve"> &amp; </w:t>
      </w:r>
      <w:proofErr w:type="spellStart"/>
      <w:r>
        <w:rPr>
          <w:color w:val="000000"/>
        </w:rPr>
        <w:t>evaluation</w:t>
      </w:r>
      <w:proofErr w:type="spellEnd"/>
      <w:r>
        <w:rPr>
          <w:color w:val="000000"/>
        </w:rPr>
        <w:t xml:space="preserve"> </w:t>
      </w:r>
      <w:proofErr w:type="spellStart"/>
      <w:r>
        <w:rPr>
          <w:color w:val="000000"/>
        </w:rPr>
        <w:t>methods</w:t>
      </w:r>
      <w:proofErr w:type="spellEnd"/>
      <w:r>
        <w:rPr>
          <w:color w:val="000000"/>
        </w:rPr>
        <w:t xml:space="preserve"> (4th ed.). SAGE </w:t>
      </w:r>
      <w:proofErr w:type="spellStart"/>
      <w:r>
        <w:rPr>
          <w:color w:val="000000"/>
        </w:rPr>
        <w:t>Publications</w:t>
      </w:r>
      <w:proofErr w:type="spellEnd"/>
      <w:r>
        <w:rPr>
          <w:color w:val="000000"/>
        </w:rPr>
        <w:t>.</w:t>
      </w:r>
    </w:p>
    <w:p w14:paraId="582BBBF8" w14:textId="77777777" w:rsidR="00F61FAD" w:rsidRDefault="00F61FAD" w:rsidP="00F61FAD">
      <w:pPr>
        <w:pStyle w:val="Bibliografa"/>
      </w:pPr>
      <w:r>
        <w:rPr>
          <w:color w:val="000000"/>
        </w:rPr>
        <w:t>Pérez, R. A. (2014). La estrategia como campo de estudio. ¿Tenemos ya un nuevo paradigma? Revista Mediterránea de Comunicación, 5(2), 9-31. https://doi.org/10.14198/MEDCOM2014.5.2.03</w:t>
      </w:r>
    </w:p>
    <w:p w14:paraId="20D6FC00" w14:textId="77777777" w:rsidR="00F61FAD" w:rsidRDefault="00F61FAD" w:rsidP="00F61FAD">
      <w:pPr>
        <w:pStyle w:val="Bibliografa"/>
      </w:pPr>
      <w:r>
        <w:rPr>
          <w:color w:val="000000"/>
        </w:rPr>
        <w:t xml:space="preserve">Provan, K. G., y Kenis, P. (2008). Modes </w:t>
      </w:r>
      <w:proofErr w:type="spellStart"/>
      <w:r>
        <w:rPr>
          <w:color w:val="000000"/>
        </w:rPr>
        <w:t>of</w:t>
      </w:r>
      <w:proofErr w:type="spellEnd"/>
      <w:r>
        <w:rPr>
          <w:color w:val="000000"/>
        </w:rPr>
        <w:t xml:space="preserve"> </w:t>
      </w:r>
      <w:proofErr w:type="spellStart"/>
      <w:r>
        <w:rPr>
          <w:color w:val="000000"/>
        </w:rPr>
        <w:t>network</w:t>
      </w:r>
      <w:proofErr w:type="spellEnd"/>
      <w:r>
        <w:rPr>
          <w:color w:val="000000"/>
        </w:rPr>
        <w:t xml:space="preserve"> </w:t>
      </w:r>
      <w:proofErr w:type="spellStart"/>
      <w:r>
        <w:rPr>
          <w:color w:val="000000"/>
        </w:rPr>
        <w:t>governance</w:t>
      </w:r>
      <w:proofErr w:type="spellEnd"/>
      <w:r>
        <w:rPr>
          <w:color w:val="000000"/>
        </w:rPr>
        <w:t xml:space="preserve">: </w:t>
      </w:r>
      <w:proofErr w:type="spellStart"/>
      <w:r>
        <w:rPr>
          <w:color w:val="000000"/>
        </w:rPr>
        <w:t>Structure</w:t>
      </w:r>
      <w:proofErr w:type="spellEnd"/>
      <w:r>
        <w:rPr>
          <w:color w:val="000000"/>
        </w:rPr>
        <w:t xml:space="preserve">, </w:t>
      </w:r>
      <w:proofErr w:type="spellStart"/>
      <w:r>
        <w:rPr>
          <w:color w:val="000000"/>
        </w:rPr>
        <w:t>management</w:t>
      </w:r>
      <w:proofErr w:type="spellEnd"/>
      <w:r>
        <w:rPr>
          <w:color w:val="000000"/>
        </w:rPr>
        <w:t xml:space="preserve">, and </w:t>
      </w:r>
      <w:proofErr w:type="spellStart"/>
      <w:r>
        <w:rPr>
          <w:color w:val="000000"/>
        </w:rPr>
        <w:t>effectiveness</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Public </w:t>
      </w:r>
      <w:proofErr w:type="spellStart"/>
      <w:r>
        <w:rPr>
          <w:color w:val="000000"/>
        </w:rPr>
        <w:t>Administration</w:t>
      </w:r>
      <w:proofErr w:type="spellEnd"/>
      <w:r>
        <w:rPr>
          <w:color w:val="000000"/>
        </w:rPr>
        <w:t xml:space="preserve"> </w:t>
      </w:r>
      <w:proofErr w:type="spellStart"/>
      <w:r>
        <w:rPr>
          <w:color w:val="000000"/>
        </w:rPr>
        <w:t>Research</w:t>
      </w:r>
      <w:proofErr w:type="spellEnd"/>
      <w:r>
        <w:rPr>
          <w:color w:val="000000"/>
        </w:rPr>
        <w:t xml:space="preserve"> and Theory, 18(2), 229-252. https://doi.org/10.1093/jopart/mum015</w:t>
      </w:r>
    </w:p>
    <w:p w14:paraId="728E5CD8" w14:textId="77777777" w:rsidR="00F61FAD" w:rsidRDefault="00F61FAD" w:rsidP="00F61FAD">
      <w:pPr>
        <w:pStyle w:val="Bibliografa"/>
      </w:pPr>
      <w:r>
        <w:rPr>
          <w:color w:val="000000"/>
        </w:rPr>
        <w:t xml:space="preserve">Putnam, L. L., y Nicotera, A. M. (Eds.). (2009). </w:t>
      </w:r>
      <w:proofErr w:type="spellStart"/>
      <w:r>
        <w:rPr>
          <w:color w:val="000000"/>
        </w:rPr>
        <w:t>Building</w:t>
      </w:r>
      <w:proofErr w:type="spellEnd"/>
      <w:r>
        <w:rPr>
          <w:color w:val="000000"/>
        </w:rPr>
        <w:t xml:space="preserve"> </w:t>
      </w:r>
      <w:proofErr w:type="spellStart"/>
      <w:r>
        <w:rPr>
          <w:color w:val="000000"/>
        </w:rPr>
        <w:t>theories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organization</w:t>
      </w:r>
      <w:proofErr w:type="spellEnd"/>
      <w:r>
        <w:rPr>
          <w:color w:val="000000"/>
        </w:rPr>
        <w:t xml:space="preserve">: The constitutive role </w:t>
      </w:r>
      <w:proofErr w:type="spellStart"/>
      <w:r>
        <w:rPr>
          <w:color w:val="000000"/>
        </w:rPr>
        <w:t>of</w:t>
      </w:r>
      <w:proofErr w:type="spellEnd"/>
      <w:r>
        <w:rPr>
          <w:color w:val="000000"/>
        </w:rPr>
        <w:t xml:space="preserve"> </w:t>
      </w:r>
      <w:proofErr w:type="spellStart"/>
      <w:r>
        <w:rPr>
          <w:color w:val="000000"/>
        </w:rPr>
        <w:t>communication</w:t>
      </w:r>
      <w:proofErr w:type="spellEnd"/>
      <w:r>
        <w:rPr>
          <w:color w:val="000000"/>
        </w:rPr>
        <w:t>. Routledge.</w:t>
      </w:r>
    </w:p>
    <w:p w14:paraId="5A8CCA4C" w14:textId="77777777" w:rsidR="00F61FAD" w:rsidRDefault="00F61FAD" w:rsidP="00F61FAD">
      <w:pPr>
        <w:pStyle w:val="Bibliografa"/>
      </w:pPr>
      <w:r>
        <w:rPr>
          <w:color w:val="000000"/>
        </w:rPr>
        <w:t xml:space="preserve">Schein, E. H. (2010). </w:t>
      </w:r>
      <w:proofErr w:type="spellStart"/>
      <w:r>
        <w:rPr>
          <w:color w:val="000000"/>
        </w:rPr>
        <w:t>Organizational</w:t>
      </w:r>
      <w:proofErr w:type="spellEnd"/>
      <w:r>
        <w:rPr>
          <w:color w:val="000000"/>
        </w:rPr>
        <w:t xml:space="preserve"> culture and </w:t>
      </w:r>
      <w:proofErr w:type="spellStart"/>
      <w:r>
        <w:rPr>
          <w:color w:val="000000"/>
        </w:rPr>
        <w:t>leadership</w:t>
      </w:r>
      <w:proofErr w:type="spellEnd"/>
      <w:r>
        <w:rPr>
          <w:color w:val="000000"/>
        </w:rPr>
        <w:t xml:space="preserve"> (4th ed.). Jossey-Bass.</w:t>
      </w:r>
    </w:p>
    <w:p w14:paraId="66399AF3" w14:textId="77777777" w:rsidR="00F61FAD" w:rsidRDefault="00F61FAD" w:rsidP="00F61FAD">
      <w:pPr>
        <w:pStyle w:val="Bibliografa"/>
      </w:pPr>
      <w:r>
        <w:rPr>
          <w:color w:val="000000"/>
        </w:rPr>
        <w:t xml:space="preserve">Sellnow, T. L., y Seeger, M. W. (2013). </w:t>
      </w:r>
      <w:proofErr w:type="spellStart"/>
      <w:r>
        <w:rPr>
          <w:color w:val="000000"/>
        </w:rPr>
        <w:t>Theorizing</w:t>
      </w:r>
      <w:proofErr w:type="spellEnd"/>
      <w:r>
        <w:rPr>
          <w:color w:val="000000"/>
        </w:rPr>
        <w:t xml:space="preserve"> crisis </w:t>
      </w:r>
      <w:proofErr w:type="spellStart"/>
      <w:r>
        <w:rPr>
          <w:color w:val="000000"/>
        </w:rPr>
        <w:t>communication</w:t>
      </w:r>
      <w:proofErr w:type="spellEnd"/>
      <w:r>
        <w:rPr>
          <w:color w:val="000000"/>
        </w:rPr>
        <w:t>. Wiley-Blackwell.</w:t>
      </w:r>
    </w:p>
    <w:p w14:paraId="4AFA5835" w14:textId="77777777" w:rsidR="00F61FAD" w:rsidRDefault="00F61FAD" w:rsidP="00F61FAD">
      <w:pPr>
        <w:pStyle w:val="Bibliografa"/>
      </w:pPr>
      <w:r>
        <w:rPr>
          <w:color w:val="000000"/>
        </w:rPr>
        <w:t xml:space="preserve">Shockley-Zalabak, P. (2011). Fundamentals </w:t>
      </w:r>
      <w:proofErr w:type="spellStart"/>
      <w:r>
        <w:rPr>
          <w:color w:val="000000"/>
        </w:rPr>
        <w:t>of</w:t>
      </w:r>
      <w:proofErr w:type="spellEnd"/>
      <w:r>
        <w:rPr>
          <w:color w:val="000000"/>
        </w:rPr>
        <w:t xml:space="preserve"> </w:t>
      </w:r>
      <w:proofErr w:type="spellStart"/>
      <w:r>
        <w:rPr>
          <w:color w:val="000000"/>
        </w:rPr>
        <w:t>organizational</w:t>
      </w:r>
      <w:proofErr w:type="spellEnd"/>
      <w:r>
        <w:rPr>
          <w:color w:val="000000"/>
        </w:rPr>
        <w:t xml:space="preserve"> </w:t>
      </w:r>
      <w:proofErr w:type="spellStart"/>
      <w:r>
        <w:rPr>
          <w:color w:val="000000"/>
        </w:rPr>
        <w:t>communication</w:t>
      </w:r>
      <w:proofErr w:type="spellEnd"/>
      <w:r>
        <w:rPr>
          <w:color w:val="000000"/>
        </w:rPr>
        <w:t xml:space="preserve">: Knowledge, </w:t>
      </w:r>
      <w:proofErr w:type="spellStart"/>
      <w:r>
        <w:rPr>
          <w:color w:val="000000"/>
        </w:rPr>
        <w:t>sensitivity</w:t>
      </w:r>
      <w:proofErr w:type="spellEnd"/>
      <w:r>
        <w:rPr>
          <w:color w:val="000000"/>
        </w:rPr>
        <w:t xml:space="preserve">, </w:t>
      </w:r>
      <w:proofErr w:type="spellStart"/>
      <w:r>
        <w:rPr>
          <w:color w:val="000000"/>
        </w:rPr>
        <w:t>skills</w:t>
      </w:r>
      <w:proofErr w:type="spellEnd"/>
      <w:r>
        <w:rPr>
          <w:color w:val="000000"/>
        </w:rPr>
        <w:t xml:space="preserve">, </w:t>
      </w:r>
      <w:proofErr w:type="spellStart"/>
      <w:r>
        <w:rPr>
          <w:color w:val="000000"/>
        </w:rPr>
        <w:t>values</w:t>
      </w:r>
      <w:proofErr w:type="spellEnd"/>
      <w:r>
        <w:rPr>
          <w:color w:val="000000"/>
        </w:rPr>
        <w:t xml:space="preserve"> (8th ed.). Pearson.</w:t>
      </w:r>
    </w:p>
    <w:p w14:paraId="0116D3BB" w14:textId="77777777" w:rsidR="00F61FAD" w:rsidRDefault="00F61FAD" w:rsidP="00F61FAD">
      <w:pPr>
        <w:pStyle w:val="Bibliografa"/>
      </w:pPr>
      <w:r>
        <w:rPr>
          <w:color w:val="000000"/>
        </w:rPr>
        <w:t xml:space="preserve">Taylor, J. R., y Van Every, E. J. (2000). The </w:t>
      </w:r>
      <w:proofErr w:type="spellStart"/>
      <w:r>
        <w:rPr>
          <w:color w:val="000000"/>
        </w:rPr>
        <w:t>emergent</w:t>
      </w:r>
      <w:proofErr w:type="spellEnd"/>
      <w:r>
        <w:rPr>
          <w:color w:val="000000"/>
        </w:rPr>
        <w:t xml:space="preserve"> </w:t>
      </w:r>
      <w:proofErr w:type="spellStart"/>
      <w:r>
        <w:rPr>
          <w:color w:val="000000"/>
        </w:rPr>
        <w:t>organization</w:t>
      </w:r>
      <w:proofErr w:type="spellEnd"/>
      <w:r>
        <w:rPr>
          <w:color w:val="000000"/>
        </w:rPr>
        <w:t xml:space="preserve">: Communication as </w:t>
      </w:r>
      <w:proofErr w:type="spellStart"/>
      <w:r>
        <w:rPr>
          <w:color w:val="000000"/>
        </w:rPr>
        <w:t>its</w:t>
      </w:r>
      <w:proofErr w:type="spellEnd"/>
      <w:r>
        <w:rPr>
          <w:color w:val="000000"/>
        </w:rPr>
        <w:t xml:space="preserve"> site and </w:t>
      </w:r>
      <w:proofErr w:type="spellStart"/>
      <w:r>
        <w:rPr>
          <w:color w:val="000000"/>
        </w:rPr>
        <w:t>surface</w:t>
      </w:r>
      <w:proofErr w:type="spellEnd"/>
      <w:r>
        <w:rPr>
          <w:color w:val="000000"/>
        </w:rPr>
        <w:t>. Lawrence Erlbaum.</w:t>
      </w:r>
    </w:p>
    <w:p w14:paraId="63C564AE" w14:textId="77777777" w:rsidR="00F61FAD" w:rsidRDefault="00F61FAD" w:rsidP="00F61FAD">
      <w:pPr>
        <w:pStyle w:val="Bibliografa"/>
      </w:pPr>
      <w:proofErr w:type="spellStart"/>
      <w:r>
        <w:rPr>
          <w:color w:val="000000"/>
        </w:rPr>
        <w:t>Treem</w:t>
      </w:r>
      <w:proofErr w:type="spellEnd"/>
      <w:r>
        <w:rPr>
          <w:color w:val="000000"/>
        </w:rPr>
        <w:t xml:space="preserve">, J. W., y Leonardi, P. M. (2013). Social media use in </w:t>
      </w:r>
      <w:proofErr w:type="spellStart"/>
      <w:r>
        <w:rPr>
          <w:color w:val="000000"/>
        </w:rPr>
        <w:t>organizations</w:t>
      </w:r>
      <w:proofErr w:type="spellEnd"/>
      <w:r>
        <w:rPr>
          <w:color w:val="000000"/>
        </w:rPr>
        <w:t xml:space="preserve">: </w:t>
      </w:r>
      <w:proofErr w:type="spellStart"/>
      <w:r>
        <w:rPr>
          <w:color w:val="000000"/>
        </w:rPr>
        <w:t>Exploring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affordances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visibility</w:t>
      </w:r>
      <w:proofErr w:type="spellEnd"/>
      <w:r>
        <w:rPr>
          <w:color w:val="000000"/>
        </w:rPr>
        <w:t xml:space="preserve">, </w:t>
      </w:r>
      <w:proofErr w:type="spellStart"/>
      <w:r>
        <w:rPr>
          <w:color w:val="000000"/>
        </w:rPr>
        <w:t>editability</w:t>
      </w:r>
      <w:proofErr w:type="spellEnd"/>
      <w:r>
        <w:rPr>
          <w:color w:val="000000"/>
        </w:rPr>
        <w:t xml:space="preserve">, </w:t>
      </w:r>
      <w:proofErr w:type="spellStart"/>
      <w:r>
        <w:rPr>
          <w:color w:val="000000"/>
        </w:rPr>
        <w:t>persistence</w:t>
      </w:r>
      <w:proofErr w:type="spellEnd"/>
      <w:r>
        <w:rPr>
          <w:color w:val="000000"/>
        </w:rPr>
        <w:t xml:space="preserve">, and </w:t>
      </w:r>
      <w:proofErr w:type="spellStart"/>
      <w:r>
        <w:rPr>
          <w:color w:val="000000"/>
        </w:rPr>
        <w:t>association</w:t>
      </w:r>
      <w:proofErr w:type="spellEnd"/>
      <w:r>
        <w:rPr>
          <w:color w:val="000000"/>
        </w:rPr>
        <w:t xml:space="preserve">. Communication </w:t>
      </w:r>
      <w:proofErr w:type="spellStart"/>
      <w:r>
        <w:rPr>
          <w:color w:val="000000"/>
        </w:rPr>
        <w:t>Yearbook</w:t>
      </w:r>
      <w:proofErr w:type="spellEnd"/>
      <w:r>
        <w:rPr>
          <w:color w:val="000000"/>
        </w:rPr>
        <w:t>, 36, 143-189.</w:t>
      </w:r>
    </w:p>
    <w:p w14:paraId="26B44673" w14:textId="77777777" w:rsidR="00F61FAD" w:rsidRDefault="00F61FAD" w:rsidP="00F61FAD">
      <w:pPr>
        <w:pStyle w:val="Bibliografa"/>
      </w:pPr>
      <w:r>
        <w:rPr>
          <w:color w:val="000000"/>
        </w:rPr>
        <w:t xml:space="preserve">Urry, J. (1990). The </w:t>
      </w:r>
      <w:proofErr w:type="spellStart"/>
      <w:r>
        <w:rPr>
          <w:color w:val="000000"/>
        </w:rPr>
        <w:t>tourist</w:t>
      </w:r>
      <w:proofErr w:type="spellEnd"/>
      <w:r>
        <w:rPr>
          <w:color w:val="000000"/>
        </w:rPr>
        <w:t xml:space="preserve"> </w:t>
      </w:r>
      <w:proofErr w:type="spellStart"/>
      <w:r>
        <w:rPr>
          <w:color w:val="000000"/>
        </w:rPr>
        <w:t>gaze</w:t>
      </w:r>
      <w:proofErr w:type="spellEnd"/>
      <w:r>
        <w:rPr>
          <w:color w:val="000000"/>
        </w:rPr>
        <w:t xml:space="preserve">: Leisure and </w:t>
      </w:r>
      <w:proofErr w:type="spellStart"/>
      <w:r>
        <w:rPr>
          <w:color w:val="000000"/>
        </w:rPr>
        <w:t>travel</w:t>
      </w:r>
      <w:proofErr w:type="spellEnd"/>
      <w:r>
        <w:rPr>
          <w:color w:val="000000"/>
        </w:rPr>
        <w:t xml:space="preserve"> in </w:t>
      </w:r>
      <w:proofErr w:type="spellStart"/>
      <w:r>
        <w:rPr>
          <w:color w:val="000000"/>
        </w:rPr>
        <w:t>contemporary</w:t>
      </w:r>
      <w:proofErr w:type="spellEnd"/>
      <w:r>
        <w:rPr>
          <w:color w:val="000000"/>
        </w:rPr>
        <w:t xml:space="preserve"> </w:t>
      </w:r>
      <w:proofErr w:type="spellStart"/>
      <w:r>
        <w:rPr>
          <w:color w:val="000000"/>
        </w:rPr>
        <w:t>societies</w:t>
      </w:r>
      <w:proofErr w:type="spellEnd"/>
      <w:r>
        <w:rPr>
          <w:color w:val="000000"/>
        </w:rPr>
        <w:t xml:space="preserve">. SAGE </w:t>
      </w:r>
      <w:proofErr w:type="spellStart"/>
      <w:r>
        <w:rPr>
          <w:color w:val="000000"/>
        </w:rPr>
        <w:t>Publications</w:t>
      </w:r>
      <w:proofErr w:type="spellEnd"/>
      <w:r>
        <w:rPr>
          <w:color w:val="000000"/>
        </w:rPr>
        <w:t>.</w:t>
      </w:r>
    </w:p>
    <w:p w14:paraId="6CFF638B" w14:textId="77777777" w:rsidR="00F61FAD" w:rsidRDefault="00F61FAD" w:rsidP="00F61FAD">
      <w:pPr>
        <w:pStyle w:val="Bibliografa"/>
      </w:pPr>
      <w:r>
        <w:rPr>
          <w:color w:val="000000"/>
        </w:rPr>
        <w:t xml:space="preserve">Wang, Y., y Yan, X. (2022). </w:t>
      </w:r>
      <w:proofErr w:type="spellStart"/>
      <w:r>
        <w:rPr>
          <w:color w:val="000000"/>
        </w:rPr>
        <w:t>Quality</w:t>
      </w:r>
      <w:proofErr w:type="spellEnd"/>
      <w:r>
        <w:rPr>
          <w:color w:val="000000"/>
        </w:rPr>
        <w:t xml:space="preserve"> </w:t>
      </w:r>
      <w:proofErr w:type="spellStart"/>
      <w:r>
        <w:rPr>
          <w:color w:val="000000"/>
        </w:rPr>
        <w:t>of</w:t>
      </w:r>
      <w:proofErr w:type="spellEnd"/>
      <w:r>
        <w:rPr>
          <w:color w:val="000000"/>
        </w:rPr>
        <w:t xml:space="preserve"> digital </w:t>
      </w:r>
      <w:proofErr w:type="spellStart"/>
      <w:r>
        <w:rPr>
          <w:color w:val="000000"/>
        </w:rPr>
        <w:t>tourism</w:t>
      </w:r>
      <w:proofErr w:type="spellEnd"/>
      <w:r>
        <w:rPr>
          <w:color w:val="000000"/>
        </w:rPr>
        <w:t xml:space="preserve"> </w:t>
      </w:r>
      <w:proofErr w:type="spellStart"/>
      <w:r>
        <w:rPr>
          <w:color w:val="000000"/>
        </w:rPr>
        <w:t>information</w:t>
      </w:r>
      <w:proofErr w:type="spellEnd"/>
      <w:r>
        <w:rPr>
          <w:color w:val="000000"/>
        </w:rPr>
        <w:t xml:space="preserve"> and </w:t>
      </w:r>
      <w:proofErr w:type="spellStart"/>
      <w:r>
        <w:rPr>
          <w:color w:val="000000"/>
        </w:rPr>
        <w:t>its</w:t>
      </w:r>
      <w:proofErr w:type="spellEnd"/>
      <w:r>
        <w:rPr>
          <w:color w:val="000000"/>
        </w:rPr>
        <w:t xml:space="preserve"> </w:t>
      </w:r>
      <w:proofErr w:type="spellStart"/>
      <w:r>
        <w:rPr>
          <w:color w:val="000000"/>
        </w:rPr>
        <w:t>effects</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travelers</w:t>
      </w:r>
      <w:proofErr w:type="spellEnd"/>
      <w:r>
        <w:rPr>
          <w:color w:val="000000"/>
        </w:rPr>
        <w:t xml:space="preserve">’ </w:t>
      </w:r>
      <w:proofErr w:type="spellStart"/>
      <w:r>
        <w:rPr>
          <w:color w:val="000000"/>
        </w:rPr>
        <w:t>intentions</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Travel </w:t>
      </w:r>
      <w:proofErr w:type="spellStart"/>
      <w:r>
        <w:rPr>
          <w:color w:val="000000"/>
        </w:rPr>
        <w:t>Research</w:t>
      </w:r>
      <w:proofErr w:type="spellEnd"/>
      <w:r>
        <w:rPr>
          <w:color w:val="000000"/>
        </w:rPr>
        <w:t>, 61(4), 883-897. https://doi.org/10.1177/00472875211057892</w:t>
      </w:r>
    </w:p>
    <w:p w14:paraId="1C9ACD6D" w14:textId="02EC532C" w:rsidR="00F61FAD" w:rsidRDefault="00F61FAD" w:rsidP="00F61FAD">
      <w:pPr>
        <w:pStyle w:val="Bibliografa"/>
        <w:rPr>
          <w:color w:val="000000"/>
        </w:rPr>
      </w:pPr>
      <w:r>
        <w:rPr>
          <w:color w:val="000000"/>
        </w:rPr>
        <w:lastRenderedPageBreak/>
        <w:t xml:space="preserve">Wu, B., Li, Z., y Zhang, X. (2023). </w:t>
      </w:r>
      <w:proofErr w:type="spellStart"/>
      <w:r>
        <w:rPr>
          <w:color w:val="000000"/>
        </w:rPr>
        <w:t>Stakeholder</w:t>
      </w:r>
      <w:proofErr w:type="spellEnd"/>
      <w:r>
        <w:rPr>
          <w:color w:val="000000"/>
        </w:rPr>
        <w:t xml:space="preserve"> </w:t>
      </w:r>
      <w:proofErr w:type="spellStart"/>
      <w:r>
        <w:rPr>
          <w:color w:val="000000"/>
        </w:rPr>
        <w:t>governance</w:t>
      </w:r>
      <w:proofErr w:type="spellEnd"/>
      <w:r>
        <w:rPr>
          <w:color w:val="000000"/>
        </w:rPr>
        <w:t xml:space="preserve"> and </w:t>
      </w:r>
      <w:proofErr w:type="spellStart"/>
      <w:r>
        <w:rPr>
          <w:color w:val="000000"/>
        </w:rPr>
        <w:t>collaborative</w:t>
      </w:r>
      <w:proofErr w:type="spellEnd"/>
      <w:r>
        <w:rPr>
          <w:color w:val="000000"/>
        </w:rPr>
        <w:t xml:space="preserve"> </w:t>
      </w:r>
      <w:proofErr w:type="spellStart"/>
      <w:r>
        <w:rPr>
          <w:color w:val="000000"/>
        </w:rPr>
        <w:t>tourism</w:t>
      </w:r>
      <w:proofErr w:type="spellEnd"/>
      <w:r>
        <w:rPr>
          <w:color w:val="000000"/>
        </w:rPr>
        <w:t xml:space="preserve"> </w:t>
      </w:r>
      <w:proofErr w:type="spellStart"/>
      <w:r>
        <w:rPr>
          <w:color w:val="000000"/>
        </w:rPr>
        <w:t>sustainability</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Sustainable</w:t>
      </w:r>
      <w:proofErr w:type="spellEnd"/>
      <w:r>
        <w:rPr>
          <w:color w:val="000000"/>
        </w:rPr>
        <w:t xml:space="preserve"> </w:t>
      </w:r>
      <w:proofErr w:type="spellStart"/>
      <w:r>
        <w:rPr>
          <w:color w:val="000000"/>
        </w:rPr>
        <w:t>Tourism</w:t>
      </w:r>
      <w:proofErr w:type="spellEnd"/>
      <w:r>
        <w:rPr>
          <w:color w:val="000000"/>
        </w:rPr>
        <w:t xml:space="preserve">, 31(5), 1005-1023. </w:t>
      </w:r>
      <w:hyperlink r:id="rId10" w:history="1">
        <w:r w:rsidRPr="00220DB1">
          <w:rPr>
            <w:rStyle w:val="Hipervnculo"/>
          </w:rPr>
          <w:t>https://doi.org/10.1080/09669582.2023.2171546</w:t>
        </w:r>
      </w:hyperlink>
    </w:p>
    <w:p w14:paraId="6D1B5513" w14:textId="77777777" w:rsidR="00E929CE" w:rsidRDefault="00E929CE" w:rsidP="00E929CE">
      <w:pPr>
        <w:pStyle w:val="Bibliografa"/>
      </w:pPr>
      <w:r>
        <w:rPr>
          <w:color w:val="000000"/>
        </w:rPr>
        <w:t xml:space="preserve">Zenker, S., y </w:t>
      </w:r>
      <w:proofErr w:type="spellStart"/>
      <w:r>
        <w:rPr>
          <w:color w:val="000000"/>
        </w:rPr>
        <w:t>Erfgen</w:t>
      </w:r>
      <w:proofErr w:type="spellEnd"/>
      <w:r>
        <w:rPr>
          <w:color w:val="000000"/>
        </w:rPr>
        <w:t xml:space="preserve">, C. (2014). Let </w:t>
      </w:r>
      <w:proofErr w:type="spellStart"/>
      <w:r>
        <w:rPr>
          <w:color w:val="000000"/>
        </w:rPr>
        <w:t>them</w:t>
      </w:r>
      <w:proofErr w:type="spellEnd"/>
      <w:r>
        <w:rPr>
          <w:color w:val="000000"/>
        </w:rPr>
        <w:t xml:space="preserve"> do </w:t>
      </w:r>
      <w:proofErr w:type="spellStart"/>
      <w:r>
        <w:rPr>
          <w:color w:val="000000"/>
        </w:rPr>
        <w:t>the</w:t>
      </w:r>
      <w:proofErr w:type="spellEnd"/>
      <w:r>
        <w:rPr>
          <w:color w:val="000000"/>
        </w:rPr>
        <w:t xml:space="preserve"> </w:t>
      </w:r>
      <w:proofErr w:type="spellStart"/>
      <w:r>
        <w:rPr>
          <w:color w:val="000000"/>
        </w:rPr>
        <w:t>work</w:t>
      </w:r>
      <w:proofErr w:type="spellEnd"/>
      <w:r>
        <w:rPr>
          <w:color w:val="000000"/>
        </w:rPr>
        <w:t xml:space="preserve">: A </w:t>
      </w:r>
      <w:proofErr w:type="spellStart"/>
      <w:r>
        <w:rPr>
          <w:color w:val="000000"/>
        </w:rPr>
        <w:t>framework</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residents</w:t>
      </w:r>
      <w:proofErr w:type="spellEnd"/>
      <w:r>
        <w:rPr>
          <w:color w:val="000000"/>
        </w:rPr>
        <w:t xml:space="preserve">’ </w:t>
      </w:r>
      <w:proofErr w:type="spellStart"/>
      <w:r>
        <w:rPr>
          <w:color w:val="000000"/>
        </w:rPr>
        <w:t>co-creation</w:t>
      </w:r>
      <w:proofErr w:type="spellEnd"/>
      <w:r>
        <w:rPr>
          <w:color w:val="000000"/>
        </w:rPr>
        <w:t xml:space="preserve"> in place branding.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Place Management and </w:t>
      </w:r>
      <w:proofErr w:type="spellStart"/>
      <w:r>
        <w:rPr>
          <w:color w:val="000000"/>
        </w:rPr>
        <w:t>Development</w:t>
      </w:r>
      <w:proofErr w:type="spellEnd"/>
      <w:r>
        <w:rPr>
          <w:color w:val="000000"/>
        </w:rPr>
        <w:t>, 7(1), 23-36. https://doi.org/10.1108/JPMD-10-2012-0032</w:t>
      </w:r>
    </w:p>
    <w:p w14:paraId="090F48CE" w14:textId="77777777" w:rsidR="00F61FAD" w:rsidRPr="00F61FAD" w:rsidRDefault="00F61FAD" w:rsidP="00F61FAD"/>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94B86" w14:textId="77777777" w:rsidR="00B9643C" w:rsidRDefault="00B9643C" w:rsidP="00EB0247">
      <w:pPr>
        <w:spacing w:after="0" w:line="240" w:lineRule="auto"/>
      </w:pPr>
      <w:r>
        <w:separator/>
      </w:r>
    </w:p>
  </w:endnote>
  <w:endnote w:type="continuationSeparator" w:id="0">
    <w:p w14:paraId="3206550E" w14:textId="77777777" w:rsidR="00B9643C" w:rsidRDefault="00B9643C"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F250" w14:textId="77777777" w:rsidR="00B9643C" w:rsidRDefault="00B9643C" w:rsidP="00EB0247">
      <w:pPr>
        <w:spacing w:after="0" w:line="240" w:lineRule="auto"/>
      </w:pPr>
      <w:r>
        <w:separator/>
      </w:r>
    </w:p>
  </w:footnote>
  <w:footnote w:type="continuationSeparator" w:id="0">
    <w:p w14:paraId="65CEE1D3" w14:textId="77777777" w:rsidR="00B9643C" w:rsidRDefault="00B9643C"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2133F"/>
    <w:rsid w:val="001348A0"/>
    <w:rsid w:val="00140844"/>
    <w:rsid w:val="001468AC"/>
    <w:rsid w:val="0015066B"/>
    <w:rsid w:val="00156F2B"/>
    <w:rsid w:val="00182667"/>
    <w:rsid w:val="001850D4"/>
    <w:rsid w:val="00185A00"/>
    <w:rsid w:val="0018654D"/>
    <w:rsid w:val="001950D8"/>
    <w:rsid w:val="00197D57"/>
    <w:rsid w:val="001A308D"/>
    <w:rsid w:val="001A7AD8"/>
    <w:rsid w:val="00242EFB"/>
    <w:rsid w:val="002433EC"/>
    <w:rsid w:val="00254F0F"/>
    <w:rsid w:val="00280126"/>
    <w:rsid w:val="00281564"/>
    <w:rsid w:val="00285B53"/>
    <w:rsid w:val="002A43CD"/>
    <w:rsid w:val="002C5703"/>
    <w:rsid w:val="002D23FB"/>
    <w:rsid w:val="002D268C"/>
    <w:rsid w:val="002E1983"/>
    <w:rsid w:val="002F3733"/>
    <w:rsid w:val="00316628"/>
    <w:rsid w:val="003512A0"/>
    <w:rsid w:val="00375999"/>
    <w:rsid w:val="00391501"/>
    <w:rsid w:val="0039591A"/>
    <w:rsid w:val="003C4D9F"/>
    <w:rsid w:val="003E66FB"/>
    <w:rsid w:val="00415CA5"/>
    <w:rsid w:val="00422CDA"/>
    <w:rsid w:val="004307D4"/>
    <w:rsid w:val="00437ED3"/>
    <w:rsid w:val="0044345A"/>
    <w:rsid w:val="00477173"/>
    <w:rsid w:val="004819D7"/>
    <w:rsid w:val="004842F0"/>
    <w:rsid w:val="00484413"/>
    <w:rsid w:val="00493A17"/>
    <w:rsid w:val="004B1BC3"/>
    <w:rsid w:val="004C0202"/>
    <w:rsid w:val="004D0180"/>
    <w:rsid w:val="005144E5"/>
    <w:rsid w:val="00525752"/>
    <w:rsid w:val="005335DF"/>
    <w:rsid w:val="005417EB"/>
    <w:rsid w:val="005430EA"/>
    <w:rsid w:val="005701D0"/>
    <w:rsid w:val="00584BB4"/>
    <w:rsid w:val="005A43E3"/>
    <w:rsid w:val="005A4AFE"/>
    <w:rsid w:val="005A6174"/>
    <w:rsid w:val="005F0CF7"/>
    <w:rsid w:val="005F4104"/>
    <w:rsid w:val="00607EE3"/>
    <w:rsid w:val="006131F7"/>
    <w:rsid w:val="00675757"/>
    <w:rsid w:val="00680332"/>
    <w:rsid w:val="00681364"/>
    <w:rsid w:val="0068745E"/>
    <w:rsid w:val="00693EE3"/>
    <w:rsid w:val="006B7745"/>
    <w:rsid w:val="00714CBD"/>
    <w:rsid w:val="00721EBE"/>
    <w:rsid w:val="00742AC5"/>
    <w:rsid w:val="007701F1"/>
    <w:rsid w:val="00792960"/>
    <w:rsid w:val="007A0F17"/>
    <w:rsid w:val="007D6385"/>
    <w:rsid w:val="007E4E94"/>
    <w:rsid w:val="007F0944"/>
    <w:rsid w:val="00810889"/>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AA27B8"/>
    <w:rsid w:val="00AC34BC"/>
    <w:rsid w:val="00B0717D"/>
    <w:rsid w:val="00B57A4E"/>
    <w:rsid w:val="00B60DF4"/>
    <w:rsid w:val="00B9643C"/>
    <w:rsid w:val="00BA4EA8"/>
    <w:rsid w:val="00BA4FD5"/>
    <w:rsid w:val="00BB38AC"/>
    <w:rsid w:val="00BD7178"/>
    <w:rsid w:val="00BE3D2B"/>
    <w:rsid w:val="00BE5F2C"/>
    <w:rsid w:val="00BF45D1"/>
    <w:rsid w:val="00BF50C0"/>
    <w:rsid w:val="00C21F8C"/>
    <w:rsid w:val="00C302E3"/>
    <w:rsid w:val="00C30BA1"/>
    <w:rsid w:val="00C45F7D"/>
    <w:rsid w:val="00C504EF"/>
    <w:rsid w:val="00C62E89"/>
    <w:rsid w:val="00C676ED"/>
    <w:rsid w:val="00C8133D"/>
    <w:rsid w:val="00C930F7"/>
    <w:rsid w:val="00C94C9E"/>
    <w:rsid w:val="00CA0400"/>
    <w:rsid w:val="00CC152D"/>
    <w:rsid w:val="00CD0091"/>
    <w:rsid w:val="00CE0F4B"/>
    <w:rsid w:val="00D0381D"/>
    <w:rsid w:val="00D05D1F"/>
    <w:rsid w:val="00D26258"/>
    <w:rsid w:val="00D36F76"/>
    <w:rsid w:val="00D47BD3"/>
    <w:rsid w:val="00D86CAA"/>
    <w:rsid w:val="00DA0BED"/>
    <w:rsid w:val="00DC3839"/>
    <w:rsid w:val="00DC5E7D"/>
    <w:rsid w:val="00DE0B74"/>
    <w:rsid w:val="00DF1B76"/>
    <w:rsid w:val="00DF4082"/>
    <w:rsid w:val="00E04357"/>
    <w:rsid w:val="00E05E1A"/>
    <w:rsid w:val="00E06000"/>
    <w:rsid w:val="00E649D6"/>
    <w:rsid w:val="00E929CE"/>
    <w:rsid w:val="00EA28E9"/>
    <w:rsid w:val="00EB0247"/>
    <w:rsid w:val="00EC01A5"/>
    <w:rsid w:val="00EC2E70"/>
    <w:rsid w:val="00F17211"/>
    <w:rsid w:val="00F60611"/>
    <w:rsid w:val="00F61FAD"/>
    <w:rsid w:val="00F6387D"/>
    <w:rsid w:val="00F63B01"/>
    <w:rsid w:val="00F66726"/>
    <w:rsid w:val="00F91369"/>
    <w:rsid w:val="00FA51E8"/>
    <w:rsid w:val="00FA7CDE"/>
    <w:rsid w:val="00FF78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1080/09669582.2023.2171546" TargetMode="External"/><Relationship Id="rId4" Type="http://schemas.openxmlformats.org/officeDocument/2006/relationships/styles" Target="styles.xml"/><Relationship Id="rId9" Type="http://schemas.openxmlformats.org/officeDocument/2006/relationships/hyperlink" Target="mailto:ligia.mejia01@cu.ucsg.edu.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21</Pages>
  <Words>6234</Words>
  <Characters>34287</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Angie Mejia</cp:lastModifiedBy>
  <cp:revision>2</cp:revision>
  <dcterms:created xsi:type="dcterms:W3CDTF">2026-09-03T21:17:00Z</dcterms:created>
  <dcterms:modified xsi:type="dcterms:W3CDTF">2026-09-03T21:17:00Z</dcterms:modified>
  <cp:category>Categoria</cp:category>
  <cp:contentStatus>Estado</cp:contentStatus>
</cp:coreProperties>
</file>