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8D26A" w14:textId="4A84CF7F" w:rsidR="002A43CD" w:rsidRPr="00BE5F2C" w:rsidRDefault="002A43CD" w:rsidP="002A43CD">
      <w:pPr>
        <w:pStyle w:val="Captulo"/>
        <w:rPr>
          <w:lang w:val="pt-PT" w:eastAsia="es-ES"/>
        </w:rPr>
      </w:pPr>
      <w:r w:rsidRPr="00BE5F2C">
        <w:rPr>
          <w:lang w:val="pt-PT" w:eastAsia="es-ES"/>
        </w:rPr>
        <w:t>Capítulo</w:t>
      </w:r>
      <w:r w:rsidR="002433EC" w:rsidRPr="00BE5F2C">
        <w:rPr>
          <w:lang w:val="pt-PT" w:eastAsia="es-ES"/>
        </w:rPr>
        <w:t xml:space="preserve"> (</w:t>
      </w:r>
      <w:r w:rsidR="00EE5F35">
        <w:rPr>
          <w:lang w:val="pt-PT" w:eastAsia="es-ES"/>
        </w:rPr>
        <w:t>XXX</w:t>
      </w:r>
      <w:r w:rsidR="002433EC" w:rsidRPr="00BE5F2C">
        <w:rPr>
          <w:lang w:val="pt-PT" w:eastAsia="es-ES"/>
        </w:rPr>
        <w:t>)</w:t>
      </w:r>
    </w:p>
    <w:p w14:paraId="3607721D" w14:textId="36F0071F" w:rsidR="002A43CD" w:rsidRPr="00BE5F2C" w:rsidRDefault="00483794" w:rsidP="00483794">
      <w:pPr>
        <w:pStyle w:val="TtCap"/>
        <w:rPr>
          <w:lang w:val="pt-PT" w:eastAsia="es-ES"/>
        </w:rPr>
      </w:pPr>
      <w:r w:rsidRPr="00483794">
        <w:t xml:space="preserve"> </w:t>
      </w:r>
      <w:r w:rsidR="00622E97">
        <w:t xml:space="preserve">Hábitos de vida y su influencia en las prácticas de automedicación en </w:t>
      </w:r>
      <w:r w:rsidR="00622E97">
        <w:t>ESTUDIANTES</w:t>
      </w:r>
      <w:bookmarkStart w:id="0" w:name="_GoBack"/>
      <w:bookmarkEnd w:id="0"/>
      <w:r w:rsidR="00622E97">
        <w:t xml:space="preserve"> de la carrera de medicina.</w:t>
      </w:r>
    </w:p>
    <w:p w14:paraId="1285A537" w14:textId="77777777" w:rsidR="00622E97" w:rsidRDefault="00EE5F35" w:rsidP="00EE5F35">
      <w:pPr>
        <w:spacing w:after="0" w:line="240" w:lineRule="auto"/>
        <w:jc w:val="right"/>
        <w:rPr>
          <w:rFonts w:cs="Times New Roman"/>
          <w:sz w:val="20"/>
        </w:rPr>
      </w:pPr>
      <w:r w:rsidRPr="00622E97">
        <w:rPr>
          <w:rFonts w:cs="Times New Roman"/>
          <w:sz w:val="20"/>
        </w:rPr>
        <w:t xml:space="preserve">MARÍA ANTONIETA TOURÍZ BONIFÁZ </w:t>
      </w:r>
    </w:p>
    <w:p w14:paraId="22FCDB3C" w14:textId="2C77FF30" w:rsidR="00EE5F35" w:rsidRPr="00622E97" w:rsidRDefault="00EE5F35" w:rsidP="00EE5F35">
      <w:pPr>
        <w:spacing w:after="0" w:line="240" w:lineRule="auto"/>
        <w:jc w:val="right"/>
        <w:rPr>
          <w:rFonts w:cs="Times New Roman"/>
          <w:i/>
          <w:iCs/>
          <w:sz w:val="20"/>
        </w:rPr>
      </w:pPr>
      <w:r w:rsidRPr="00622E97">
        <w:rPr>
          <w:rFonts w:cs="Times New Roman"/>
          <w:i/>
          <w:iCs/>
          <w:sz w:val="20"/>
        </w:rPr>
        <w:t>Universidad Católica Santiago de Guayaquil</w:t>
      </w:r>
      <w:r w:rsidRPr="00622E97">
        <w:rPr>
          <w:rFonts w:cs="Times New Roman"/>
          <w:sz w:val="20"/>
        </w:rPr>
        <w:br/>
      </w:r>
      <w:r w:rsidRPr="00622E97">
        <w:rPr>
          <w:rFonts w:cs="Times New Roman"/>
          <w:i/>
          <w:iCs/>
          <w:sz w:val="20"/>
        </w:rPr>
        <w:t>Universidad de Guayaquil</w:t>
      </w:r>
    </w:p>
    <w:p w14:paraId="6154F505" w14:textId="77777777" w:rsidR="00EE5F35" w:rsidRPr="00622E97" w:rsidRDefault="00EE5F35" w:rsidP="00EE5F35">
      <w:pPr>
        <w:pStyle w:val="Adscripcin"/>
        <w:spacing w:line="360" w:lineRule="auto"/>
        <w:rPr>
          <w:rFonts w:cs="Times New Roman"/>
          <w:lang w:eastAsia="es-ES"/>
        </w:rPr>
      </w:pPr>
    </w:p>
    <w:p w14:paraId="12901A36" w14:textId="5D25C0D9" w:rsidR="00EE5F35" w:rsidRPr="00622E97" w:rsidRDefault="00EE5F35" w:rsidP="00EE5F35">
      <w:pPr>
        <w:pStyle w:val="Adscripcin"/>
        <w:rPr>
          <w:rFonts w:cs="Times New Roman"/>
          <w:lang w:val="es-EC" w:eastAsia="es-ES"/>
        </w:rPr>
      </w:pPr>
      <w:r w:rsidRPr="00622E97">
        <w:rPr>
          <w:rFonts w:cs="Times New Roman"/>
          <w:i w:val="0"/>
          <w:lang w:val="es-EC" w:eastAsia="es-ES"/>
        </w:rPr>
        <w:t>ZULLY STEFANIA CEDEÑO ROBALINO</w:t>
      </w:r>
    </w:p>
    <w:p w14:paraId="140E58AB" w14:textId="76F7AC92" w:rsidR="00EE5F35" w:rsidRPr="00622E97" w:rsidRDefault="00EE5F35" w:rsidP="00EE5F35">
      <w:pPr>
        <w:pStyle w:val="Adscripcin"/>
        <w:rPr>
          <w:rFonts w:cs="Times New Roman"/>
          <w:szCs w:val="20"/>
          <w:lang w:val="es-EC"/>
        </w:rPr>
      </w:pPr>
      <w:r w:rsidRPr="00622E97">
        <w:rPr>
          <w:rFonts w:cs="Times New Roman"/>
          <w:szCs w:val="20"/>
          <w:lang w:val="es-EC"/>
        </w:rPr>
        <w:t>Universidad de Guayaquil</w:t>
      </w:r>
    </w:p>
    <w:p w14:paraId="513C7681" w14:textId="77777777" w:rsidR="00EE5F35" w:rsidRPr="00622E97" w:rsidRDefault="00EE5F35" w:rsidP="00EE5F35">
      <w:pPr>
        <w:pStyle w:val="Adscripcin"/>
        <w:rPr>
          <w:rFonts w:cs="Times New Roman"/>
          <w:lang w:val="es-EC" w:eastAsia="es-ES"/>
        </w:rPr>
      </w:pPr>
    </w:p>
    <w:p w14:paraId="3D4A4FAD" w14:textId="7206D10E" w:rsidR="00EE5F35" w:rsidRPr="00622E97" w:rsidRDefault="00EE5F35" w:rsidP="00EE5F35">
      <w:pPr>
        <w:pStyle w:val="Adscripcin"/>
        <w:rPr>
          <w:rFonts w:cs="Times New Roman"/>
          <w:i w:val="0"/>
          <w:lang w:val="en-US" w:eastAsia="es-ES"/>
        </w:rPr>
      </w:pPr>
      <w:r w:rsidRPr="00622E97">
        <w:rPr>
          <w:rFonts w:cs="Times New Roman"/>
          <w:i w:val="0"/>
          <w:lang w:val="en-US" w:eastAsia="es-ES"/>
        </w:rPr>
        <w:t>WILLIAM JOHN JIMÉNEZ JI</w:t>
      </w:r>
      <w:r w:rsidR="00622E97">
        <w:rPr>
          <w:rFonts w:cs="Times New Roman"/>
          <w:i w:val="0"/>
          <w:lang w:val="en-US" w:eastAsia="es-ES"/>
        </w:rPr>
        <w:t>MÉNEZ</w:t>
      </w:r>
    </w:p>
    <w:p w14:paraId="4872CB8D" w14:textId="77777777" w:rsidR="00EE5F35" w:rsidRDefault="00EE5F35" w:rsidP="00EE5F35">
      <w:pPr>
        <w:pStyle w:val="Adscripcin"/>
        <w:rPr>
          <w:szCs w:val="20"/>
          <w:lang w:val="es-EC"/>
        </w:rPr>
      </w:pPr>
      <w:r w:rsidRPr="00622E97">
        <w:rPr>
          <w:rFonts w:cs="Times New Roman"/>
          <w:szCs w:val="20"/>
          <w:lang w:val="es-EC"/>
        </w:rPr>
        <w:t>Universidad de Guayaquil</w:t>
      </w:r>
    </w:p>
    <w:p w14:paraId="7FB42A6F" w14:textId="03F1B869" w:rsidR="009C0DFA" w:rsidRPr="00EE5F35" w:rsidRDefault="00721EBE" w:rsidP="00C45F7D">
      <w:pPr>
        <w:pStyle w:val="Ttulo1"/>
        <w:rPr>
          <w:color w:val="FF0000"/>
          <w:sz w:val="23"/>
          <w:szCs w:val="23"/>
        </w:rPr>
      </w:pPr>
      <w:r w:rsidRPr="00EE5F35">
        <w:rPr>
          <w:color w:val="000000" w:themeColor="text1"/>
        </w:rPr>
        <w:t>1</w:t>
      </w:r>
      <w:r w:rsidRPr="00EE5F35">
        <w:rPr>
          <w:color w:val="FF0000"/>
        </w:rPr>
        <w:t xml:space="preserve">. </w:t>
      </w:r>
      <w:r w:rsidR="0015066B" w:rsidRPr="00EE5F35">
        <w:rPr>
          <w:color w:val="000000" w:themeColor="text1"/>
          <w:sz w:val="23"/>
          <w:szCs w:val="23"/>
        </w:rPr>
        <w:t>Introducción</w:t>
      </w:r>
      <w:r w:rsidR="009C0DFA" w:rsidRPr="00EE5F35">
        <w:rPr>
          <w:color w:val="000000" w:themeColor="text1"/>
          <w:sz w:val="23"/>
          <w:szCs w:val="23"/>
        </w:rPr>
        <w:t xml:space="preserve"> </w:t>
      </w:r>
    </w:p>
    <w:p w14:paraId="27059902" w14:textId="5FF5E3F9" w:rsidR="00483794" w:rsidRPr="00483794" w:rsidRDefault="00483794" w:rsidP="00483794">
      <w:pPr>
        <w:pBdr>
          <w:top w:val="nil"/>
          <w:left w:val="nil"/>
          <w:bottom w:val="nil"/>
          <w:right w:val="nil"/>
          <w:between w:val="nil"/>
        </w:pBdr>
        <w:spacing w:after="160"/>
        <w:rPr>
          <w:szCs w:val="23"/>
          <w:lang w:val="es-EC"/>
        </w:rPr>
      </w:pPr>
      <w:r w:rsidRPr="00483794">
        <w:rPr>
          <w:szCs w:val="23"/>
          <w:lang w:val="es-EC"/>
        </w:rPr>
        <w:t xml:space="preserve">La automedicación se define como la administración de medicamentos, hierbas y remedios caseros por iniciativa propia o por consejo de terceros, sin la debida prescripción médica. </w:t>
      </w:r>
      <w:sdt>
        <w:sdtPr>
          <w:rPr>
            <w:szCs w:val="23"/>
            <w:lang w:val="es-EC"/>
          </w:rPr>
          <w:id w:val="1106003291"/>
          <w:citation/>
        </w:sdtPr>
        <w:sdtContent>
          <w:r w:rsidR="00B61799">
            <w:rPr>
              <w:szCs w:val="23"/>
              <w:lang w:val="es-EC"/>
            </w:rPr>
            <w:fldChar w:fldCharType="begin"/>
          </w:r>
          <w:r w:rsidR="00B61799">
            <w:rPr>
              <w:szCs w:val="23"/>
              <w:lang w:val="es-EC"/>
            </w:rPr>
            <w:instrText xml:space="preserve">CITATION Abd18 \l 12298 </w:instrText>
          </w:r>
          <w:r w:rsidR="00B61799">
            <w:rPr>
              <w:szCs w:val="23"/>
              <w:lang w:val="es-EC"/>
            </w:rPr>
            <w:fldChar w:fldCharType="separate"/>
          </w:r>
          <w:r w:rsidR="00B61799" w:rsidRPr="00B61799">
            <w:rPr>
              <w:noProof/>
              <w:szCs w:val="23"/>
              <w:lang w:val="es-EC"/>
            </w:rPr>
            <w:t>(Abdi, 2018)</w:t>
          </w:r>
          <w:r w:rsidR="00B61799">
            <w:rPr>
              <w:szCs w:val="23"/>
              <w:lang w:val="es-EC"/>
            </w:rPr>
            <w:fldChar w:fldCharType="end"/>
          </w:r>
        </w:sdtContent>
      </w:sdt>
      <w:r w:rsidRPr="00483794">
        <w:rPr>
          <w:szCs w:val="23"/>
          <w:lang w:val="es-EC"/>
        </w:rPr>
        <w:t xml:space="preserve">Esta práctica representa un problema de salud pública de escala global debido a los riesgos inherentes que conlleva, entre los que destacan la aparición de reacciones adversas a medicamentos, interacciones farmacológicas no deseadas, enmascaramiento de patologías subyacentes, desarrollo de resistencia bacteriana y un incremento sustancial en los costos de atención sanitaria. </w:t>
      </w:r>
      <w:sdt>
        <w:sdtPr>
          <w:rPr>
            <w:szCs w:val="23"/>
            <w:lang w:val="es-EC"/>
          </w:rPr>
          <w:id w:val="-1514837333"/>
          <w:citation/>
        </w:sdtPr>
        <w:sdtContent>
          <w:r w:rsidR="00B61799">
            <w:rPr>
              <w:szCs w:val="23"/>
              <w:lang w:val="es-EC"/>
            </w:rPr>
            <w:fldChar w:fldCharType="begin"/>
          </w:r>
          <w:r w:rsidR="00B61799">
            <w:rPr>
              <w:szCs w:val="23"/>
              <w:lang w:val="es-EC"/>
            </w:rPr>
            <w:instrText xml:space="preserve">CITATION Ach22 \l 12298 </w:instrText>
          </w:r>
          <w:r w:rsidR="00B61799">
            <w:rPr>
              <w:szCs w:val="23"/>
              <w:lang w:val="es-EC"/>
            </w:rPr>
            <w:fldChar w:fldCharType="separate"/>
          </w:r>
          <w:r w:rsidR="00B61799" w:rsidRPr="00B61799">
            <w:rPr>
              <w:noProof/>
              <w:szCs w:val="23"/>
              <w:lang w:val="es-EC"/>
            </w:rPr>
            <w:t>(Acharya, 2022)</w:t>
          </w:r>
          <w:r w:rsidR="00B61799">
            <w:rPr>
              <w:szCs w:val="23"/>
              <w:lang w:val="es-EC"/>
            </w:rPr>
            <w:fldChar w:fldCharType="end"/>
          </w:r>
        </w:sdtContent>
      </w:sdt>
      <w:r w:rsidRPr="00483794">
        <w:rPr>
          <w:szCs w:val="23"/>
          <w:lang w:val="es-EC"/>
        </w:rPr>
        <w:t>Según datos de la Organización Mundial de la Salud (OMS), más del 50% de los fármacos a nivel mundial se prescriben, dispensan o venden de forma inadecuada, siendo la mitad de los pacientes quienes no los toman correctamente o recurren al autoconsumo sin supervisión profesional.</w:t>
      </w:r>
      <w:sdt>
        <w:sdtPr>
          <w:rPr>
            <w:szCs w:val="23"/>
            <w:lang w:val="es-EC"/>
          </w:rPr>
          <w:id w:val="-490870690"/>
          <w:citation/>
        </w:sdtPr>
        <w:sdtContent>
          <w:r w:rsidR="00BA41D0">
            <w:rPr>
              <w:szCs w:val="23"/>
              <w:lang w:val="es-EC"/>
            </w:rPr>
            <w:fldChar w:fldCharType="begin"/>
          </w:r>
          <w:r w:rsidR="00BA41D0">
            <w:rPr>
              <w:szCs w:val="23"/>
              <w:lang w:val="es-EC"/>
            </w:rPr>
            <w:instrText xml:space="preserve"> CITATION Org22 \l 12298 </w:instrText>
          </w:r>
          <w:r w:rsidR="00BA41D0">
            <w:rPr>
              <w:szCs w:val="23"/>
              <w:lang w:val="es-EC"/>
            </w:rPr>
            <w:fldChar w:fldCharType="separate"/>
          </w:r>
          <w:r w:rsidR="00BA41D0">
            <w:rPr>
              <w:noProof/>
              <w:szCs w:val="23"/>
              <w:lang w:val="es-EC"/>
            </w:rPr>
            <w:t xml:space="preserve"> </w:t>
          </w:r>
          <w:r w:rsidR="00BA41D0" w:rsidRPr="00BA41D0">
            <w:rPr>
              <w:noProof/>
              <w:szCs w:val="23"/>
              <w:lang w:val="es-EC"/>
            </w:rPr>
            <w:t>(Organizacion Mundial de la Salud, 2022)</w:t>
          </w:r>
          <w:r w:rsidR="00BA41D0">
            <w:rPr>
              <w:szCs w:val="23"/>
              <w:lang w:val="es-EC"/>
            </w:rPr>
            <w:fldChar w:fldCharType="end"/>
          </w:r>
        </w:sdtContent>
      </w:sdt>
    </w:p>
    <w:p w14:paraId="1CCBAA7C" w14:textId="52808AB7" w:rsidR="00483794" w:rsidRPr="006228E4" w:rsidRDefault="00483794" w:rsidP="00483794">
      <w:pPr>
        <w:pBdr>
          <w:top w:val="nil"/>
          <w:left w:val="nil"/>
          <w:bottom w:val="nil"/>
          <w:right w:val="nil"/>
          <w:between w:val="nil"/>
        </w:pBdr>
        <w:spacing w:after="160"/>
        <w:rPr>
          <w:szCs w:val="23"/>
          <w:lang w:val="es-EC"/>
        </w:rPr>
      </w:pPr>
      <w:r w:rsidRPr="00483794">
        <w:rPr>
          <w:szCs w:val="23"/>
          <w:lang w:val="es-EC"/>
        </w:rPr>
        <w:t>En la población universitaria, y particularmente en el área de las ciencias de la salud, la automedicación adquiere una dimensión singular</w:t>
      </w:r>
      <w:sdt>
        <w:sdtPr>
          <w:rPr>
            <w:szCs w:val="23"/>
            <w:lang w:val="es-EC"/>
          </w:rPr>
          <w:id w:val="1787928471"/>
          <w:citation/>
        </w:sdtPr>
        <w:sdtContent>
          <w:r w:rsidR="00FA262A">
            <w:rPr>
              <w:szCs w:val="23"/>
              <w:lang w:val="es-EC"/>
            </w:rPr>
            <w:fldChar w:fldCharType="begin"/>
          </w:r>
          <w:r w:rsidR="00FA262A">
            <w:rPr>
              <w:szCs w:val="23"/>
              <w:lang w:val="es-EC"/>
            </w:rPr>
            <w:instrText xml:space="preserve"> CITATION Gal21 \l 12298 </w:instrText>
          </w:r>
          <w:r w:rsidR="00FA262A">
            <w:rPr>
              <w:szCs w:val="23"/>
              <w:lang w:val="es-EC"/>
            </w:rPr>
            <w:fldChar w:fldCharType="separate"/>
          </w:r>
          <w:r w:rsidR="00FA262A">
            <w:rPr>
              <w:noProof/>
              <w:szCs w:val="23"/>
              <w:lang w:val="es-EC"/>
            </w:rPr>
            <w:t xml:space="preserve"> </w:t>
          </w:r>
          <w:r w:rsidR="00FA262A" w:rsidRPr="00FA262A">
            <w:rPr>
              <w:noProof/>
              <w:szCs w:val="23"/>
              <w:lang w:val="es-EC"/>
            </w:rPr>
            <w:t>(Galárraga, 2021)</w:t>
          </w:r>
          <w:r w:rsidR="00FA262A">
            <w:rPr>
              <w:szCs w:val="23"/>
              <w:lang w:val="es-EC"/>
            </w:rPr>
            <w:fldChar w:fldCharType="end"/>
          </w:r>
        </w:sdtContent>
      </w:sdt>
      <w:r w:rsidRPr="00483794">
        <w:rPr>
          <w:szCs w:val="23"/>
          <w:lang w:val="es-EC"/>
        </w:rPr>
        <w:t xml:space="preserve">. Los estudiantes de medicina se encuentran en una </w:t>
      </w:r>
      <w:r w:rsidRPr="00483794">
        <w:rPr>
          <w:szCs w:val="23"/>
          <w:lang w:val="es-EC"/>
        </w:rPr>
        <w:lastRenderedPageBreak/>
        <w:t xml:space="preserve">etapa de formación académica acelerada donde adquieren conocimientos progresivos sobre farmacología, patología y terapéutica. Este dominio teórico temprano, sumado al acceso facilitado a muestras médicas y fuentes de información, </w:t>
      </w:r>
      <w:r w:rsidRPr="006228E4">
        <w:rPr>
          <w:szCs w:val="23"/>
          <w:lang w:val="es-EC"/>
        </w:rPr>
        <w:t>suele generar una falsa sensación de seguridad e idoneidad para autodiagnosticarse y autoprescribirse tratamientos</w:t>
      </w:r>
      <w:sdt>
        <w:sdtPr>
          <w:rPr>
            <w:szCs w:val="23"/>
            <w:lang w:val="es-EC"/>
          </w:rPr>
          <w:id w:val="-1527549163"/>
          <w:citation/>
        </w:sdtPr>
        <w:sdtContent>
          <w:r w:rsidR="00B61799">
            <w:rPr>
              <w:szCs w:val="23"/>
              <w:lang w:val="es-EC"/>
            </w:rPr>
            <w:fldChar w:fldCharType="begin"/>
          </w:r>
          <w:r w:rsidR="00B61799">
            <w:rPr>
              <w:szCs w:val="23"/>
              <w:lang w:val="es-EC"/>
            </w:rPr>
            <w:instrText xml:space="preserve"> CITATION Alb21 \l 12298 </w:instrText>
          </w:r>
          <w:r w:rsidR="00B61799">
            <w:rPr>
              <w:szCs w:val="23"/>
              <w:lang w:val="es-EC"/>
            </w:rPr>
            <w:fldChar w:fldCharType="separate"/>
          </w:r>
          <w:r w:rsidR="00B61799">
            <w:rPr>
              <w:noProof/>
              <w:szCs w:val="23"/>
              <w:lang w:val="es-EC"/>
            </w:rPr>
            <w:t xml:space="preserve"> </w:t>
          </w:r>
          <w:r w:rsidR="00B61799" w:rsidRPr="00B61799">
            <w:rPr>
              <w:noProof/>
              <w:szCs w:val="23"/>
              <w:lang w:val="es-EC"/>
            </w:rPr>
            <w:t>(Alburayk, 2021)</w:t>
          </w:r>
          <w:r w:rsidR="00B61799">
            <w:rPr>
              <w:szCs w:val="23"/>
              <w:lang w:val="es-EC"/>
            </w:rPr>
            <w:fldChar w:fldCharType="end"/>
          </w:r>
        </w:sdtContent>
      </w:sdt>
      <w:r w:rsidRPr="006228E4">
        <w:rPr>
          <w:szCs w:val="23"/>
          <w:lang w:val="es-EC"/>
        </w:rPr>
        <w:t>. Diversas investigaciones a nivel internacional y latinoamericano reportan prevalencias de automedicación en estudiantes de medicina que oscilan entre el 50% y más del 90%, sobrepasando en múltiples casos la media de la población general.</w:t>
      </w:r>
      <w:sdt>
        <w:sdtPr>
          <w:rPr>
            <w:szCs w:val="23"/>
            <w:lang w:val="es-EC"/>
          </w:rPr>
          <w:id w:val="517044764"/>
          <w:citation/>
        </w:sdtPr>
        <w:sdtContent>
          <w:r w:rsidR="00B148C6">
            <w:rPr>
              <w:szCs w:val="23"/>
              <w:lang w:val="es-EC"/>
            </w:rPr>
            <w:fldChar w:fldCharType="begin"/>
          </w:r>
          <w:r w:rsidR="00B148C6">
            <w:rPr>
              <w:szCs w:val="23"/>
              <w:lang w:val="es-EC"/>
            </w:rPr>
            <w:instrText xml:space="preserve"> CITATION Riv18 \l 12298 </w:instrText>
          </w:r>
          <w:r w:rsidR="00B148C6">
            <w:rPr>
              <w:szCs w:val="23"/>
              <w:lang w:val="es-EC"/>
            </w:rPr>
            <w:fldChar w:fldCharType="separate"/>
          </w:r>
          <w:r w:rsidR="00B148C6">
            <w:rPr>
              <w:noProof/>
              <w:szCs w:val="23"/>
              <w:lang w:val="es-EC"/>
            </w:rPr>
            <w:t xml:space="preserve"> </w:t>
          </w:r>
          <w:r w:rsidR="00B148C6" w:rsidRPr="00B148C6">
            <w:rPr>
              <w:noProof/>
              <w:szCs w:val="23"/>
              <w:lang w:val="es-EC"/>
            </w:rPr>
            <w:t>(Rivas Riveros, 2018)</w:t>
          </w:r>
          <w:r w:rsidR="00B148C6">
            <w:rPr>
              <w:szCs w:val="23"/>
              <w:lang w:val="es-EC"/>
            </w:rPr>
            <w:fldChar w:fldCharType="end"/>
          </w:r>
        </w:sdtContent>
      </w:sdt>
    </w:p>
    <w:p w14:paraId="6B2D0EFE" w14:textId="6EA7DC00" w:rsidR="00483794" w:rsidRPr="006228E4" w:rsidRDefault="00483794" w:rsidP="00483794">
      <w:pPr>
        <w:pBdr>
          <w:top w:val="nil"/>
          <w:left w:val="nil"/>
          <w:bottom w:val="nil"/>
          <w:right w:val="nil"/>
          <w:between w:val="nil"/>
        </w:pBdr>
        <w:spacing w:after="160"/>
        <w:rPr>
          <w:szCs w:val="23"/>
          <w:lang w:val="es-EC"/>
        </w:rPr>
      </w:pPr>
      <w:r w:rsidRPr="006228E4">
        <w:rPr>
          <w:szCs w:val="23"/>
          <w:lang w:val="es-EC"/>
        </w:rPr>
        <w:t xml:space="preserve">Paralelamente, la rigurosidad y exigencia del currículo médico expone a los estudiantes a elevadas cargas de estrés académico, alteraciones en los patrones de sueño, sedentarismo y modificaciones sustanciales en sus estilos de vida. </w:t>
      </w:r>
      <w:sdt>
        <w:sdtPr>
          <w:rPr>
            <w:szCs w:val="23"/>
            <w:lang w:val="es-EC"/>
          </w:rPr>
          <w:id w:val="84504876"/>
          <w:citation/>
        </w:sdtPr>
        <w:sdtContent>
          <w:r w:rsidR="001551E7">
            <w:rPr>
              <w:szCs w:val="23"/>
              <w:lang w:val="es-EC"/>
            </w:rPr>
            <w:fldChar w:fldCharType="begin"/>
          </w:r>
          <w:r w:rsidR="001551E7">
            <w:rPr>
              <w:szCs w:val="23"/>
              <w:lang w:val="es-EC"/>
            </w:rPr>
            <w:instrText xml:space="preserve"> CITATION Ced16 \l 12298 </w:instrText>
          </w:r>
          <w:r w:rsidR="001551E7">
            <w:rPr>
              <w:szCs w:val="23"/>
              <w:lang w:val="es-EC"/>
            </w:rPr>
            <w:fldChar w:fldCharType="separate"/>
          </w:r>
          <w:r w:rsidR="001551E7" w:rsidRPr="001551E7">
            <w:rPr>
              <w:noProof/>
              <w:szCs w:val="23"/>
              <w:lang w:val="es-EC"/>
            </w:rPr>
            <w:t>(Cedillo-Ramírez, 2016)</w:t>
          </w:r>
          <w:r w:rsidR="001551E7">
            <w:rPr>
              <w:szCs w:val="23"/>
              <w:lang w:val="es-EC"/>
            </w:rPr>
            <w:fldChar w:fldCharType="end"/>
          </w:r>
        </w:sdtContent>
      </w:sdt>
      <w:r w:rsidRPr="006228E4">
        <w:rPr>
          <w:szCs w:val="23"/>
          <w:lang w:val="es-EC"/>
        </w:rPr>
        <w:t xml:space="preserve">La adopción de hábitos poco saludables, tales como dietas desequilibradas altas en grasas o azúcares, el consumo abusivo de alcohol o tabaco y el uso irreflexivo de sustancias estimulantes o analgésicas para afrontar la fatiga, podría guardar una estrecha relación con la frecuencia y los patrones de automedicación. </w:t>
      </w:r>
      <w:sdt>
        <w:sdtPr>
          <w:rPr>
            <w:szCs w:val="23"/>
            <w:lang w:val="es-EC"/>
          </w:rPr>
          <w:id w:val="647479932"/>
          <w:citation/>
        </w:sdtPr>
        <w:sdtContent>
          <w:r w:rsidR="001551E7">
            <w:rPr>
              <w:szCs w:val="23"/>
              <w:lang w:val="es-EC"/>
            </w:rPr>
            <w:fldChar w:fldCharType="begin"/>
          </w:r>
          <w:r w:rsidR="001551E7">
            <w:rPr>
              <w:szCs w:val="23"/>
              <w:lang w:val="es-EC"/>
            </w:rPr>
            <w:instrText xml:space="preserve"> CITATION Cec18 \l 12298 </w:instrText>
          </w:r>
          <w:r w:rsidR="001551E7">
            <w:rPr>
              <w:szCs w:val="23"/>
              <w:lang w:val="es-EC"/>
            </w:rPr>
            <w:fldChar w:fldCharType="separate"/>
          </w:r>
          <w:r w:rsidR="001551E7" w:rsidRPr="001551E7">
            <w:rPr>
              <w:noProof/>
              <w:szCs w:val="23"/>
              <w:lang w:val="es-EC"/>
            </w:rPr>
            <w:t>(Cecilia, 2018)</w:t>
          </w:r>
          <w:r w:rsidR="001551E7">
            <w:rPr>
              <w:szCs w:val="23"/>
              <w:lang w:val="es-EC"/>
            </w:rPr>
            <w:fldChar w:fldCharType="end"/>
          </w:r>
        </w:sdtContent>
      </w:sdt>
    </w:p>
    <w:p w14:paraId="4C5818D5" w14:textId="41AE65EC" w:rsidR="00483794" w:rsidRPr="006228E4" w:rsidRDefault="00483794" w:rsidP="00483794">
      <w:pPr>
        <w:pBdr>
          <w:top w:val="nil"/>
          <w:left w:val="nil"/>
          <w:bottom w:val="nil"/>
          <w:right w:val="nil"/>
          <w:between w:val="nil"/>
        </w:pBdr>
        <w:spacing w:after="160"/>
        <w:rPr>
          <w:szCs w:val="23"/>
          <w:lang w:val="es-EC"/>
        </w:rPr>
      </w:pPr>
      <w:r w:rsidRPr="006228E4">
        <w:rPr>
          <w:szCs w:val="23"/>
          <w:lang w:val="es-EC"/>
        </w:rPr>
        <w:t>Sin embargo, la evidencia científica respecto a cómo interactúan de forma específica los estilos de vida y hábitos cotidianos con las decisiones de autoconsumo farmacológico en esta población específica continúa siendo limitada y heterogénea.</w:t>
      </w:r>
      <w:r w:rsidRPr="006228E4">
        <w:rPr>
          <w:szCs w:val="23"/>
          <w:lang w:val="es-EC"/>
        </w:rPr>
        <w:t xml:space="preserve"> por todo ello, el propósito central de este estudio es examinar la relación entre la automedicación y los hábitos/estilos de vida en los estudiantes de la carrera de medicina de la Universidad de Guayaquil, proporcionando evidencia epidemiológica relevante para la formulación de estrategias educativas y preventivas en el entorno universitario</w:t>
      </w:r>
      <w:r w:rsidR="001551E7">
        <w:rPr>
          <w:szCs w:val="23"/>
          <w:lang w:val="es-EC"/>
        </w:rPr>
        <w:t>.</w:t>
      </w:r>
    </w:p>
    <w:p w14:paraId="6E6B68A9" w14:textId="0C9D6F36" w:rsidR="0015066B" w:rsidRPr="00EE5F35" w:rsidRDefault="0015066B" w:rsidP="00483794">
      <w:pPr>
        <w:pStyle w:val="Ttulo2"/>
        <w:rPr>
          <w:szCs w:val="23"/>
        </w:rPr>
      </w:pPr>
      <w:r w:rsidRPr="00EE5F35">
        <w:rPr>
          <w:smallCaps w:val="0"/>
          <w:szCs w:val="23"/>
        </w:rPr>
        <w:t>1.</w:t>
      </w:r>
      <w:r w:rsidRPr="00EE5F35">
        <w:rPr>
          <w:szCs w:val="23"/>
        </w:rPr>
        <w:t xml:space="preserve">1. </w:t>
      </w:r>
      <w:r w:rsidR="00F11595">
        <w:t>justificación de la investigación</w:t>
      </w:r>
    </w:p>
    <w:p w14:paraId="0017C315" w14:textId="77777777" w:rsidR="00F11595" w:rsidRDefault="00F11595" w:rsidP="00F11595">
      <w:pPr>
        <w:pStyle w:val="Ttulo2"/>
        <w:rPr>
          <w:smallCaps w:val="0"/>
          <w:szCs w:val="23"/>
          <w:lang w:val="es-EC"/>
          <w14:numForm w14:val="oldStyle"/>
        </w:rPr>
      </w:pPr>
      <w:r w:rsidRPr="00F11595">
        <w:rPr>
          <w:smallCaps w:val="0"/>
          <w:szCs w:val="23"/>
          <w:lang w:val="es-EC"/>
          <w14:numForm w14:val="oldStyle"/>
        </w:rPr>
        <w:t>La presente investigación se justifica en la necesidad epidemiológica de evaluar la tendencia de automedicación y su relación con patologías frecuentes, estilos de vida y diferencias por sexo en los estudiantes de Medicina de la Universidad de Guayaquil. Resulta imprescindible con</w:t>
      </w:r>
      <w:r w:rsidRPr="00F11595">
        <w:rPr>
          <w:smallCaps w:val="0"/>
          <w:szCs w:val="23"/>
          <w:lang w:val="es-EC"/>
          <w14:numForm w14:val="oldStyle"/>
        </w:rPr>
        <w:lastRenderedPageBreak/>
        <w:t xml:space="preserve">tar con herramientas de autoevaluación en alumnos de semestres avanzados, quienes poseen conocimientos previos sobre </w:t>
      </w:r>
      <w:r w:rsidRPr="00F11595">
        <w:rPr>
          <w:smallCaps w:val="0"/>
          <w:szCs w:val="23"/>
          <w:lang w:val="es-EC"/>
          <w14:numForm w14:val="oldStyle"/>
        </w:rPr>
        <w:t>farmacología,</w:t>
      </w:r>
      <w:r w:rsidRPr="00F11595">
        <w:rPr>
          <w:smallCaps w:val="0"/>
          <w:szCs w:val="23"/>
          <w:lang w:val="es-EC"/>
          <w14:numForm w14:val="oldStyle"/>
        </w:rPr>
        <w:t xml:space="preserve"> pero enfrentan altas cargas de estrés académico. Este estudio es viable e innovador al aportar información científica actualizada para identificar los factores determinantes del consumo no prescrito de fármacos, promoviendo el uso responsable de medicamentos y la formulación de estrategias preventivas en la educación médica</w:t>
      </w:r>
      <w:r>
        <w:rPr>
          <w:smallCaps w:val="0"/>
          <w:szCs w:val="23"/>
          <w:lang w:val="es-EC"/>
          <w14:numForm w14:val="oldStyle"/>
        </w:rPr>
        <w:t xml:space="preserve">. </w:t>
      </w:r>
    </w:p>
    <w:p w14:paraId="45D5152C" w14:textId="77777777" w:rsidR="00F11595" w:rsidRDefault="00F11595" w:rsidP="00CF0EE1">
      <w:pPr>
        <w:pStyle w:val="Ttulo2"/>
      </w:pPr>
      <w:r w:rsidRPr="00411E44">
        <w:t xml:space="preserve">1.2. </w:t>
      </w:r>
      <w:r>
        <w:t>marco teórico</w:t>
      </w:r>
    </w:p>
    <w:p w14:paraId="39A054FF" w14:textId="0009C658" w:rsidR="00F11595" w:rsidRDefault="00F11595" w:rsidP="00CF0EE1">
      <w:pPr>
        <w:pStyle w:val="Ttulo2"/>
      </w:pPr>
      <w:r w:rsidRPr="00411E44">
        <w:t>1.2.1</w:t>
      </w:r>
      <w:bookmarkStart w:id="1" w:name="_Hlk68449564"/>
      <w:r>
        <w:t xml:space="preserve">. </w:t>
      </w:r>
      <w:r w:rsidR="00CF0EE1" w:rsidRPr="00CF0EE1">
        <w:rPr>
          <w:rFonts w:eastAsia="SimSun" w:cstheme="majorBidi"/>
          <w:smallCaps w:val="0"/>
          <w:szCs w:val="32"/>
          <w:shd w:val="clear" w:color="auto" w:fill="FFFFFF"/>
          <w:lang w:val="es-EC"/>
        </w:rPr>
        <w:t>Automedicación</w:t>
      </w:r>
      <w:bookmarkEnd w:id="1"/>
    </w:p>
    <w:p w14:paraId="7A1E3098" w14:textId="39606EF0" w:rsidR="00CF0EE1" w:rsidRPr="00CF0EE1" w:rsidRDefault="00CF0EE1" w:rsidP="00CF0EE1">
      <w:pPr>
        <w:pStyle w:val="NormalWeb"/>
        <w:spacing w:line="276" w:lineRule="auto"/>
        <w:jc w:val="both"/>
        <w:rPr>
          <w:lang w:val="es-EC"/>
        </w:rPr>
      </w:pPr>
      <w:r w:rsidRPr="00CF0EE1">
        <w:rPr>
          <w:lang w:val="es-EC"/>
        </w:rPr>
        <w:t>La automedicación se define como la administración de fármacos o remedios caseros por iniciativa propia o recomendación de terceros, sin la correspondiente prescripción ni supervisión médica.</w:t>
      </w:r>
      <w:sdt>
        <w:sdtPr>
          <w:rPr>
            <w:lang w:val="es-EC"/>
          </w:rPr>
          <w:id w:val="-942910435"/>
          <w:citation/>
        </w:sdtPr>
        <w:sdtContent>
          <w:r w:rsidR="001551E7">
            <w:rPr>
              <w:lang w:val="es-EC"/>
            </w:rPr>
            <w:fldChar w:fldCharType="begin"/>
          </w:r>
          <w:r w:rsidR="001551E7">
            <w:rPr>
              <w:lang w:val="es-EC"/>
            </w:rPr>
            <w:instrText xml:space="preserve"> CITATION Beh20 \l 12298 </w:instrText>
          </w:r>
          <w:r w:rsidR="001551E7">
            <w:rPr>
              <w:lang w:val="es-EC"/>
            </w:rPr>
            <w:fldChar w:fldCharType="separate"/>
          </w:r>
          <w:r w:rsidR="001551E7">
            <w:rPr>
              <w:noProof/>
              <w:lang w:val="es-EC"/>
            </w:rPr>
            <w:t xml:space="preserve"> (Behzadifar, 2020)</w:t>
          </w:r>
          <w:r w:rsidR="001551E7">
            <w:rPr>
              <w:lang w:val="es-EC"/>
            </w:rPr>
            <w:fldChar w:fldCharType="end"/>
          </w:r>
        </w:sdtContent>
      </w:sdt>
      <w:r w:rsidRPr="00CF0EE1">
        <w:rPr>
          <w:lang w:val="es-EC"/>
        </w:rPr>
        <w:t xml:space="preserve"> Esta práctica constituye un problema global de salud pública debido a riesgos latentes como las reacciones adversas, las interacciones farmacológicas, el enmascaramiento de patologías graves y el aumento acelerado de la resistencia antimicrobiana. Según estimaciones de la Organización Mundial de la Salud (OMS), más del 50% de los medicamentos a nivel mundial se prescriben, dispensan o venden de forma inadecuada, y la mitad de los pacientes los consumen de manera incorrecta o sin supervisión.</w:t>
      </w:r>
      <w:sdt>
        <w:sdtPr>
          <w:rPr>
            <w:lang w:val="es-EC"/>
          </w:rPr>
          <w:id w:val="1694489336"/>
          <w:citation/>
        </w:sdtPr>
        <w:sdtContent>
          <w:r w:rsidR="00B148C6">
            <w:rPr>
              <w:lang w:val="es-EC"/>
            </w:rPr>
            <w:fldChar w:fldCharType="begin"/>
          </w:r>
          <w:r w:rsidR="00B148C6">
            <w:rPr>
              <w:lang w:val="es-EC"/>
            </w:rPr>
            <w:instrText xml:space="preserve">CITATION Org22 \l 12298 </w:instrText>
          </w:r>
          <w:r w:rsidR="00B148C6">
            <w:rPr>
              <w:lang w:val="es-EC"/>
            </w:rPr>
            <w:fldChar w:fldCharType="separate"/>
          </w:r>
          <w:r w:rsidR="00B148C6">
            <w:rPr>
              <w:noProof/>
              <w:lang w:val="es-EC"/>
            </w:rPr>
            <w:t xml:space="preserve"> (Organizacion Mundial de la Salud, 2022)</w:t>
          </w:r>
          <w:r w:rsidR="00B148C6">
            <w:rPr>
              <w:lang w:val="es-EC"/>
            </w:rPr>
            <w:fldChar w:fldCharType="end"/>
          </w:r>
        </w:sdtContent>
      </w:sdt>
      <w:r w:rsidRPr="00CF0EE1">
        <w:rPr>
          <w:lang w:val="es-EC"/>
        </w:rPr>
        <w:t xml:space="preserve"> </w:t>
      </w:r>
    </w:p>
    <w:p w14:paraId="733B1EB1" w14:textId="77777777" w:rsidR="00CF0EE1" w:rsidRPr="00CF0EE1" w:rsidRDefault="00CF0EE1" w:rsidP="00CF0EE1">
      <w:pPr>
        <w:pStyle w:val="NormalWeb"/>
        <w:spacing w:line="276" w:lineRule="auto"/>
        <w:jc w:val="both"/>
        <w:rPr>
          <w:lang w:val="es-EC"/>
        </w:rPr>
      </w:pPr>
      <w:r w:rsidRPr="00CF0EE1">
        <w:rPr>
          <w:lang w:val="es-EC"/>
        </w:rPr>
        <w:t xml:space="preserve">En la población universitaria, particularmente en el área de ciencias de la salud, la automedicación alcanza prevalencias elevadas que oscilan entre el 50% y más del 90% en estudios internacionales y latinoamericanos. En el caso particular de los estudiantes de medicina, el aprendizaje progresivo de asignaturas como farmacología, patología y terapéutica genera una percepción elevada de autoeficacia y competencia técnica para autodiagnosticarse y autoprescribirse. Fármacos como analgésicos, antiinflamatorios no esteroideos (AINEs), antihistamínicos, descongestionantes y antibióticos son consumidos </w:t>
      </w:r>
      <w:r w:rsidRPr="00CF0EE1">
        <w:rPr>
          <w:lang w:val="es-EC"/>
        </w:rPr>
        <w:lastRenderedPageBreak/>
        <w:t xml:space="preserve">con frecuencia ante cuadros clínicos recurrentes como cefaleas, sintomatología respiratoria superior y dolores musculares. </w:t>
      </w:r>
    </w:p>
    <w:p w14:paraId="15ECE8C6" w14:textId="7053C728" w:rsidR="00CF0EE1" w:rsidRDefault="00CF0EE1" w:rsidP="00CF0EE1">
      <w:pPr>
        <w:pStyle w:val="NormalWeb"/>
        <w:spacing w:line="276" w:lineRule="auto"/>
        <w:jc w:val="both"/>
        <w:rPr>
          <w:lang w:val="es-EC"/>
        </w:rPr>
      </w:pPr>
      <w:r w:rsidRPr="00CF0EE1">
        <w:rPr>
          <w:lang w:val="es-EC"/>
        </w:rPr>
        <w:t xml:space="preserve">Desde el enfoque determinante de la salud y la teoría de la conducta planeada, este fenómeno no se limita al conocimiento académico, sino que se encuentra modulado por el entorno psicosocial y el estilo de vida del estudiante. La exigencia del currículo médico expone a los alumnos a cargas severas de estrés académico, privación de sueño y sedentarismo. Estos factores se vinculan estrechamente con la adopción de hábitos no saludables —como dietas desequilibradas y consumo de alcohol o tabaco—, los cuales incentivan la automedicación como un recurso inmediato para afrontar la fatiga y el malestar sin interrumpir el ritmo universitario. </w:t>
      </w:r>
      <w:sdt>
        <w:sdtPr>
          <w:rPr>
            <w:lang w:val="es-EC"/>
          </w:rPr>
          <w:id w:val="-1780398624"/>
          <w:citation/>
        </w:sdtPr>
        <w:sdtContent>
          <w:r w:rsidR="001551E7">
            <w:rPr>
              <w:lang w:val="es-EC"/>
            </w:rPr>
            <w:fldChar w:fldCharType="begin"/>
          </w:r>
          <w:r w:rsidR="001551E7">
            <w:rPr>
              <w:lang w:val="es-EC"/>
            </w:rPr>
            <w:instrText xml:space="preserve"> CITATION Bar21 \l 12298 </w:instrText>
          </w:r>
          <w:r w:rsidR="001551E7">
            <w:rPr>
              <w:lang w:val="es-EC"/>
            </w:rPr>
            <w:fldChar w:fldCharType="separate"/>
          </w:r>
          <w:r w:rsidR="001551E7">
            <w:rPr>
              <w:noProof/>
              <w:lang w:val="es-EC"/>
            </w:rPr>
            <w:t>(Barros-Sevillano, 2021)</w:t>
          </w:r>
          <w:r w:rsidR="001551E7">
            <w:rPr>
              <w:lang w:val="es-EC"/>
            </w:rPr>
            <w:fldChar w:fldCharType="end"/>
          </w:r>
        </w:sdtContent>
      </w:sdt>
    </w:p>
    <w:p w14:paraId="7725CB46" w14:textId="16154030" w:rsidR="00CF0EE1" w:rsidRPr="00411E44" w:rsidRDefault="00CF0EE1" w:rsidP="00CF0EE1">
      <w:pPr>
        <w:pStyle w:val="Ttulo4"/>
      </w:pPr>
      <w:r w:rsidRPr="00411E44">
        <w:rPr>
          <w:smallCaps/>
          <w:szCs w:val="26"/>
        </w:rPr>
        <w:t>1.</w:t>
      </w:r>
      <w:r w:rsidRPr="00411E44">
        <w:t>2.</w:t>
      </w:r>
      <w:r>
        <w:t>1</w:t>
      </w:r>
      <w:r w:rsidRPr="00411E44">
        <w:t>.1.</w:t>
      </w:r>
      <w:r>
        <w:t xml:space="preserve"> </w:t>
      </w:r>
      <w:r>
        <w:t>M</w:t>
      </w:r>
      <w:r w:rsidRPr="00CF0EE1">
        <w:t>edicalización de la existencia</w:t>
      </w:r>
    </w:p>
    <w:p w14:paraId="458F978F" w14:textId="06F4EDF2" w:rsidR="00CF0EE1" w:rsidRPr="00CF0EE1" w:rsidRDefault="00CF0EE1" w:rsidP="00CF0EE1">
      <w:pPr>
        <w:pStyle w:val="NormalWeb"/>
        <w:spacing w:line="276" w:lineRule="auto"/>
        <w:jc w:val="both"/>
        <w:rPr>
          <w:lang w:val="es-EC"/>
        </w:rPr>
      </w:pPr>
      <w:r w:rsidRPr="00CF0EE1">
        <w:rPr>
          <w:lang w:val="es-EC"/>
        </w:rPr>
        <w:t xml:space="preserve">Para comprender la automedicación en estudiantes de ciencias de la salud, se debe abordar el fenómeno de la </w:t>
      </w:r>
      <w:r w:rsidRPr="00CF0EE1">
        <w:rPr>
          <w:i/>
          <w:iCs/>
          <w:lang w:val="es-EC"/>
        </w:rPr>
        <w:t>medicalización de la existencia</w:t>
      </w:r>
      <w:r w:rsidRPr="00CF0EE1">
        <w:rPr>
          <w:lang w:val="es-EC"/>
        </w:rPr>
        <w:t xml:space="preserve">, descrito como la tendencia de las sociedades modernas a resolver de manera inmediata cualquier síntoma o malestar físico mediante un comprimido o producto farmacéutico. En este contexto, el autoconsumo se integra al concepto de </w:t>
      </w:r>
      <w:r w:rsidRPr="00CF0EE1">
        <w:rPr>
          <w:i/>
          <w:iCs/>
          <w:lang w:val="es-EC"/>
        </w:rPr>
        <w:t>autoatención</w:t>
      </w:r>
      <w:r w:rsidRPr="00CF0EE1">
        <w:rPr>
          <w:lang w:val="es-EC"/>
        </w:rPr>
        <w:t xml:space="preserve">, entendido como las prácticas orientadas a solucionar padecimientos temporales sin recurrir al sistema formal de salud. En los estudiantes de Medicina, la adquisición progresiva de vocabulario técnico, sumada a la familiaridad con nombres comerciales, dosis y mecanismos de acción, induce un sesgo de autoeficacia que minimiza la percepción del riesgo frente al uso no supervisado de medicamentos de venta libre y de prescripción estricta. </w:t>
      </w:r>
      <w:sdt>
        <w:sdtPr>
          <w:rPr>
            <w:lang w:val="es-EC"/>
          </w:rPr>
          <w:id w:val="755400010"/>
          <w:citation/>
        </w:sdtPr>
        <w:sdtContent>
          <w:r w:rsidR="00B148C6">
            <w:rPr>
              <w:lang w:val="es-EC"/>
            </w:rPr>
            <w:fldChar w:fldCharType="begin"/>
          </w:r>
          <w:r w:rsidR="00B148C6">
            <w:rPr>
              <w:lang w:val="es-EC"/>
            </w:rPr>
            <w:instrText xml:space="preserve"> CITATION Mat \l 12298 </w:instrText>
          </w:r>
          <w:r w:rsidR="00B148C6">
            <w:rPr>
              <w:lang w:val="es-EC"/>
            </w:rPr>
            <w:fldChar w:fldCharType="separate"/>
          </w:r>
          <w:r w:rsidR="00B148C6">
            <w:rPr>
              <w:noProof/>
              <w:lang w:val="es-EC"/>
            </w:rPr>
            <w:t>(Mathias, 2020)</w:t>
          </w:r>
          <w:r w:rsidR="00B148C6">
            <w:rPr>
              <w:lang w:val="es-EC"/>
            </w:rPr>
            <w:fldChar w:fldCharType="end"/>
          </w:r>
        </w:sdtContent>
      </w:sdt>
    </w:p>
    <w:p w14:paraId="30B61C32" w14:textId="35488AEB" w:rsidR="00CF0EE1" w:rsidRPr="00CF0EE1" w:rsidRDefault="00CF0EE1" w:rsidP="00CF0EE1">
      <w:pPr>
        <w:pStyle w:val="NormalWeb"/>
        <w:spacing w:line="276" w:lineRule="auto"/>
        <w:jc w:val="both"/>
        <w:rPr>
          <w:lang w:val="es-EC"/>
        </w:rPr>
      </w:pPr>
      <w:r w:rsidRPr="00CF0EE1">
        <w:rPr>
          <w:lang w:val="es-EC"/>
        </w:rPr>
        <w:t>Asimismo, las bases farmacoepidemiológicas señalan que el consumo de medicamentos se categoriza a través de los Estudios de Utilización de Medicamentos (EUM), cuyo fin es caracterizar los patrones de consumo y prevenir los Riesgos Asociados a la Automedica</w:t>
      </w:r>
      <w:r w:rsidRPr="00CF0EE1">
        <w:rPr>
          <w:lang w:val="es-EC"/>
        </w:rPr>
        <w:lastRenderedPageBreak/>
        <w:t xml:space="preserve">ción. </w:t>
      </w:r>
      <w:sdt>
        <w:sdtPr>
          <w:rPr>
            <w:lang w:val="es-EC"/>
          </w:rPr>
          <w:id w:val="-1597327021"/>
          <w:citation/>
        </w:sdtPr>
        <w:sdtContent>
          <w:r w:rsidR="003C1FC3">
            <w:rPr>
              <w:lang w:val="es-EC"/>
            </w:rPr>
            <w:fldChar w:fldCharType="begin"/>
          </w:r>
          <w:r w:rsidR="003C1FC3">
            <w:rPr>
              <w:lang w:val="es-EC"/>
            </w:rPr>
            <w:instrText xml:space="preserve"> CITATION Suq20 \l 12298 </w:instrText>
          </w:r>
          <w:r w:rsidR="003C1FC3">
            <w:rPr>
              <w:lang w:val="es-EC"/>
            </w:rPr>
            <w:fldChar w:fldCharType="separate"/>
          </w:r>
          <w:r w:rsidR="003C1FC3">
            <w:rPr>
              <w:noProof/>
              <w:lang w:val="es-EC"/>
            </w:rPr>
            <w:t>(Suqui, 2020)</w:t>
          </w:r>
          <w:r w:rsidR="003C1FC3">
            <w:rPr>
              <w:lang w:val="es-EC"/>
            </w:rPr>
            <w:fldChar w:fldCharType="end"/>
          </w:r>
        </w:sdtContent>
      </w:sdt>
      <w:r w:rsidRPr="00CF0EE1">
        <w:rPr>
          <w:lang w:val="es-EC"/>
        </w:rPr>
        <w:t xml:space="preserve">Entre las consecuencias farmacológicas más complejas destacan las interacciones farmacocinéticas (alteraciones en absorción o metabolización hepática) y farmacodinámicas (efectos aditivos o antagónicos). Por ejemplo, el uso recurrente de AINEs en combinación con malos hábitos alimentarios o consumo de alcohol eleva el riesgo de gastroenteropatías e irritación de la mucosa gástrica, mientras que la administración indiscriminada de antibióticos acelera la aparición de cepas bacterianas resistentes. </w:t>
      </w:r>
      <w:sdt>
        <w:sdtPr>
          <w:rPr>
            <w:lang w:val="es-EC"/>
          </w:rPr>
          <w:id w:val="173000104"/>
          <w:citation/>
        </w:sdtPr>
        <w:sdtContent>
          <w:r w:rsidR="001551E7">
            <w:rPr>
              <w:lang w:val="es-EC"/>
            </w:rPr>
            <w:fldChar w:fldCharType="begin"/>
          </w:r>
          <w:r w:rsidR="001551E7">
            <w:rPr>
              <w:lang w:val="es-EC"/>
            </w:rPr>
            <w:instrText xml:space="preserve"> CITATION Als21 \l 12298 </w:instrText>
          </w:r>
          <w:r w:rsidR="001551E7">
            <w:rPr>
              <w:lang w:val="es-EC"/>
            </w:rPr>
            <w:fldChar w:fldCharType="separate"/>
          </w:r>
          <w:r w:rsidR="001551E7">
            <w:rPr>
              <w:noProof/>
              <w:lang w:val="es-EC"/>
            </w:rPr>
            <w:t>(Alsous, 2021)</w:t>
          </w:r>
          <w:r w:rsidR="001551E7">
            <w:rPr>
              <w:lang w:val="es-EC"/>
            </w:rPr>
            <w:fldChar w:fldCharType="end"/>
          </w:r>
        </w:sdtContent>
      </w:sdt>
    </w:p>
    <w:p w14:paraId="55647C6F" w14:textId="0DB3451E" w:rsidR="00CF0EE1" w:rsidRPr="00CF0EE1" w:rsidRDefault="00CF0EE1" w:rsidP="00CF0EE1">
      <w:pPr>
        <w:pStyle w:val="NormalWeb"/>
        <w:spacing w:line="276" w:lineRule="auto"/>
        <w:jc w:val="both"/>
        <w:rPr>
          <w:lang w:val="es-EC"/>
        </w:rPr>
      </w:pPr>
      <w:r w:rsidRPr="00CF0EE1">
        <w:rPr>
          <w:lang w:val="es-EC"/>
        </w:rPr>
        <w:t xml:space="preserve">Por último, el marco conceptual articula los </w:t>
      </w:r>
      <w:r w:rsidRPr="00CF0EE1">
        <w:rPr>
          <w:i/>
          <w:iCs/>
          <w:lang w:val="es-EC"/>
        </w:rPr>
        <w:t>Estudios de Estilo de Vida</w:t>
      </w:r>
      <w:r w:rsidRPr="00CF0EE1">
        <w:rPr>
          <w:lang w:val="es-EC"/>
        </w:rPr>
        <w:t xml:space="preserve"> con la conducta farmacológica. La OMS define siete dimensiones del estilo de vida saludable, que incluyen el equilibrio emocional, la alimentación balanceada, la actividad física y la evitación de sustancias tóxicas. </w:t>
      </w:r>
      <w:sdt>
        <w:sdtPr>
          <w:rPr>
            <w:lang w:val="es-EC"/>
          </w:rPr>
          <w:id w:val="-2109797189"/>
          <w:citation/>
        </w:sdtPr>
        <w:sdtContent>
          <w:r w:rsidR="003C1FC3">
            <w:rPr>
              <w:lang w:val="es-EC"/>
            </w:rPr>
            <w:fldChar w:fldCharType="begin"/>
          </w:r>
          <w:r w:rsidR="003C1FC3">
            <w:rPr>
              <w:lang w:val="es-EC"/>
            </w:rPr>
            <w:instrText xml:space="preserve"> CITATION Org22 \l 12298 </w:instrText>
          </w:r>
          <w:r w:rsidR="003C1FC3">
            <w:rPr>
              <w:lang w:val="es-EC"/>
            </w:rPr>
            <w:fldChar w:fldCharType="separate"/>
          </w:r>
          <w:r w:rsidR="003C1FC3">
            <w:rPr>
              <w:noProof/>
              <w:lang w:val="es-EC"/>
            </w:rPr>
            <w:t>(Organizacion Mundial de la Salud, 2022)</w:t>
          </w:r>
          <w:r w:rsidR="003C1FC3">
            <w:rPr>
              <w:lang w:val="es-EC"/>
            </w:rPr>
            <w:fldChar w:fldCharType="end"/>
          </w:r>
        </w:sdtContent>
      </w:sdt>
      <w:r w:rsidRPr="00CF0EE1">
        <w:rPr>
          <w:lang w:val="es-EC"/>
        </w:rPr>
        <w:t>La alteración de estas dimensiones por el estrés académico desencadena cuadros somáticos (cefalea tensionada, dispepsia, insomnio), llevando al estudiante a utilizar fármacos como estrategia de afrontamiento para sostener la concentración y el rendimiento, consolidando un círculo de dependencia física o psíquica</w:t>
      </w:r>
      <w:r w:rsidR="00B148C6">
        <w:rPr>
          <w:lang w:val="es-EC"/>
        </w:rPr>
        <w:t>.</w:t>
      </w:r>
      <w:sdt>
        <w:sdtPr>
          <w:rPr>
            <w:lang w:val="es-EC"/>
          </w:rPr>
          <w:id w:val="-423578849"/>
          <w:citation/>
        </w:sdtPr>
        <w:sdtContent>
          <w:r w:rsidR="00B148C6">
            <w:rPr>
              <w:lang w:val="es-EC"/>
            </w:rPr>
            <w:fldChar w:fldCharType="begin"/>
          </w:r>
          <w:r w:rsidR="00B148C6">
            <w:rPr>
              <w:lang w:val="es-EC"/>
            </w:rPr>
            <w:instrText xml:space="preserve"> CITATION Jem19 \l 12298 </w:instrText>
          </w:r>
          <w:r w:rsidR="00B148C6">
            <w:rPr>
              <w:lang w:val="es-EC"/>
            </w:rPr>
            <w:fldChar w:fldCharType="separate"/>
          </w:r>
          <w:r w:rsidR="00B148C6">
            <w:rPr>
              <w:noProof/>
              <w:lang w:val="es-EC"/>
            </w:rPr>
            <w:t xml:space="preserve"> (Jember, 2019)</w:t>
          </w:r>
          <w:r w:rsidR="00B148C6">
            <w:rPr>
              <w:lang w:val="es-EC"/>
            </w:rPr>
            <w:fldChar w:fldCharType="end"/>
          </w:r>
        </w:sdtContent>
      </w:sdt>
    </w:p>
    <w:p w14:paraId="5D8DC444" w14:textId="711432B5" w:rsidR="00607EE3" w:rsidRPr="00CF0EE1" w:rsidRDefault="00607EE3" w:rsidP="00F11595">
      <w:pPr>
        <w:pStyle w:val="Ttulo2"/>
      </w:pPr>
      <w:r w:rsidRPr="00CF0EE1">
        <w:t>2. Objetivos</w:t>
      </w:r>
    </w:p>
    <w:p w14:paraId="7A6DDB25" w14:textId="76B78823" w:rsidR="00607EE3" w:rsidRPr="00CF0EE1" w:rsidRDefault="00607EE3" w:rsidP="00607EE3">
      <w:pPr>
        <w:pStyle w:val="Ttulo2"/>
        <w:rPr>
          <w:color w:val="000000" w:themeColor="text1"/>
        </w:rPr>
      </w:pPr>
      <w:r w:rsidRPr="00CF0EE1">
        <w:t xml:space="preserve">2.1. </w:t>
      </w:r>
      <w:r w:rsidR="006D31C5" w:rsidRPr="00CF0EE1">
        <w:rPr>
          <w:color w:val="000000" w:themeColor="text1"/>
        </w:rPr>
        <w:t>Objetivo General</w:t>
      </w:r>
    </w:p>
    <w:p w14:paraId="281F5386" w14:textId="58DA7FD4" w:rsidR="00607EE3" w:rsidRDefault="006D31C5" w:rsidP="00CF0EE1">
      <w:pPr>
        <w:pStyle w:val="Listado"/>
        <w:numPr>
          <w:ilvl w:val="0"/>
          <w:numId w:val="0"/>
        </w:numPr>
      </w:pPr>
      <w:r w:rsidRPr="006D31C5">
        <w:t xml:space="preserve">Determinar la asociación entre los hábitos y estilos de vida y la automedicación entre los estudiantes de la Carrera de Medicina de la Universidad de Guayaquil </w:t>
      </w:r>
    </w:p>
    <w:p w14:paraId="54B3FF41" w14:textId="1189A85F" w:rsidR="00607EE3" w:rsidRPr="006D31C5" w:rsidRDefault="00607EE3" w:rsidP="00182667">
      <w:pPr>
        <w:pStyle w:val="Ttulo2"/>
        <w:rPr>
          <w:color w:val="000000" w:themeColor="text1"/>
        </w:rPr>
      </w:pPr>
      <w:r>
        <w:t xml:space="preserve">2.2. </w:t>
      </w:r>
      <w:r w:rsidR="006D31C5" w:rsidRPr="006D31C5">
        <w:rPr>
          <w:color w:val="000000" w:themeColor="text1"/>
        </w:rPr>
        <w:t xml:space="preserve">Objetivos Específicos </w:t>
      </w:r>
    </w:p>
    <w:p w14:paraId="420F0772" w14:textId="409E40D8" w:rsidR="006D31C5" w:rsidRPr="006D31C5" w:rsidRDefault="006D31C5" w:rsidP="006D31C5">
      <w:pPr>
        <w:pStyle w:val="Listadoajustado"/>
      </w:pPr>
      <w:r w:rsidRPr="006D31C5">
        <w:t>Explorar las características sociodemográficas, hábitos y estilos de vida que conllevan a la automedicación entre los estudiantes de medicina.</w:t>
      </w:r>
    </w:p>
    <w:p w14:paraId="5554580B" w14:textId="7B950CD7" w:rsidR="00607EE3" w:rsidRPr="00C302E3" w:rsidRDefault="006D31C5" w:rsidP="006D31C5">
      <w:pPr>
        <w:pStyle w:val="Listadoajustado"/>
      </w:pPr>
      <w:r w:rsidRPr="006D31C5">
        <w:t xml:space="preserve">Determinar la diferencia por sexo de los factores sociales, clínicos y estilos de vida relacionados con la automedicación </w:t>
      </w:r>
    </w:p>
    <w:p w14:paraId="74C70418" w14:textId="5B724470" w:rsidR="006D31C5" w:rsidRPr="006D31C5" w:rsidRDefault="006D31C5" w:rsidP="006D31C5">
      <w:pPr>
        <w:pStyle w:val="Listadoajustado"/>
      </w:pPr>
      <w:r w:rsidRPr="006D31C5">
        <w:lastRenderedPageBreak/>
        <w:t>Establecer la relación de prevalencia entre los factores sociales, hábitos y estilos de vida asociados a la automedicación entre los estudiantes del nivel clínico superior (sexto a décimo semestre e internado).</w:t>
      </w:r>
    </w:p>
    <w:p w14:paraId="2708A763" w14:textId="3834E70F" w:rsidR="005A43E3" w:rsidRDefault="005A43E3" w:rsidP="005A43E3">
      <w:pPr>
        <w:pStyle w:val="Ttulo1"/>
      </w:pPr>
      <w:r>
        <w:t>3. Metodología</w:t>
      </w:r>
    </w:p>
    <w:p w14:paraId="3516AB4C" w14:textId="77777777" w:rsidR="00CF0EE1" w:rsidRPr="002D7A71" w:rsidRDefault="00CF0EE1" w:rsidP="00CF0EE1">
      <w:pPr>
        <w:pStyle w:val="Ttulo2"/>
      </w:pPr>
      <w:r>
        <w:t>3</w:t>
      </w:r>
      <w:r w:rsidRPr="002D7A71">
        <w:t xml:space="preserve">.1. </w:t>
      </w:r>
      <w:r>
        <w:t>tipo y enfoque de investigación</w:t>
      </w:r>
    </w:p>
    <w:p w14:paraId="66CF75C1" w14:textId="3C7567B6" w:rsidR="00587476" w:rsidRDefault="000D1613" w:rsidP="006D31C5">
      <w:r w:rsidRPr="000D1613">
        <w:t>La</w:t>
      </w:r>
      <w:r>
        <w:t xml:space="preserve"> presente</w:t>
      </w:r>
      <w:r w:rsidRPr="000D1613">
        <w:t xml:space="preserve"> investigación posee un enfoque </w:t>
      </w:r>
      <w:r>
        <w:t xml:space="preserve">de tipo </w:t>
      </w:r>
      <w:r w:rsidRPr="000D1613">
        <w:t xml:space="preserve">aplicado, </w:t>
      </w:r>
      <w:r>
        <w:t>ya que analiza un pro</w:t>
      </w:r>
      <w:r w:rsidRPr="000D1613">
        <w:t xml:space="preserve">blema concreto de </w:t>
      </w:r>
      <w:r>
        <w:t xml:space="preserve">la automedicación en estudiantes de la Carrea de Medicina de la Universidad de Guayaquil, siendo la </w:t>
      </w:r>
      <w:r w:rsidR="00587476">
        <w:t xml:space="preserve">gestión de comunicación en </w:t>
      </w:r>
      <w:r>
        <w:t>correo institucional y redes sociales.</w:t>
      </w:r>
      <w:r w:rsidR="00587476">
        <w:t xml:space="preserve"> </w:t>
      </w:r>
      <w:r w:rsidR="006D31C5" w:rsidRPr="006D31C5">
        <w:t xml:space="preserve">Se diseñó un estudio con enfoque cuantitativo, de corte transversal, descriptivo e inferencial. </w:t>
      </w:r>
    </w:p>
    <w:p w14:paraId="5B472025" w14:textId="6EE69E40" w:rsidR="00587476" w:rsidRDefault="00587476" w:rsidP="00587476">
      <w:pPr>
        <w:pStyle w:val="Ttulo2"/>
      </w:pPr>
      <w:r>
        <w:t>3</w:t>
      </w:r>
      <w:r w:rsidRPr="002D7A71">
        <w:t>.</w:t>
      </w:r>
      <w:r>
        <w:t>2</w:t>
      </w:r>
      <w:r w:rsidRPr="002D7A71">
        <w:t xml:space="preserve">. </w:t>
      </w:r>
      <w:r>
        <w:t>3</w:t>
      </w:r>
      <w:r w:rsidRPr="002D7A71">
        <w:t>.</w:t>
      </w:r>
      <w:r>
        <w:t>2</w:t>
      </w:r>
      <w:r w:rsidRPr="002D7A71">
        <w:t xml:space="preserve">. </w:t>
      </w:r>
      <w:r>
        <w:t>unidad de análisis y muestra</w:t>
      </w:r>
    </w:p>
    <w:p w14:paraId="6A68518A" w14:textId="77777777" w:rsidR="00F76A57" w:rsidRDefault="00587476" w:rsidP="006D31C5">
      <w:r w:rsidRPr="00587476">
        <w:t xml:space="preserve">La unidad de análisis se conformó </w:t>
      </w:r>
      <w:r w:rsidR="006D31C5" w:rsidRPr="006D31C5">
        <w:t xml:space="preserve">por los estudiantes matriculados en la Carrera de Medicina de la Universidad de Guayaquil. La muestra final quedó constituida por 490 participantes seleccionados mediante muestreo no probabilístico por conveniencia entre los alumnos del sexto al décimo semestre y del Internado Rotativo de Medicina (IRM). </w:t>
      </w:r>
    </w:p>
    <w:p w14:paraId="527D545E" w14:textId="3845D77B" w:rsidR="006D31C5" w:rsidRDefault="006D31C5" w:rsidP="006D31C5">
      <w:r w:rsidRPr="006D31C5">
        <w:t>De la muestra total recopilada, se identificó un subgrupo de 359 estudian</w:t>
      </w:r>
      <w:r>
        <w:t xml:space="preserve">tes que declararon practicar la </w:t>
      </w:r>
      <w:r>
        <w:t>automedicación, el cual fue analizado exhaustivamente en sus características clínicas y de consumo.</w:t>
      </w:r>
    </w:p>
    <w:p w14:paraId="6547FA4E" w14:textId="77777777" w:rsidR="00587476" w:rsidRPr="002D7A71" w:rsidRDefault="00587476" w:rsidP="00587476">
      <w:pPr>
        <w:pStyle w:val="Ttulo2"/>
      </w:pPr>
      <w:r>
        <w:t>3</w:t>
      </w:r>
      <w:r w:rsidRPr="002D7A71">
        <w:t>.</w:t>
      </w:r>
      <w:r>
        <w:t>3</w:t>
      </w:r>
      <w:r w:rsidRPr="002D7A71">
        <w:t xml:space="preserve">. </w:t>
      </w:r>
      <w:r>
        <w:t>técnicas e instrumentos de recolección de datos</w:t>
      </w:r>
    </w:p>
    <w:p w14:paraId="703B5953" w14:textId="77777777" w:rsidR="00F76A57" w:rsidRDefault="006D31C5" w:rsidP="006D31C5">
      <w:r>
        <w:t xml:space="preserve">La recolección de los datos primarios se llevó a cabo durante el periodo comprendido entre enero y mayo de 2021 mediante un cuestionario digital </w:t>
      </w:r>
      <w:r w:rsidR="00587476">
        <w:t>autoadministrado</w:t>
      </w:r>
      <w:r>
        <w:t xml:space="preserve"> en la plataforma Google Forms</w:t>
      </w:r>
      <w:r w:rsidR="00F76A57">
        <w:t xml:space="preserve">. </w:t>
      </w:r>
    </w:p>
    <w:p w14:paraId="54F5678F" w14:textId="338752DE" w:rsidR="00F76A57" w:rsidRDefault="006D31C5" w:rsidP="006D31C5">
      <w:r>
        <w:t>El instrumento constó de 23 ítems validados previamente en estudios internacionales de la disciplina, evaluando variables sociodemográficas (edad, sexo, etnia, semestre), hábitos y estilos de vida (consumo de al</w:t>
      </w:r>
      <w:r>
        <w:lastRenderedPageBreak/>
        <w:t>cohol y tabaco, actividad física, alimentación) y conductas de automedicación (fármacos empleados, razones, autonomía en la decisión y presencia de efectos colaterales).</w:t>
      </w:r>
    </w:p>
    <w:p w14:paraId="686E0109" w14:textId="75FCFD08" w:rsidR="00F76A57" w:rsidRDefault="00587476" w:rsidP="00F76A57">
      <w:pPr>
        <w:pStyle w:val="Ttulo2"/>
      </w:pPr>
      <w:r>
        <w:t>3</w:t>
      </w:r>
      <w:r w:rsidRPr="002D7A71">
        <w:t>.</w:t>
      </w:r>
      <w:r>
        <w:t>4</w:t>
      </w:r>
      <w:r w:rsidRPr="002D7A71">
        <w:t xml:space="preserve">. </w:t>
      </w:r>
      <w:r>
        <w:t>método de análisis de datos</w:t>
      </w:r>
    </w:p>
    <w:p w14:paraId="75E28D5D" w14:textId="380A58C0" w:rsidR="00F76A57" w:rsidRPr="00F76A57" w:rsidRDefault="00F76A57" w:rsidP="00F76A57">
      <w:pPr>
        <w:pStyle w:val="Ttulo1"/>
        <w:jc w:val="both"/>
      </w:pPr>
      <w:r>
        <w:rPr>
          <w:caps w:val="0"/>
        </w:rPr>
        <w:t>P</w:t>
      </w:r>
      <w:r w:rsidRPr="00F76A57">
        <w:rPr>
          <w:caps w:val="0"/>
        </w:rPr>
        <w:t>ara el procesamiento estadístico se empleó el programa Stata mp14/mp12.1. en el análisis descriptivo, las variables numéricas se expresaron mediante medias y desviaciones estándar (m ± de), mientras que las variables categóricas se presentaron en frecuencias absolutas y porcentajes. en el análisis inferencial, la asociación entre variables categóricas se evaluó mediante la prueba chi-cuadrado (χ²). asimismo, se implementó un modelo lineal generalizado con regresión de Poisson para calcular las razones de prevalencia e identificar los factores predictores independientes de la automedicación según el sexo, fijando el nivel de significación estadística en p &lt; 0,05 con un intervalo de confianza del 95%. el protocolo garantizó los principios éticos de la declaración de Helsinki y contó con el consentimiento informado de todos los participantes.</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3BAAECC9" w14:textId="6777DC1C" w:rsidR="0051373C" w:rsidRDefault="00F76A57" w:rsidP="0051373C">
      <w:pPr>
        <w:rPr>
          <w:lang w:val="es-EC"/>
        </w:rPr>
      </w:pPr>
      <w:r>
        <w:t xml:space="preserve">Los resultados </w:t>
      </w:r>
      <w:r>
        <w:t>estuvieron</w:t>
      </w:r>
      <w:r>
        <w:t xml:space="preserve"> </w:t>
      </w:r>
      <w:r>
        <w:t>constituidos</w:t>
      </w:r>
      <w:r>
        <w:t xml:space="preserve"> según los objetivos de la investigación</w:t>
      </w:r>
      <w:r>
        <w:rPr>
          <w:lang w:val="es-EC"/>
        </w:rPr>
        <w:t xml:space="preserve"> d</w:t>
      </w:r>
      <w:r w:rsidR="0051373C" w:rsidRPr="006D31C5">
        <w:rPr>
          <w:lang w:val="es-EC"/>
        </w:rPr>
        <w:t>e los 490 estudiantes evaluados, el 54,3% pertenecía al sexo femenino y el 45,7% al masculino, con una media de edad general de 24,1 ± 1,5 años. El grupo etario predominante fue el de 20 a 24 años (61,6%), la etnia mestiza representó el 92,5% de la muestra y el 72,0% de los participantes se encontraba cursando entre el sexto y séptimo semestre (p &lt; 0,01).</w:t>
      </w:r>
    </w:p>
    <w:p w14:paraId="274AAEDE" w14:textId="77777777" w:rsidR="0051373C" w:rsidRPr="006D31C5" w:rsidRDefault="0051373C" w:rsidP="0051373C">
      <w:pPr>
        <w:rPr>
          <w:lang w:val="es-EC"/>
        </w:rPr>
      </w:pPr>
      <w:r w:rsidRPr="006D31C5">
        <w:rPr>
          <w:lang w:val="es-EC"/>
        </w:rPr>
        <w:t>En relación con la prevalencia global del consumo sin receta, el 73,3% (n = 359) de los estudiantes afirmó automedicarse ante un problema de salud, frente a un 26,7% (n = 131) que no lo hacía, constituyendo una diferencia estadísticamente significativa (p &lt; 0,01).</w:t>
      </w:r>
    </w:p>
    <w:p w14:paraId="772337F0" w14:textId="5AE9AA95" w:rsidR="0051373C" w:rsidRDefault="0051373C" w:rsidP="0051373C">
      <w:pPr>
        <w:rPr>
          <w:lang w:val="es-EC"/>
        </w:rPr>
      </w:pPr>
      <w:r w:rsidRPr="006D31C5">
        <w:rPr>
          <w:lang w:val="es-EC"/>
        </w:rPr>
        <w:lastRenderedPageBreak/>
        <w:t>Entre los hábitos de estilo de vida, el consumo activo de cigarrillo fue bajo (5,5%), mientras que el 72,2% no consumía bebidas alcohólicas y un 20,4% reportó un consumo ocasional de 1 vez por semana. Respecto a la actividad física, el 81,4% indicó realizar algún grado de ejercicio, concentrándose la mayor proporción (46,3%) en una frecuencia leve/moderada de 15 a 60 minutos semanales. En el ámbito nutricional, la ingesta de comida rápida 1 a 2 veces por semana alcanzó al 66,9% de los alumnos, y el consumo de alimentos fritos de 2 a 3 veces semanales se observó en el 58,4% de los participantes.</w:t>
      </w:r>
    </w:p>
    <w:p w14:paraId="6B6BBA12" w14:textId="77777777" w:rsidR="00F76A57" w:rsidRPr="00F76A57" w:rsidRDefault="00F76A57" w:rsidP="00F76A57">
      <w:pPr>
        <w:pStyle w:val="Figuras"/>
        <w:rPr>
          <w:rStyle w:val="negrita"/>
          <w:b w:val="0"/>
        </w:rPr>
      </w:pPr>
      <w:r w:rsidRPr="00F76A57">
        <w:rPr>
          <w:rStyle w:val="negrita"/>
          <w:i w:val="0"/>
          <w:iCs/>
        </w:rPr>
        <w:t>Tabla 1</w:t>
      </w:r>
      <w:r w:rsidRPr="00F76A57">
        <w:rPr>
          <w:rStyle w:val="negrita"/>
          <w:b w:val="0"/>
          <w:i w:val="0"/>
          <w:iCs/>
        </w:rPr>
        <w:t>.</w:t>
      </w:r>
      <w:r w:rsidRPr="00F76A57">
        <w:rPr>
          <w:rStyle w:val="negrita"/>
          <w:i w:val="0"/>
          <w:iCs/>
        </w:rPr>
        <w:t xml:space="preserve"> </w:t>
      </w:r>
      <w:r w:rsidRPr="00F76A57">
        <w:rPr>
          <w:rStyle w:val="negrita"/>
          <w:b w:val="0"/>
          <w:i w:val="0"/>
        </w:rPr>
        <w:t>Características clínicas y factores relacionados a la automedicación en la muestra de estudiantes (N = 359)</w:t>
      </w:r>
    </w:p>
    <w:tbl>
      <w:tblPr>
        <w:tblStyle w:val="Tabla"/>
        <w:tblW w:w="6468" w:type="dxa"/>
        <w:tblLayout w:type="fixed"/>
        <w:tblLook w:val="0600" w:firstRow="0" w:lastRow="0" w:firstColumn="0" w:lastColumn="0" w:noHBand="1" w:noVBand="1"/>
      </w:tblPr>
      <w:tblGrid>
        <w:gridCol w:w="1617"/>
        <w:gridCol w:w="1617"/>
        <w:gridCol w:w="1617"/>
        <w:gridCol w:w="1617"/>
      </w:tblGrid>
      <w:tr w:rsidR="00F76A57" w:rsidRPr="00F76A57" w14:paraId="22A9D1F4" w14:textId="77777777" w:rsidTr="00543200">
        <w:trPr>
          <w:trHeight w:val="242"/>
        </w:trPr>
        <w:tc>
          <w:tcPr>
            <w:tcW w:w="1617" w:type="dxa"/>
          </w:tcPr>
          <w:p w14:paraId="1ECE3D1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Variable</w:t>
            </w:r>
          </w:p>
        </w:tc>
        <w:tc>
          <w:tcPr>
            <w:tcW w:w="1617" w:type="dxa"/>
          </w:tcPr>
          <w:p w14:paraId="690ACBF6"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Categoría</w:t>
            </w:r>
          </w:p>
        </w:tc>
        <w:tc>
          <w:tcPr>
            <w:tcW w:w="1617" w:type="dxa"/>
          </w:tcPr>
          <w:p w14:paraId="5E3F7B13"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Frecuencia (n)</w:t>
            </w:r>
          </w:p>
        </w:tc>
        <w:tc>
          <w:tcPr>
            <w:tcW w:w="1617" w:type="dxa"/>
          </w:tcPr>
          <w:p w14:paraId="44617885"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p>
          <w:p w14:paraId="6A596061"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Porcentaje (%)</w:t>
            </w:r>
          </w:p>
          <w:p w14:paraId="01D34FD2"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p>
        </w:tc>
      </w:tr>
      <w:tr w:rsidR="00F76A57" w:rsidRPr="00F76A57" w14:paraId="79A49DB4" w14:textId="77777777" w:rsidTr="00543200">
        <w:trPr>
          <w:trHeight w:val="20"/>
        </w:trPr>
        <w:tc>
          <w:tcPr>
            <w:tcW w:w="1617" w:type="dxa"/>
            <w:vMerge w:val="restart"/>
          </w:tcPr>
          <w:p w14:paraId="67E84CF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Factores determinantes</w:t>
            </w:r>
          </w:p>
        </w:tc>
        <w:tc>
          <w:tcPr>
            <w:tcW w:w="1617" w:type="dxa"/>
          </w:tcPr>
          <w:p w14:paraId="55DE8477"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Enfermedad leve</w:t>
            </w:r>
          </w:p>
        </w:tc>
        <w:tc>
          <w:tcPr>
            <w:tcW w:w="1617" w:type="dxa"/>
          </w:tcPr>
          <w:p w14:paraId="548C9B0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181</w:t>
            </w:r>
          </w:p>
        </w:tc>
        <w:tc>
          <w:tcPr>
            <w:tcW w:w="1617" w:type="dxa"/>
          </w:tcPr>
          <w:p w14:paraId="3125290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50,4</w:t>
            </w:r>
          </w:p>
        </w:tc>
      </w:tr>
      <w:tr w:rsidR="00F76A57" w:rsidRPr="00F76A57" w14:paraId="3E8B2550" w14:textId="77777777" w:rsidTr="00543200">
        <w:trPr>
          <w:trHeight w:val="20"/>
        </w:trPr>
        <w:tc>
          <w:tcPr>
            <w:tcW w:w="1617" w:type="dxa"/>
            <w:vMerge/>
          </w:tcPr>
          <w:p w14:paraId="3B42F542"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Factores determinantes</w:t>
            </w:r>
          </w:p>
        </w:tc>
        <w:tc>
          <w:tcPr>
            <w:tcW w:w="1617" w:type="dxa"/>
          </w:tcPr>
          <w:p w14:paraId="12C7A9F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Costo efectivo</w:t>
            </w:r>
          </w:p>
        </w:tc>
        <w:tc>
          <w:tcPr>
            <w:tcW w:w="1617" w:type="dxa"/>
          </w:tcPr>
          <w:p w14:paraId="10D10D8E"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88</w:t>
            </w:r>
          </w:p>
        </w:tc>
        <w:tc>
          <w:tcPr>
            <w:tcW w:w="1617" w:type="dxa"/>
          </w:tcPr>
          <w:p w14:paraId="3F01AE5E"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24,5</w:t>
            </w:r>
          </w:p>
        </w:tc>
      </w:tr>
      <w:tr w:rsidR="00F76A57" w:rsidRPr="00F76A57" w14:paraId="77719211" w14:textId="77777777" w:rsidTr="00543200">
        <w:trPr>
          <w:trHeight w:val="20"/>
        </w:trPr>
        <w:tc>
          <w:tcPr>
            <w:tcW w:w="1617" w:type="dxa"/>
            <w:vMerge/>
          </w:tcPr>
          <w:p w14:paraId="7B234DBE"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Factores determinantes</w:t>
            </w:r>
          </w:p>
        </w:tc>
        <w:tc>
          <w:tcPr>
            <w:tcW w:w="1617" w:type="dxa"/>
          </w:tcPr>
          <w:p w14:paraId="146A7081"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Ahorro de tiempo</w:t>
            </w:r>
          </w:p>
        </w:tc>
        <w:tc>
          <w:tcPr>
            <w:tcW w:w="1617" w:type="dxa"/>
          </w:tcPr>
          <w:p w14:paraId="526ACFB7"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60</w:t>
            </w:r>
          </w:p>
        </w:tc>
        <w:tc>
          <w:tcPr>
            <w:tcW w:w="1617" w:type="dxa"/>
          </w:tcPr>
          <w:p w14:paraId="66AF8AE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16,7</w:t>
            </w:r>
          </w:p>
        </w:tc>
      </w:tr>
      <w:tr w:rsidR="00F76A57" w:rsidRPr="00F76A57" w14:paraId="212EE58E" w14:textId="77777777" w:rsidTr="00543200">
        <w:trPr>
          <w:trHeight w:val="52"/>
        </w:trPr>
        <w:tc>
          <w:tcPr>
            <w:tcW w:w="1617" w:type="dxa"/>
            <w:vMerge/>
          </w:tcPr>
          <w:p w14:paraId="5AFD8C9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Factores determinantes</w:t>
            </w:r>
          </w:p>
        </w:tc>
        <w:tc>
          <w:tcPr>
            <w:tcW w:w="1617" w:type="dxa"/>
          </w:tcPr>
          <w:p w14:paraId="4C0649D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Urgencia percibida</w:t>
            </w:r>
          </w:p>
        </w:tc>
        <w:tc>
          <w:tcPr>
            <w:tcW w:w="1617" w:type="dxa"/>
          </w:tcPr>
          <w:p w14:paraId="284C0C5C"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30</w:t>
            </w:r>
          </w:p>
        </w:tc>
        <w:tc>
          <w:tcPr>
            <w:tcW w:w="1617" w:type="dxa"/>
          </w:tcPr>
          <w:p w14:paraId="0882E8F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8,4</w:t>
            </w:r>
          </w:p>
        </w:tc>
      </w:tr>
      <w:tr w:rsidR="00F76A57" w:rsidRPr="00F76A57" w14:paraId="2BABB7C3" w14:textId="77777777" w:rsidTr="00543200">
        <w:trPr>
          <w:trHeight w:val="20"/>
        </w:trPr>
        <w:tc>
          <w:tcPr>
            <w:tcW w:w="1617" w:type="dxa"/>
            <w:vMerge w:val="restart"/>
          </w:tcPr>
          <w:p w14:paraId="1F292C1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Iniciativa de consumo</w:t>
            </w:r>
          </w:p>
        </w:tc>
        <w:tc>
          <w:tcPr>
            <w:tcW w:w="1617" w:type="dxa"/>
          </w:tcPr>
          <w:p w14:paraId="098C337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Autodecisión propia</w:t>
            </w:r>
          </w:p>
        </w:tc>
        <w:tc>
          <w:tcPr>
            <w:tcW w:w="1617" w:type="dxa"/>
          </w:tcPr>
          <w:p w14:paraId="629FF56F"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249</w:t>
            </w:r>
          </w:p>
        </w:tc>
        <w:tc>
          <w:tcPr>
            <w:tcW w:w="1617" w:type="dxa"/>
          </w:tcPr>
          <w:p w14:paraId="2D9797E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69,4</w:t>
            </w:r>
          </w:p>
        </w:tc>
      </w:tr>
      <w:tr w:rsidR="00F76A57" w:rsidRPr="00F76A57" w14:paraId="4658C261" w14:textId="77777777" w:rsidTr="00543200">
        <w:trPr>
          <w:trHeight w:val="538"/>
        </w:trPr>
        <w:tc>
          <w:tcPr>
            <w:tcW w:w="1617" w:type="dxa"/>
            <w:vMerge/>
          </w:tcPr>
          <w:p w14:paraId="75B57FD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Iniciativa de consumo</w:t>
            </w:r>
          </w:p>
        </w:tc>
        <w:tc>
          <w:tcPr>
            <w:tcW w:w="1617" w:type="dxa"/>
          </w:tcPr>
          <w:p w14:paraId="4EF555CF"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Recomendación de farmacéutico/padres</w:t>
            </w:r>
          </w:p>
        </w:tc>
        <w:tc>
          <w:tcPr>
            <w:tcW w:w="1617" w:type="dxa"/>
          </w:tcPr>
          <w:p w14:paraId="34E9BACB"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110</w:t>
            </w:r>
          </w:p>
        </w:tc>
        <w:tc>
          <w:tcPr>
            <w:tcW w:w="1617" w:type="dxa"/>
          </w:tcPr>
          <w:p w14:paraId="05AFDA5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30,6</w:t>
            </w:r>
          </w:p>
        </w:tc>
      </w:tr>
      <w:tr w:rsidR="00F76A57" w:rsidRPr="00F76A57" w14:paraId="6C16BB9B" w14:textId="77777777" w:rsidTr="00543200">
        <w:trPr>
          <w:trHeight w:val="92"/>
        </w:trPr>
        <w:tc>
          <w:tcPr>
            <w:tcW w:w="1617" w:type="dxa"/>
            <w:vMerge w:val="restart"/>
          </w:tcPr>
          <w:p w14:paraId="5625DD9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Síntoma principal</w:t>
            </w:r>
          </w:p>
        </w:tc>
        <w:tc>
          <w:tcPr>
            <w:tcW w:w="1617" w:type="dxa"/>
          </w:tcPr>
          <w:p w14:paraId="05B3390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Cefalea</w:t>
            </w:r>
          </w:p>
        </w:tc>
        <w:tc>
          <w:tcPr>
            <w:tcW w:w="1617" w:type="dxa"/>
          </w:tcPr>
          <w:p w14:paraId="479FCAD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120</w:t>
            </w:r>
          </w:p>
        </w:tc>
        <w:tc>
          <w:tcPr>
            <w:tcW w:w="1617" w:type="dxa"/>
          </w:tcPr>
          <w:p w14:paraId="58345E6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33,4</w:t>
            </w:r>
          </w:p>
        </w:tc>
      </w:tr>
      <w:tr w:rsidR="00F76A57" w:rsidRPr="00F76A57" w14:paraId="7B0A25F9" w14:textId="77777777" w:rsidTr="00543200">
        <w:trPr>
          <w:trHeight w:val="58"/>
        </w:trPr>
        <w:tc>
          <w:tcPr>
            <w:tcW w:w="1617" w:type="dxa"/>
            <w:vMerge/>
          </w:tcPr>
          <w:p w14:paraId="3F2824DE"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Síntoma principal</w:t>
            </w:r>
          </w:p>
        </w:tc>
        <w:tc>
          <w:tcPr>
            <w:tcW w:w="1617" w:type="dxa"/>
          </w:tcPr>
          <w:p w14:paraId="021B205C"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Influenza / Resfriado</w:t>
            </w:r>
          </w:p>
        </w:tc>
        <w:tc>
          <w:tcPr>
            <w:tcW w:w="1617" w:type="dxa"/>
          </w:tcPr>
          <w:p w14:paraId="65B5166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86</w:t>
            </w:r>
          </w:p>
        </w:tc>
        <w:tc>
          <w:tcPr>
            <w:tcW w:w="1617" w:type="dxa"/>
          </w:tcPr>
          <w:p w14:paraId="6F28607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23,9</w:t>
            </w:r>
          </w:p>
        </w:tc>
      </w:tr>
      <w:tr w:rsidR="00F76A57" w:rsidRPr="00F76A57" w14:paraId="38F225D0" w14:textId="77777777" w:rsidTr="00543200">
        <w:trPr>
          <w:trHeight w:val="38"/>
        </w:trPr>
        <w:tc>
          <w:tcPr>
            <w:tcW w:w="1617" w:type="dxa"/>
            <w:vMerge/>
          </w:tcPr>
          <w:p w14:paraId="4F5FB2D3"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Síntoma principal</w:t>
            </w:r>
          </w:p>
        </w:tc>
        <w:tc>
          <w:tcPr>
            <w:tcW w:w="1617" w:type="dxa"/>
          </w:tcPr>
          <w:p w14:paraId="255C1BC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Cólico abdominal</w:t>
            </w:r>
          </w:p>
        </w:tc>
        <w:tc>
          <w:tcPr>
            <w:tcW w:w="1617" w:type="dxa"/>
          </w:tcPr>
          <w:p w14:paraId="59A15915"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50</w:t>
            </w:r>
          </w:p>
        </w:tc>
        <w:tc>
          <w:tcPr>
            <w:tcW w:w="1617" w:type="dxa"/>
          </w:tcPr>
          <w:p w14:paraId="1DE36DA5"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14,0</w:t>
            </w:r>
          </w:p>
        </w:tc>
      </w:tr>
      <w:tr w:rsidR="00F76A57" w:rsidRPr="00F76A57" w14:paraId="593BFBDC" w14:textId="77777777" w:rsidTr="00543200">
        <w:trPr>
          <w:trHeight w:val="20"/>
        </w:trPr>
        <w:tc>
          <w:tcPr>
            <w:tcW w:w="1617" w:type="dxa"/>
            <w:vMerge/>
          </w:tcPr>
          <w:p w14:paraId="3CA1725B"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Síntoma principal</w:t>
            </w:r>
          </w:p>
        </w:tc>
        <w:tc>
          <w:tcPr>
            <w:tcW w:w="1617" w:type="dxa"/>
          </w:tcPr>
          <w:p w14:paraId="18ACE613"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Fiebre / Tos</w:t>
            </w:r>
          </w:p>
        </w:tc>
        <w:tc>
          <w:tcPr>
            <w:tcW w:w="1617" w:type="dxa"/>
          </w:tcPr>
          <w:p w14:paraId="3C0338A6"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64</w:t>
            </w:r>
          </w:p>
        </w:tc>
        <w:tc>
          <w:tcPr>
            <w:tcW w:w="1617" w:type="dxa"/>
          </w:tcPr>
          <w:p w14:paraId="62A118A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17,8</w:t>
            </w:r>
          </w:p>
        </w:tc>
      </w:tr>
      <w:tr w:rsidR="00F76A57" w:rsidRPr="00F76A57" w14:paraId="57D89530" w14:textId="77777777" w:rsidTr="00543200">
        <w:trPr>
          <w:trHeight w:val="20"/>
        </w:trPr>
        <w:tc>
          <w:tcPr>
            <w:tcW w:w="1617" w:type="dxa"/>
            <w:vMerge/>
          </w:tcPr>
          <w:p w14:paraId="6D3A196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Síntoma principal</w:t>
            </w:r>
          </w:p>
        </w:tc>
        <w:tc>
          <w:tcPr>
            <w:tcW w:w="1617" w:type="dxa"/>
          </w:tcPr>
          <w:p w14:paraId="68EDBFF6"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Dolor osteomuscular / Otros</w:t>
            </w:r>
          </w:p>
        </w:tc>
        <w:tc>
          <w:tcPr>
            <w:tcW w:w="1617" w:type="dxa"/>
          </w:tcPr>
          <w:p w14:paraId="03EA3316"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39</w:t>
            </w:r>
          </w:p>
        </w:tc>
        <w:tc>
          <w:tcPr>
            <w:tcW w:w="1617" w:type="dxa"/>
          </w:tcPr>
          <w:p w14:paraId="4AB689FD"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10,9</w:t>
            </w:r>
          </w:p>
        </w:tc>
      </w:tr>
      <w:tr w:rsidR="00F76A57" w:rsidRPr="00F76A57" w14:paraId="5A14B0F7" w14:textId="77777777" w:rsidTr="00543200">
        <w:trPr>
          <w:trHeight w:val="20"/>
        </w:trPr>
        <w:tc>
          <w:tcPr>
            <w:tcW w:w="1617" w:type="dxa"/>
            <w:vMerge w:val="restart"/>
          </w:tcPr>
          <w:p w14:paraId="2AE029F5"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Grupo farmacológico</w:t>
            </w:r>
          </w:p>
        </w:tc>
        <w:tc>
          <w:tcPr>
            <w:tcW w:w="1617" w:type="dxa"/>
          </w:tcPr>
          <w:p w14:paraId="74B6557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AINEs (Analgesia/Antiinflamatorios)</w:t>
            </w:r>
          </w:p>
        </w:tc>
        <w:tc>
          <w:tcPr>
            <w:tcW w:w="1617" w:type="dxa"/>
          </w:tcPr>
          <w:p w14:paraId="11F9E903"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245</w:t>
            </w:r>
          </w:p>
        </w:tc>
        <w:tc>
          <w:tcPr>
            <w:tcW w:w="1617" w:type="dxa"/>
          </w:tcPr>
          <w:p w14:paraId="3B6CDAD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68,2</w:t>
            </w:r>
          </w:p>
        </w:tc>
      </w:tr>
      <w:tr w:rsidR="00F76A57" w:rsidRPr="00F76A57" w14:paraId="41B6D8EA" w14:textId="77777777" w:rsidTr="00543200">
        <w:trPr>
          <w:trHeight w:val="20"/>
        </w:trPr>
        <w:tc>
          <w:tcPr>
            <w:tcW w:w="1617" w:type="dxa"/>
            <w:vMerge/>
          </w:tcPr>
          <w:p w14:paraId="66D5D06A"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Grupo farmacológico</w:t>
            </w:r>
          </w:p>
        </w:tc>
        <w:tc>
          <w:tcPr>
            <w:tcW w:w="1617" w:type="dxa"/>
          </w:tcPr>
          <w:p w14:paraId="33A966CC"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Antibacterianos / Antiinfecciosos</w:t>
            </w:r>
          </w:p>
        </w:tc>
        <w:tc>
          <w:tcPr>
            <w:tcW w:w="1617" w:type="dxa"/>
          </w:tcPr>
          <w:p w14:paraId="04D9765B"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20</w:t>
            </w:r>
          </w:p>
        </w:tc>
        <w:tc>
          <w:tcPr>
            <w:tcW w:w="1617" w:type="dxa"/>
          </w:tcPr>
          <w:p w14:paraId="259E3729"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5,6</w:t>
            </w:r>
          </w:p>
        </w:tc>
      </w:tr>
      <w:tr w:rsidR="00F76A57" w:rsidRPr="00F76A57" w14:paraId="2DF8BF08" w14:textId="77777777" w:rsidTr="00543200">
        <w:trPr>
          <w:trHeight w:val="334"/>
        </w:trPr>
        <w:tc>
          <w:tcPr>
            <w:tcW w:w="1617" w:type="dxa"/>
            <w:vMerge/>
          </w:tcPr>
          <w:p w14:paraId="1EAC6B9E"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b/>
                <w:bCs/>
                <w:sz w:val="16"/>
                <w:szCs w:val="16"/>
              </w:rPr>
            </w:pPr>
            <w:r w:rsidRPr="00F76A57">
              <w:rPr>
                <w:rFonts w:ascii="Arial Narrow" w:hAnsi="Arial Narrow"/>
                <w:b/>
                <w:bCs/>
                <w:sz w:val="16"/>
                <w:szCs w:val="16"/>
              </w:rPr>
              <w:t>Grupo farmacológico</w:t>
            </w:r>
          </w:p>
        </w:tc>
        <w:tc>
          <w:tcPr>
            <w:tcW w:w="1617" w:type="dxa"/>
          </w:tcPr>
          <w:p w14:paraId="57A9415F"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Antihipertensivos y otros</w:t>
            </w:r>
          </w:p>
        </w:tc>
        <w:tc>
          <w:tcPr>
            <w:tcW w:w="1617" w:type="dxa"/>
          </w:tcPr>
          <w:p w14:paraId="133DC377"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94</w:t>
            </w:r>
          </w:p>
        </w:tc>
        <w:tc>
          <w:tcPr>
            <w:tcW w:w="1617" w:type="dxa"/>
          </w:tcPr>
          <w:p w14:paraId="43805990" w14:textId="77777777" w:rsidR="00F76A57" w:rsidRPr="00F76A57" w:rsidRDefault="00F76A57" w:rsidP="00543200">
            <w:pPr>
              <w:pBdr>
                <w:top w:val="nil"/>
                <w:left w:val="nil"/>
                <w:bottom w:val="nil"/>
                <w:right w:val="nil"/>
                <w:between w:val="nil"/>
              </w:pBdr>
              <w:spacing w:before="0" w:after="0"/>
              <w:contextualSpacing/>
              <w:jc w:val="center"/>
              <w:rPr>
                <w:rFonts w:ascii="Arial Narrow" w:hAnsi="Arial Narrow"/>
                <w:sz w:val="16"/>
                <w:szCs w:val="16"/>
              </w:rPr>
            </w:pPr>
            <w:r w:rsidRPr="00F76A57">
              <w:rPr>
                <w:rFonts w:ascii="Arial Narrow" w:hAnsi="Arial Narrow"/>
                <w:sz w:val="16"/>
                <w:szCs w:val="16"/>
              </w:rPr>
              <w:t>26,2</w:t>
            </w:r>
          </w:p>
        </w:tc>
      </w:tr>
    </w:tbl>
    <w:p w14:paraId="3AC567F4" w14:textId="77777777" w:rsidR="00F76A57" w:rsidRPr="00F76A57" w:rsidRDefault="00F76A57" w:rsidP="00F76A57">
      <w:pPr>
        <w:pStyle w:val="Fuente"/>
      </w:pPr>
      <w:r w:rsidRPr="00F76A57">
        <w:t>Fuente: Elaboración propia a partir de datos de la investigación.</w:t>
      </w:r>
    </w:p>
    <w:p w14:paraId="1D25E25C" w14:textId="77777777" w:rsidR="0051373C" w:rsidRPr="006D31C5" w:rsidRDefault="0051373C" w:rsidP="0051373C">
      <w:pPr>
        <w:rPr>
          <w:lang w:val="es-EC"/>
        </w:rPr>
      </w:pPr>
      <w:r w:rsidRPr="006D31C5">
        <w:rPr>
          <w:lang w:val="es-EC"/>
        </w:rPr>
        <w:t xml:space="preserve">Al analizar de forma específica el subgrupo de estudiantes que se automedican (n = 359), la principal causa desencadenante fue la percepción de cursar con una «enfermedad leve» (50,4%), seguida del criterio de </w:t>
      </w:r>
      <w:r w:rsidRPr="006D31C5">
        <w:rPr>
          <w:lang w:val="es-EC"/>
        </w:rPr>
        <w:lastRenderedPageBreak/>
        <w:t>costo-efectividad (24,5%) y el ahorro de tiempo (16,7%). La autodeterminación prevaleció ampliamente: el 69,4% manifestó tomar la iniciativa por decisión propia, en tanto que el 54,0% definió personalmente la duración del esquema terapéutico.</w:t>
      </w:r>
    </w:p>
    <w:p w14:paraId="516993C0" w14:textId="77777777" w:rsidR="0051373C" w:rsidRDefault="0051373C" w:rsidP="0051373C">
      <w:pPr>
        <w:rPr>
          <w:lang w:val="es-EC"/>
        </w:rPr>
      </w:pPr>
      <w:r w:rsidRPr="006D31C5">
        <w:rPr>
          <w:lang w:val="es-EC"/>
        </w:rPr>
        <w:t xml:space="preserve">Respecto a la sintomatología responsable, la cefalea ocupó el primer lugar con un 33,4%, seguida por los síntomas de influenza/resfriado (23,9%), cólicos abdominales (14,0%), fiebre (8,9%) y tos (8,9%). En consonancia con estos hallazgos, los AINEs resultaron ser la clase farmacológica de mayor uso general (68,2%). </w:t>
      </w:r>
    </w:p>
    <w:p w14:paraId="7D6F2533" w14:textId="29003794" w:rsidR="0051373C" w:rsidRDefault="0051373C" w:rsidP="0051373C">
      <w:r w:rsidRPr="006D31C5">
        <w:rPr>
          <w:lang w:val="es-EC"/>
        </w:rPr>
        <w:t>Para cuadros respiratorios, el uso de antitusígenos/expectorantes (33,7%) y antihistamínicos (29,3%) fue el más reportado. En afecciones gastrointestinales, la preferencia por remedios naturales alcanzó el 65,4%, seguida por los inhibidores de la bomba de protones y anti-H2 (27,9%). El 70,2% no reportó efectos adversos, mientras que el 11,1% experimentó somnolencia y el 7,5% presentó náuseas o dolor abdominal.</w:t>
      </w:r>
    </w:p>
    <w:p w14:paraId="2A154791" w14:textId="77777777" w:rsidR="00EE5F35" w:rsidRPr="00F76A57" w:rsidRDefault="002A43CD" w:rsidP="00EE5F35">
      <w:pPr>
        <w:pBdr>
          <w:top w:val="nil"/>
          <w:left w:val="nil"/>
          <w:bottom w:val="nil"/>
          <w:right w:val="nil"/>
          <w:between w:val="nil"/>
        </w:pBdr>
        <w:spacing w:before="240" w:after="280"/>
        <w:rPr>
          <w:sz w:val="24"/>
        </w:rPr>
      </w:pPr>
      <w:r w:rsidRPr="00F76A57">
        <w:rPr>
          <w:sz w:val="24"/>
        </w:rPr>
        <w:t xml:space="preserve">5. </w:t>
      </w:r>
      <w:r w:rsidR="00EE5F35" w:rsidRPr="00F76A57">
        <w:rPr>
          <w:sz w:val="24"/>
        </w:rPr>
        <w:t>DISCUSIÓN</w:t>
      </w:r>
    </w:p>
    <w:p w14:paraId="0EFDE844" w14:textId="77777777" w:rsidR="00EE5F35" w:rsidRDefault="0051373C" w:rsidP="00EE5F35">
      <w:pPr>
        <w:pBdr>
          <w:top w:val="nil"/>
          <w:left w:val="nil"/>
          <w:bottom w:val="nil"/>
          <w:right w:val="nil"/>
          <w:between w:val="nil"/>
        </w:pBdr>
        <w:spacing w:before="240" w:after="280"/>
      </w:pPr>
      <w:r w:rsidRPr="0051373C">
        <w:t>Los hallazgos del presente estudio demuestran una elevada prevalencia de automedicación (73,3%) en los estudiantes de la Carrera de Medicina de la Universidad de Guayaquil, una cifra plenamente concordante con investigaciones previas llevadas a cabo tanto en el contexto regional latinoamericano como internacional. Este porcentaje se sitúa en el rango intermedio-alto reportado en la literatura, superando a estudios nacionales en población general e igualando registros de facultades biomédicas en países como Chile, Argentina y Brasil.</w:t>
      </w:r>
    </w:p>
    <w:p w14:paraId="7FF769B0" w14:textId="77777777" w:rsidR="00EE5F35" w:rsidRDefault="0051373C" w:rsidP="00EE5F35">
      <w:pPr>
        <w:pBdr>
          <w:top w:val="nil"/>
          <w:left w:val="nil"/>
          <w:bottom w:val="nil"/>
          <w:right w:val="nil"/>
          <w:between w:val="nil"/>
        </w:pBdr>
        <w:spacing w:before="240" w:after="280"/>
      </w:pPr>
      <w:r w:rsidRPr="0051373C">
        <w:t>El hecho de que más del 69% de los alumnos decida de forma autónoma qué medicamento consumir y que la mitad modifique la duración del tratamiento sin criterio médico profesional evidencia la marcada influencia de la formación médica temprana en la autopercepción de competencia clínica. Conforme los estudiantes avanzan en el currículo for</w:t>
      </w:r>
      <w:r w:rsidRPr="0051373C">
        <w:lastRenderedPageBreak/>
        <w:t>mativo y adquieren conocimientos farmacológicos, disminuye la búsqueda de consejo profesional (médico o farmacéutico) y aumenta la confianza para autogestionar de manera informal sus dolencias.</w:t>
      </w:r>
    </w:p>
    <w:p w14:paraId="2884467C" w14:textId="77777777" w:rsidR="00EE5F35" w:rsidRDefault="0051373C" w:rsidP="00EE5F35">
      <w:pPr>
        <w:pBdr>
          <w:top w:val="nil"/>
          <w:left w:val="nil"/>
          <w:bottom w:val="nil"/>
          <w:right w:val="nil"/>
          <w:between w:val="nil"/>
        </w:pBdr>
        <w:spacing w:before="240" w:after="280"/>
      </w:pPr>
      <w:r w:rsidRPr="0051373C">
        <w:t>El predominio de las cefaleas como motivo principal de consumo y de los AINEs como la familia de medicamentos preferida refleja de forma directa el perfil de exigencia y carga académica de la carrera. La exposición prolongada a jornadas de estudio, la privación de sueño y el estrés de las evaluaciones actúan como detonantes frecuentes de dolor de cabeza, induciendo al estudiante a buscar soluciones farmacológicas inmediatas y de fácil acceso que no interfieran con su rendimiento escolar. Si bien el uso episódico de analgésicos de venta libre suele considerarse seguro, su abuso sistemático plantea un riesgo sustancial de nefropatías, hepatotoxicidad y gastritis medicamentosa a mediano plazo.</w:t>
      </w:r>
    </w:p>
    <w:p w14:paraId="1440E9F1" w14:textId="4AFEB576" w:rsidR="0051373C" w:rsidRDefault="0051373C" w:rsidP="00EE5F35">
      <w:pPr>
        <w:pBdr>
          <w:top w:val="nil"/>
          <w:left w:val="nil"/>
          <w:bottom w:val="nil"/>
          <w:right w:val="nil"/>
          <w:between w:val="nil"/>
        </w:pBdr>
        <w:spacing w:before="240" w:after="280"/>
        <w:rPr>
          <w:caps/>
        </w:rPr>
      </w:pPr>
      <w:r w:rsidRPr="0051373C">
        <w:t>En lo relativo a la interacción entre la automedicación y los estilos de vida, la investigación permitió identificar que, aunque variables como el tabaquismo activo presentaron proporciones bajas, patrones como el consumo ocasional de alcohol y la realización de ejercicio físico intermitente o leve se alinean con las respuestas de mayor prevalencia. No obstante, los análisis multivariados no demostraron una asociación causal directa o estadísticamente significativa entre los hábitos globales de vida poco saludables y un incremento lineal en la probabilidad de automedicarse, sugiriendo que la automedicación en los estudiantes de medicina respondería con mayor fuerza a determinantes pedagógicos, académicos y de disponibilidad del fármaco que a estilos de vida específicos.</w:t>
      </w:r>
    </w:p>
    <w:p w14:paraId="568F694A" w14:textId="1D9BCD0F" w:rsidR="004307D4" w:rsidRDefault="00721EBE" w:rsidP="0051373C">
      <w:pPr>
        <w:pStyle w:val="Ttulo1"/>
      </w:pPr>
      <w:r w:rsidRPr="00721EBE">
        <w:rPr>
          <w:caps w:val="0"/>
        </w:rPr>
        <w:t>6.</w:t>
      </w:r>
      <w:r>
        <w:t xml:space="preserve"> </w:t>
      </w:r>
      <w:r w:rsidR="004307D4">
        <w:t xml:space="preserve">conclusiones </w:t>
      </w:r>
    </w:p>
    <w:p w14:paraId="61D52225" w14:textId="77777777" w:rsidR="0051373C" w:rsidRPr="00F76A57" w:rsidRDefault="0051373C" w:rsidP="00F76A57">
      <w:pPr>
        <w:pStyle w:val="Prrafodelista"/>
        <w:widowControl w:val="0"/>
        <w:numPr>
          <w:ilvl w:val="0"/>
          <w:numId w:val="46"/>
        </w:numPr>
        <w:pBdr>
          <w:top w:val="nil"/>
          <w:left w:val="nil"/>
          <w:bottom w:val="nil"/>
          <w:right w:val="nil"/>
          <w:between w:val="nil"/>
        </w:pBdr>
        <w:spacing w:before="0" w:after="0" w:line="300" w:lineRule="auto"/>
        <w:ind w:left="851" w:hanging="284"/>
        <w:rPr>
          <w:szCs w:val="23"/>
          <w:lang w:val="es-EC"/>
        </w:rPr>
      </w:pPr>
      <w:r w:rsidRPr="00F76A57">
        <w:rPr>
          <w:szCs w:val="23"/>
          <w:lang w:val="es-EC"/>
        </w:rPr>
        <w:t>La automedicación constituye una práctica altamente prevalente entre los estudiantes de medicina de la Universidad de Guayaquil, afectando a casi tres cuartas partes de la población estudiada.</w:t>
      </w:r>
    </w:p>
    <w:p w14:paraId="488BD35C" w14:textId="77777777" w:rsidR="0051373C" w:rsidRPr="00F76A57" w:rsidRDefault="0051373C" w:rsidP="00F76A57">
      <w:pPr>
        <w:pStyle w:val="Prrafodelista"/>
        <w:widowControl w:val="0"/>
        <w:numPr>
          <w:ilvl w:val="0"/>
          <w:numId w:val="46"/>
        </w:numPr>
        <w:pBdr>
          <w:top w:val="nil"/>
          <w:left w:val="nil"/>
          <w:bottom w:val="nil"/>
          <w:right w:val="nil"/>
          <w:between w:val="nil"/>
        </w:pBdr>
        <w:spacing w:before="0" w:after="0" w:line="300" w:lineRule="auto"/>
        <w:ind w:left="851" w:hanging="284"/>
        <w:rPr>
          <w:szCs w:val="23"/>
          <w:lang w:val="es-EC"/>
        </w:rPr>
      </w:pPr>
      <w:r w:rsidRPr="00F76A57">
        <w:rPr>
          <w:szCs w:val="23"/>
          <w:lang w:val="es-EC"/>
        </w:rPr>
        <w:t xml:space="preserve">La autodecisión informada por el conocimiento académico emergente es el factor determinante principal en la elección e </w:t>
      </w:r>
      <w:r w:rsidRPr="00F76A57">
        <w:rPr>
          <w:szCs w:val="23"/>
          <w:lang w:val="es-EC"/>
        </w:rPr>
        <w:lastRenderedPageBreak/>
        <w:t>inicio del tratamiento, relegando a un papel secundario la recomendación formal de profesionales o familiares.</w:t>
      </w:r>
    </w:p>
    <w:p w14:paraId="37385C2B" w14:textId="77777777" w:rsidR="0051373C" w:rsidRPr="00F76A57" w:rsidRDefault="0051373C" w:rsidP="00F76A57">
      <w:pPr>
        <w:pStyle w:val="Prrafodelista"/>
        <w:widowControl w:val="0"/>
        <w:numPr>
          <w:ilvl w:val="0"/>
          <w:numId w:val="46"/>
        </w:numPr>
        <w:pBdr>
          <w:top w:val="nil"/>
          <w:left w:val="nil"/>
          <w:bottom w:val="nil"/>
          <w:right w:val="nil"/>
          <w:between w:val="nil"/>
        </w:pBdr>
        <w:spacing w:before="0" w:after="0" w:line="300" w:lineRule="auto"/>
        <w:ind w:left="851" w:hanging="284"/>
        <w:rPr>
          <w:szCs w:val="23"/>
          <w:lang w:val="es-EC"/>
        </w:rPr>
      </w:pPr>
      <w:r w:rsidRPr="00F76A57">
        <w:rPr>
          <w:szCs w:val="23"/>
          <w:lang w:val="es-EC"/>
        </w:rPr>
        <w:t>El dolor de cabeza (cefalea) y los cuadros respiratorios agudos representan las condiciones sintomáticas más frecuentes que motivan el autoconsumo, siendo los antiinflamatorios no esteroideos (AINEs) los fármacos más consumidos.</w:t>
      </w:r>
    </w:p>
    <w:p w14:paraId="0834BF1B" w14:textId="77777777" w:rsidR="0051373C" w:rsidRPr="00F76A57" w:rsidRDefault="0051373C" w:rsidP="00F76A57">
      <w:pPr>
        <w:pStyle w:val="Prrafodelista"/>
        <w:widowControl w:val="0"/>
        <w:numPr>
          <w:ilvl w:val="0"/>
          <w:numId w:val="47"/>
        </w:numPr>
        <w:pBdr>
          <w:top w:val="nil"/>
          <w:left w:val="nil"/>
          <w:bottom w:val="nil"/>
          <w:right w:val="nil"/>
          <w:between w:val="nil"/>
        </w:pBdr>
        <w:spacing w:before="0" w:after="0" w:line="300" w:lineRule="auto"/>
        <w:ind w:left="851" w:hanging="284"/>
        <w:rPr>
          <w:szCs w:val="23"/>
          <w:lang w:val="es-EC"/>
        </w:rPr>
      </w:pPr>
      <w:r w:rsidRPr="00F76A57">
        <w:rPr>
          <w:szCs w:val="23"/>
          <w:lang w:val="es-EC"/>
        </w:rPr>
        <w:t>No se estableció una asociación estadísticamente significativa entre la presencia de hábitos de vida no saludables y el aumento en la tasa de automedicación, evidenciando que el fenómeno está transversalmente extendido en el estudiantado independientemente de su perfil de estilo de vida.</w:t>
      </w:r>
    </w:p>
    <w:p w14:paraId="7D1676B6" w14:textId="3241D1CB" w:rsidR="0051373C" w:rsidRPr="00F76A57" w:rsidRDefault="0051373C" w:rsidP="00F76A57">
      <w:pPr>
        <w:pStyle w:val="Prrafodelista"/>
        <w:widowControl w:val="0"/>
        <w:numPr>
          <w:ilvl w:val="0"/>
          <w:numId w:val="47"/>
        </w:numPr>
        <w:pBdr>
          <w:top w:val="nil"/>
          <w:left w:val="nil"/>
          <w:bottom w:val="nil"/>
          <w:right w:val="nil"/>
          <w:between w:val="nil"/>
        </w:pBdr>
        <w:spacing w:before="0" w:after="80" w:line="300" w:lineRule="auto"/>
        <w:ind w:left="851" w:hanging="284"/>
        <w:rPr>
          <w:lang w:val="es-EC"/>
        </w:rPr>
      </w:pPr>
      <w:r w:rsidRPr="00F76A57">
        <w:rPr>
          <w:szCs w:val="23"/>
          <w:lang w:val="es-EC"/>
        </w:rPr>
        <w:t xml:space="preserve">Es urgente diseñar programas institucionales de concienciación y farmacovigilancia dentro de las facultades de ciencias de la salud, promoviendo el uso responsable de medicamentos desde la formación </w:t>
      </w:r>
      <w:r w:rsidR="00EE5F35" w:rsidRPr="00F76A57">
        <w:rPr>
          <w:szCs w:val="23"/>
          <w:lang w:val="es-EC"/>
        </w:rPr>
        <w:t xml:space="preserve">de </w:t>
      </w:r>
      <w:r w:rsidRPr="00F76A57">
        <w:rPr>
          <w:szCs w:val="23"/>
          <w:lang w:val="es-EC"/>
        </w:rPr>
        <w:t>pregrad</w:t>
      </w:r>
      <w:r w:rsidR="00EE5F35" w:rsidRPr="00F76A57">
        <w:rPr>
          <w:szCs w:val="23"/>
          <w:lang w:val="es-EC"/>
        </w:rPr>
        <w:t>o.</w:t>
      </w:r>
    </w:p>
    <w:p w14:paraId="6C5733CD" w14:textId="275CDB0F" w:rsidR="002F3733" w:rsidRDefault="00721EBE" w:rsidP="00721EBE">
      <w:pPr>
        <w:pStyle w:val="Ttulo1"/>
      </w:pPr>
      <w:r w:rsidRPr="00721EBE">
        <w:rPr>
          <w:caps w:val="0"/>
        </w:rPr>
        <w:t>7</w:t>
      </w:r>
      <w:r w:rsidR="00920563">
        <w:rPr>
          <w:caps w:val="0"/>
        </w:rPr>
        <w:t>.</w:t>
      </w:r>
      <w:r>
        <w:t xml:space="preserve"> </w:t>
      </w:r>
      <w:r w:rsidR="002F3733">
        <w:t>Agradecimientos</w:t>
      </w:r>
      <w:r w:rsidR="009E664A">
        <w:t>/</w:t>
      </w:r>
      <w:r w:rsidR="005A43E3">
        <w:t>Apoyos</w:t>
      </w:r>
      <w:r w:rsidR="00920563">
        <w:t xml:space="preserve"> </w:t>
      </w:r>
    </w:p>
    <w:p w14:paraId="3D32F596" w14:textId="6DDFC9F2" w:rsidR="0051373C" w:rsidRPr="0051373C" w:rsidRDefault="0051373C" w:rsidP="0051373C">
      <w:pPr>
        <w:pBdr>
          <w:top w:val="nil"/>
          <w:left w:val="nil"/>
          <w:bottom w:val="nil"/>
          <w:right w:val="nil"/>
          <w:between w:val="nil"/>
        </w:pBdr>
        <w:spacing w:after="280"/>
        <w:rPr>
          <w:szCs w:val="23"/>
          <w:lang w:val="es-EC"/>
        </w:rPr>
      </w:pPr>
      <w:r w:rsidRPr="0051373C">
        <w:rPr>
          <w:szCs w:val="23"/>
          <w:lang w:val="es-EC"/>
        </w:rPr>
        <w:t xml:space="preserve">Los autores expresan su sincero agradecimiento a la Universidad del Zulia y a la Facultad de Medicina de la Universidad de Guayaquil por el respaldo institucional brindado para la consecución de esta investigación. Se reconoce asimismo la colaboración y disposición de los estudiantes </w:t>
      </w:r>
      <w:r>
        <w:rPr>
          <w:szCs w:val="23"/>
          <w:lang w:val="es-EC"/>
        </w:rPr>
        <w:t xml:space="preserve">Melanie Pallo </w:t>
      </w:r>
      <w:r w:rsidR="00EE5F35">
        <w:rPr>
          <w:szCs w:val="23"/>
          <w:lang w:val="es-EC"/>
        </w:rPr>
        <w:t xml:space="preserve">Touríz </w:t>
      </w:r>
      <w:r>
        <w:rPr>
          <w:szCs w:val="23"/>
          <w:lang w:val="es-EC"/>
        </w:rPr>
        <w:t>y Anthony Pallo</w:t>
      </w:r>
      <w:r w:rsidR="00EE5F35">
        <w:rPr>
          <w:szCs w:val="23"/>
          <w:lang w:val="es-EC"/>
        </w:rPr>
        <w:t xml:space="preserve"> Touríz</w:t>
      </w:r>
      <w:r>
        <w:rPr>
          <w:szCs w:val="23"/>
          <w:lang w:val="es-EC"/>
        </w:rPr>
        <w:t xml:space="preserve"> </w:t>
      </w:r>
      <w:r>
        <w:rPr>
          <w:szCs w:val="23"/>
          <w:lang w:val="es-EC"/>
        </w:rPr>
        <w:t xml:space="preserve">quienes </w:t>
      </w:r>
      <w:r w:rsidRPr="0051373C">
        <w:rPr>
          <w:szCs w:val="23"/>
          <w:lang w:val="es-EC"/>
        </w:rPr>
        <w:t>participa</w:t>
      </w:r>
      <w:r>
        <w:rPr>
          <w:szCs w:val="23"/>
          <w:lang w:val="es-EC"/>
        </w:rPr>
        <w:t>ron en la logística de la recolección de datos</w:t>
      </w:r>
      <w:r w:rsidRPr="0051373C">
        <w:rPr>
          <w:szCs w:val="23"/>
          <w:lang w:val="es-EC"/>
        </w:rPr>
        <w:t>.</w:t>
      </w:r>
    </w:p>
    <w:p w14:paraId="703B2935" w14:textId="5F0C02A9" w:rsidR="004307D4" w:rsidRDefault="00721EBE" w:rsidP="00721EBE">
      <w:pPr>
        <w:pStyle w:val="Ttulo1"/>
      </w:pPr>
      <w:r w:rsidRPr="008B6A98">
        <w:rPr>
          <w:caps w:val="0"/>
        </w:rPr>
        <w:t>8.</w:t>
      </w:r>
      <w:r w:rsidRPr="008B6A98">
        <w:t xml:space="preserve"> </w:t>
      </w:r>
      <w:r w:rsidR="002F3733" w:rsidRPr="008B6A98">
        <w:t>Referencias</w:t>
      </w:r>
      <w:r w:rsidR="005417EB">
        <w:t xml:space="preserve"> </w:t>
      </w:r>
    </w:p>
    <w:sdt>
      <w:sdtPr>
        <w:id w:val="1710232029"/>
        <w:docPartObj>
          <w:docPartGallery w:val="Bibliographies"/>
          <w:docPartUnique/>
        </w:docPartObj>
      </w:sdtPr>
      <w:sdtEndPr>
        <w:rPr>
          <w:rFonts w:eastAsiaTheme="minorHAnsi" w:cstheme="minorBidi"/>
          <w:caps w:val="0"/>
          <w:sz w:val="23"/>
          <w:szCs w:val="23"/>
          <w:shd w:val="clear" w:color="auto" w:fill="auto"/>
          <w14:numForm w14:val="oldStyle"/>
        </w:rPr>
      </w:sdtEndPr>
      <w:sdtContent>
        <w:p w14:paraId="1E5BBC8A" w14:textId="63A1E538" w:rsidR="003C1FC3" w:rsidRPr="003C1FC3" w:rsidRDefault="003C1FC3" w:rsidP="003C1FC3">
          <w:pPr>
            <w:pStyle w:val="Ttulo1"/>
            <w:jc w:val="both"/>
            <w:rPr>
              <w:sz w:val="23"/>
              <w:szCs w:val="23"/>
              <w:lang w:val="en-US"/>
            </w:rPr>
          </w:pPr>
        </w:p>
        <w:sdt>
          <w:sdtPr>
            <w:rPr>
              <w:sz w:val="23"/>
              <w:szCs w:val="23"/>
            </w:rPr>
            <w:id w:val="-573587230"/>
            <w:bibliography/>
          </w:sdtPr>
          <w:sdtEndPr>
            <w:rPr>
              <w:rFonts w:eastAsiaTheme="minorHAnsi" w:cstheme="minorBidi"/>
              <w:spacing w:val="1"/>
              <w14:numSpacing w14:val="default"/>
            </w:rPr>
          </w:sdtEndPr>
          <w:sdtContent>
            <w:p w14:paraId="17B48975" w14:textId="77777777" w:rsidR="003C1FC3" w:rsidRPr="003C1FC3" w:rsidRDefault="003C1FC3" w:rsidP="003C1FC3">
              <w:pPr>
                <w:pStyle w:val="Bibliografa"/>
                <w:spacing w:line="276" w:lineRule="auto"/>
                <w:ind w:left="720" w:hanging="720"/>
                <w:jc w:val="both"/>
                <w:rPr>
                  <w:noProof/>
                  <w:sz w:val="23"/>
                  <w:szCs w:val="23"/>
                  <w:lang w:val="en-US"/>
                </w:rPr>
              </w:pPr>
              <w:r w:rsidRPr="003C1FC3">
                <w:rPr>
                  <w:sz w:val="23"/>
                  <w:szCs w:val="23"/>
                </w:rPr>
                <w:fldChar w:fldCharType="begin"/>
              </w:r>
              <w:r w:rsidRPr="003C1FC3">
                <w:rPr>
                  <w:sz w:val="23"/>
                  <w:szCs w:val="23"/>
                  <w:lang w:val="en-US"/>
                </w:rPr>
                <w:instrText>BIBLIOGRAPHY</w:instrText>
              </w:r>
              <w:r w:rsidRPr="003C1FC3">
                <w:rPr>
                  <w:sz w:val="23"/>
                  <w:szCs w:val="23"/>
                </w:rPr>
                <w:fldChar w:fldCharType="separate"/>
              </w:r>
              <w:r w:rsidRPr="003C1FC3">
                <w:rPr>
                  <w:noProof/>
                  <w:sz w:val="23"/>
                  <w:szCs w:val="23"/>
                  <w:lang w:val="en-US"/>
                </w:rPr>
                <w:t xml:space="preserve">Abdi, A. H. (2018). Self-medication practices among medical and non-medical students: A cross-sectional study. </w:t>
              </w:r>
              <w:r w:rsidRPr="003C1FC3">
                <w:rPr>
                  <w:i/>
                  <w:iCs/>
                  <w:noProof/>
                  <w:sz w:val="23"/>
                  <w:szCs w:val="23"/>
                  <w:lang w:val="en-US"/>
                </w:rPr>
                <w:t>Journal of Clinical and Diagnostic Re-search,</w:t>
              </w:r>
              <w:r w:rsidRPr="003C1FC3">
                <w:rPr>
                  <w:noProof/>
                  <w:sz w:val="23"/>
                  <w:szCs w:val="23"/>
                  <w:lang w:val="en-US"/>
                </w:rPr>
                <w:t>, 12(4), 15-20.</w:t>
              </w:r>
            </w:p>
            <w:p w14:paraId="040A0960" w14:textId="77777777" w:rsidR="003C1FC3" w:rsidRPr="003C1FC3" w:rsidRDefault="003C1FC3" w:rsidP="003C1FC3">
              <w:pPr>
                <w:pStyle w:val="Bibliografa"/>
                <w:spacing w:line="276" w:lineRule="auto"/>
                <w:ind w:left="720" w:hanging="720"/>
                <w:jc w:val="both"/>
                <w:rPr>
                  <w:noProof/>
                  <w:sz w:val="23"/>
                  <w:szCs w:val="23"/>
                  <w:lang w:val="en-US"/>
                </w:rPr>
              </w:pPr>
              <w:r w:rsidRPr="003C1FC3">
                <w:rPr>
                  <w:noProof/>
                  <w:sz w:val="23"/>
                  <w:szCs w:val="23"/>
                  <w:lang w:val="en-US"/>
                </w:rPr>
                <w:lastRenderedPageBreak/>
                <w:t xml:space="preserve">Acharya, A. S. (2022). Prevalence and patterns of self-medication among medical students: A systematic review and meta-analysis. </w:t>
              </w:r>
              <w:r w:rsidRPr="003C1FC3">
                <w:rPr>
                  <w:i/>
                  <w:iCs/>
                  <w:noProof/>
                  <w:sz w:val="23"/>
                  <w:szCs w:val="23"/>
                  <w:lang w:val="en-US"/>
                </w:rPr>
                <w:t>BMC Medical Education,</w:t>
              </w:r>
              <w:r w:rsidRPr="003C1FC3">
                <w:rPr>
                  <w:noProof/>
                  <w:sz w:val="23"/>
                  <w:szCs w:val="23"/>
                  <w:lang w:val="en-US"/>
                </w:rPr>
                <w:t>, 22(1), 102-115.</w:t>
              </w:r>
            </w:p>
            <w:p w14:paraId="10166060" w14:textId="77777777" w:rsidR="003C1FC3" w:rsidRPr="003C1FC3" w:rsidRDefault="003C1FC3" w:rsidP="003C1FC3">
              <w:pPr>
                <w:pStyle w:val="Bibliografa"/>
                <w:spacing w:line="276" w:lineRule="auto"/>
                <w:ind w:left="720" w:hanging="720"/>
                <w:jc w:val="both"/>
                <w:rPr>
                  <w:noProof/>
                  <w:sz w:val="23"/>
                  <w:szCs w:val="23"/>
                  <w:lang w:val="en-US"/>
                </w:rPr>
              </w:pPr>
              <w:r w:rsidRPr="003C1FC3">
                <w:rPr>
                  <w:noProof/>
                  <w:sz w:val="23"/>
                  <w:szCs w:val="23"/>
                  <w:lang w:val="en-US"/>
                </w:rPr>
                <w:t xml:space="preserve">Alburayk, K. A. (2021). Adverse drug reactions and drug interactions associated with self-medication practices. . </w:t>
              </w:r>
              <w:r w:rsidRPr="003C1FC3">
                <w:rPr>
                  <w:i/>
                  <w:iCs/>
                  <w:noProof/>
                  <w:sz w:val="23"/>
                  <w:szCs w:val="23"/>
                  <w:lang w:val="en-US"/>
                </w:rPr>
                <w:t xml:space="preserve">Saudi Pharmaceutical Journal, </w:t>
              </w:r>
              <w:r w:rsidRPr="003C1FC3">
                <w:rPr>
                  <w:noProof/>
                  <w:sz w:val="23"/>
                  <w:szCs w:val="23"/>
                  <w:lang w:val="en-US"/>
                </w:rPr>
                <w:t>, 29(6), 512-518.</w:t>
              </w:r>
            </w:p>
            <w:p w14:paraId="457BF4B4" w14:textId="77777777" w:rsidR="003C1FC3" w:rsidRPr="003C1FC3" w:rsidRDefault="003C1FC3" w:rsidP="003C1FC3">
              <w:pPr>
                <w:pStyle w:val="Bibliografa"/>
                <w:spacing w:line="276" w:lineRule="auto"/>
                <w:ind w:left="720" w:hanging="720"/>
                <w:jc w:val="both"/>
                <w:rPr>
                  <w:noProof/>
                  <w:sz w:val="23"/>
                  <w:szCs w:val="23"/>
                  <w:lang w:val="en-US"/>
                </w:rPr>
              </w:pPr>
              <w:r w:rsidRPr="003C1FC3">
                <w:rPr>
                  <w:noProof/>
                  <w:sz w:val="23"/>
                  <w:szCs w:val="23"/>
                  <w:lang w:val="en-US"/>
                </w:rPr>
                <w:t xml:space="preserve">Alsous, M. (2021). Cardiovascular implications of non-prescription medication misuse among young adults. </w:t>
              </w:r>
              <w:r w:rsidRPr="003C1FC3">
                <w:rPr>
                  <w:i/>
                  <w:iCs/>
                  <w:noProof/>
                  <w:sz w:val="23"/>
                  <w:szCs w:val="23"/>
                  <w:lang w:val="en-US"/>
                </w:rPr>
                <w:t>International Journal of Clinical Practice, .</w:t>
              </w:r>
              <w:r w:rsidRPr="003C1FC3">
                <w:rPr>
                  <w:noProof/>
                  <w:sz w:val="23"/>
                  <w:szCs w:val="23"/>
                  <w:lang w:val="en-US"/>
                </w:rPr>
                <w:t>, 75(8), e14210.</w:t>
              </w:r>
            </w:p>
            <w:p w14:paraId="3F676F36" w14:textId="77777777" w:rsidR="003C1FC3" w:rsidRPr="003C1FC3" w:rsidRDefault="003C1FC3" w:rsidP="003C1FC3">
              <w:pPr>
                <w:pStyle w:val="Bibliografa"/>
                <w:spacing w:line="276" w:lineRule="auto"/>
                <w:ind w:left="720" w:hanging="720"/>
                <w:jc w:val="both"/>
                <w:rPr>
                  <w:noProof/>
                  <w:sz w:val="23"/>
                  <w:szCs w:val="23"/>
                  <w:lang w:val="en-US"/>
                </w:rPr>
              </w:pPr>
              <w:r w:rsidRPr="003C1FC3">
                <w:rPr>
                  <w:noProof/>
                  <w:sz w:val="23"/>
                  <w:szCs w:val="23"/>
                  <w:lang w:val="en-US"/>
                </w:rPr>
                <w:t xml:space="preserve">Barros-Sevillano, J. S.-M. (2021). Self-medication in times of COVID-19. A perspective from Peru. . </w:t>
              </w:r>
              <w:r w:rsidRPr="003C1FC3">
                <w:rPr>
                  <w:i/>
                  <w:iCs/>
                  <w:noProof/>
                  <w:sz w:val="23"/>
                  <w:szCs w:val="23"/>
                  <w:lang w:val="en-US"/>
                </w:rPr>
                <w:t xml:space="preserve">Gac Med Mex, </w:t>
              </w:r>
              <w:r w:rsidRPr="003C1FC3">
                <w:rPr>
                  <w:noProof/>
                  <w:sz w:val="23"/>
                  <w:szCs w:val="23"/>
                  <w:lang w:val="en-US"/>
                </w:rPr>
                <w:t>, 157(1), 116. doi:10.24875/gmm.M21000526.</w:t>
              </w:r>
            </w:p>
            <w:p w14:paraId="7E2251F1"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lang w:val="en-US"/>
                </w:rPr>
                <w:t xml:space="preserve">Behzadifar, M. B. (2020). Prevalence of self-medication in university students: A systematic review and meta-analysis. </w:t>
              </w:r>
              <w:r w:rsidRPr="003C1FC3">
                <w:rPr>
                  <w:i/>
                  <w:iCs/>
                  <w:noProof/>
                  <w:sz w:val="23"/>
                  <w:szCs w:val="23"/>
                </w:rPr>
                <w:t xml:space="preserve">Eastern Mediterranean Health Journal, </w:t>
              </w:r>
              <w:r w:rsidRPr="003C1FC3">
                <w:rPr>
                  <w:noProof/>
                  <w:sz w:val="23"/>
                  <w:szCs w:val="23"/>
                </w:rPr>
                <w:t>, 26(7), 846-857.</w:t>
              </w:r>
            </w:p>
            <w:p w14:paraId="05AE76E7"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t xml:space="preserve">Cecilia, M. J.-E. (2018). La automedicación en estudiantes del Grado en Farmacia. . </w:t>
              </w:r>
              <w:r w:rsidRPr="003C1FC3">
                <w:rPr>
                  <w:i/>
                  <w:iCs/>
                  <w:noProof/>
                  <w:sz w:val="23"/>
                  <w:szCs w:val="23"/>
                </w:rPr>
                <w:t>Educ. Med.</w:t>
              </w:r>
              <w:r w:rsidRPr="003C1FC3">
                <w:rPr>
                  <w:noProof/>
                  <w:sz w:val="23"/>
                  <w:szCs w:val="23"/>
                </w:rPr>
                <w:t>, 19 (5): 277-282. doi:https://doi.org/10.1016/j.edumed.2017.07.005.</w:t>
              </w:r>
            </w:p>
            <w:p w14:paraId="11142236"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t xml:space="preserve">Cedillo-Ramírez, L. C.-L.-R.-A. (2016). Estilos de vida y salud en estudiantes de medicina humana de una universidad privada. . </w:t>
              </w:r>
              <w:r w:rsidRPr="003C1FC3">
                <w:rPr>
                  <w:i/>
                  <w:iCs/>
                  <w:noProof/>
                  <w:sz w:val="23"/>
                  <w:szCs w:val="23"/>
                </w:rPr>
                <w:t>Revista de la Facultad de Medicina Humana,</w:t>
              </w:r>
              <w:r w:rsidRPr="003C1FC3">
                <w:rPr>
                  <w:noProof/>
                  <w:sz w:val="23"/>
                  <w:szCs w:val="23"/>
                </w:rPr>
                <w:t>, 16(2), 45-52.</w:t>
              </w:r>
            </w:p>
            <w:p w14:paraId="4C711E20"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t xml:space="preserve">Galárraga, P. (2021). Automedicación en estudiantes de ciencias de la salud en el Ecuador: Análisis prevalencial. . </w:t>
              </w:r>
              <w:r w:rsidRPr="003C1FC3">
                <w:rPr>
                  <w:i/>
                  <w:iCs/>
                  <w:noProof/>
                  <w:sz w:val="23"/>
                  <w:szCs w:val="23"/>
                </w:rPr>
                <w:t>Revista Ecuatoriana de Medicina y Ciencias Biológicas,</w:t>
              </w:r>
              <w:r w:rsidRPr="003C1FC3">
                <w:rPr>
                  <w:noProof/>
                  <w:sz w:val="23"/>
                  <w:szCs w:val="23"/>
                </w:rPr>
                <w:t>, 42(1), 33-41.</w:t>
              </w:r>
            </w:p>
            <w:p w14:paraId="2A9D876B" w14:textId="77777777" w:rsidR="003C1FC3" w:rsidRPr="003C1FC3" w:rsidRDefault="003C1FC3" w:rsidP="003C1FC3">
              <w:pPr>
                <w:pStyle w:val="Bibliografa"/>
                <w:spacing w:line="276" w:lineRule="auto"/>
                <w:ind w:left="720" w:hanging="720"/>
                <w:jc w:val="both"/>
                <w:rPr>
                  <w:noProof/>
                  <w:sz w:val="23"/>
                  <w:szCs w:val="23"/>
                  <w:lang w:val="en-US"/>
                </w:rPr>
              </w:pPr>
              <w:r w:rsidRPr="003C1FC3">
                <w:rPr>
                  <w:noProof/>
                  <w:sz w:val="23"/>
                  <w:szCs w:val="23"/>
                </w:rPr>
                <w:t xml:space="preserve">Jember, E. F. (2019). </w:t>
              </w:r>
              <w:r w:rsidRPr="003C1FC3">
                <w:rPr>
                  <w:noProof/>
                  <w:sz w:val="23"/>
                  <w:szCs w:val="23"/>
                  <w:lang w:val="en-US"/>
                </w:rPr>
                <w:t xml:space="preserve">Self-medication practices and associated factors among households at Gondar town, Northwest Ethiopia: a cross-sectional study. . </w:t>
              </w:r>
              <w:r w:rsidRPr="003C1FC3">
                <w:rPr>
                  <w:i/>
                  <w:iCs/>
                  <w:noProof/>
                  <w:sz w:val="23"/>
                  <w:szCs w:val="23"/>
                  <w:lang w:val="en-US"/>
                </w:rPr>
                <w:t>BMC Res Notes</w:t>
              </w:r>
              <w:r w:rsidRPr="003C1FC3">
                <w:rPr>
                  <w:noProof/>
                  <w:sz w:val="23"/>
                  <w:szCs w:val="23"/>
                  <w:lang w:val="en-US"/>
                </w:rPr>
                <w:t>, 12(1), 153. doi:10.1186/s13104-019-4195- 2.</w:t>
              </w:r>
            </w:p>
            <w:p w14:paraId="7860ECE2"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lang w:val="en-US"/>
                </w:rPr>
                <w:t xml:space="preserve">Mathias, E. G. (2020). Self-Medication Practices among the Adolescent Population of South Karnataka, India. </w:t>
              </w:r>
              <w:r w:rsidRPr="003C1FC3">
                <w:rPr>
                  <w:i/>
                  <w:iCs/>
                  <w:noProof/>
                  <w:sz w:val="23"/>
                  <w:szCs w:val="23"/>
                </w:rPr>
                <w:t>J Environ Public Health</w:t>
              </w:r>
              <w:r w:rsidRPr="003C1FC3">
                <w:rPr>
                  <w:noProof/>
                  <w:sz w:val="23"/>
                  <w:szCs w:val="23"/>
                </w:rPr>
                <w:t>, 9021819. doi:10.1155/2020/9021819.</w:t>
              </w:r>
            </w:p>
            <w:p w14:paraId="396C9236"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lastRenderedPageBreak/>
                <w:t xml:space="preserve">Organizacion Mundial de la Salud. (2022). </w:t>
              </w:r>
              <w:r w:rsidRPr="003C1FC3">
                <w:rPr>
                  <w:i/>
                  <w:iCs/>
                  <w:noProof/>
                  <w:sz w:val="23"/>
                  <w:szCs w:val="23"/>
                </w:rPr>
                <w:t>Directrices de la OMS sobre actividad física y hábitos sedentarios.</w:t>
              </w:r>
              <w:r w:rsidRPr="003C1FC3">
                <w:rPr>
                  <w:noProof/>
                  <w:sz w:val="23"/>
                  <w:szCs w:val="23"/>
                </w:rPr>
                <w:t xml:space="preserve"> </w:t>
              </w:r>
            </w:p>
            <w:p w14:paraId="1532020E"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t xml:space="preserve">Rivas Riveros, E. R. (2018). Asociación entre el consumo de sustancias y la automedicación en jóvenes universitarios. . </w:t>
              </w:r>
              <w:r w:rsidRPr="003C1FC3">
                <w:rPr>
                  <w:i/>
                  <w:iCs/>
                  <w:noProof/>
                  <w:sz w:val="23"/>
                  <w:szCs w:val="23"/>
                </w:rPr>
                <w:t>Revista Médica de Chile,</w:t>
              </w:r>
              <w:r w:rsidRPr="003C1FC3">
                <w:rPr>
                  <w:noProof/>
                  <w:sz w:val="23"/>
                  <w:szCs w:val="23"/>
                </w:rPr>
                <w:t>, 146(7), 870-878.</w:t>
              </w:r>
            </w:p>
            <w:p w14:paraId="3A857DCC" w14:textId="77777777" w:rsidR="003C1FC3" w:rsidRPr="003C1FC3" w:rsidRDefault="003C1FC3" w:rsidP="003C1FC3">
              <w:pPr>
                <w:pStyle w:val="Bibliografa"/>
                <w:spacing w:line="276" w:lineRule="auto"/>
                <w:ind w:left="720" w:hanging="720"/>
                <w:jc w:val="both"/>
                <w:rPr>
                  <w:noProof/>
                  <w:sz w:val="23"/>
                  <w:szCs w:val="23"/>
                </w:rPr>
              </w:pPr>
              <w:r w:rsidRPr="003C1FC3">
                <w:rPr>
                  <w:noProof/>
                  <w:sz w:val="23"/>
                  <w:szCs w:val="23"/>
                </w:rPr>
                <w:t xml:space="preserve">Suqui, J. (2020). Tendencias y prevalencia de automedicación en estudiantes del área de la salud en América Latina. . </w:t>
              </w:r>
              <w:r w:rsidRPr="003C1FC3">
                <w:rPr>
                  <w:i/>
                  <w:iCs/>
                  <w:noProof/>
                  <w:sz w:val="23"/>
                  <w:szCs w:val="23"/>
                </w:rPr>
                <w:t xml:space="preserve">Revista de Salud Pública de América Latina, </w:t>
              </w:r>
              <w:r w:rsidRPr="003C1FC3">
                <w:rPr>
                  <w:noProof/>
                  <w:sz w:val="23"/>
                  <w:szCs w:val="23"/>
                </w:rPr>
                <w:t>, 14(2), 88-96.</w:t>
              </w:r>
            </w:p>
            <w:p w14:paraId="405CC8E2" w14:textId="2C451EBB" w:rsidR="003C1FC3" w:rsidRPr="003C1FC3" w:rsidRDefault="003C1FC3" w:rsidP="003C1FC3">
              <w:pPr>
                <w:rPr>
                  <w:szCs w:val="23"/>
                </w:rPr>
              </w:pPr>
              <w:r w:rsidRPr="003C1FC3">
                <w:rPr>
                  <w:b/>
                  <w:bCs/>
                  <w:szCs w:val="23"/>
                </w:rPr>
                <w:fldChar w:fldCharType="end"/>
              </w:r>
            </w:p>
          </w:sdtContent>
        </w:sdt>
      </w:sdtContent>
    </w:sdt>
    <w:p w14:paraId="6ACEE608" w14:textId="77777777" w:rsidR="003C1FC3" w:rsidRPr="003C1FC3" w:rsidRDefault="003C1FC3" w:rsidP="003C1FC3">
      <w:pPr>
        <w:rPr>
          <w:szCs w:val="23"/>
        </w:rPr>
      </w:pPr>
    </w:p>
    <w:sectPr w:rsidR="003C1FC3" w:rsidRPr="003C1FC3"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B0F5" w14:textId="77777777" w:rsidR="00057A2B" w:rsidRDefault="00057A2B" w:rsidP="00EB0247">
      <w:pPr>
        <w:spacing w:after="0" w:line="240" w:lineRule="auto"/>
      </w:pPr>
      <w:r>
        <w:separator/>
      </w:r>
    </w:p>
  </w:endnote>
  <w:endnote w:type="continuationSeparator" w:id="0">
    <w:p w14:paraId="02CEBDC8" w14:textId="77777777" w:rsidR="00057A2B" w:rsidRDefault="00057A2B"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4CF65" w14:textId="77777777" w:rsidR="00057A2B" w:rsidRDefault="00057A2B" w:rsidP="00EB0247">
      <w:pPr>
        <w:spacing w:after="0" w:line="240" w:lineRule="auto"/>
      </w:pPr>
      <w:r>
        <w:separator/>
      </w:r>
    </w:p>
  </w:footnote>
  <w:footnote w:type="continuationSeparator" w:id="0">
    <w:p w14:paraId="258792A4" w14:textId="77777777" w:rsidR="00057A2B" w:rsidRDefault="00057A2B"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5B56BEE"/>
    <w:multiLevelType w:val="hybridMultilevel"/>
    <w:tmpl w:val="A3487488"/>
    <w:lvl w:ilvl="0" w:tplc="769CB3D4">
      <w:numFmt w:val="bullet"/>
      <w:lvlText w:val="-"/>
      <w:lvlJc w:val="left"/>
      <w:pPr>
        <w:ind w:left="760" w:hanging="360"/>
      </w:pPr>
      <w:rPr>
        <w:rFonts w:ascii="Adobe Garamond Pro" w:eastAsiaTheme="minorHAnsi" w:hAnsi="Adobe Garamond Pro" w:cstheme="minorBidi"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5"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A15E6"/>
    <w:multiLevelType w:val="multilevel"/>
    <w:tmpl w:val="A34876D6"/>
    <w:lvl w:ilvl="0">
      <w:start w:val="1"/>
      <w:numFmt w:val="bullet"/>
      <w:lvlText w:val="●"/>
      <w:lvlJc w:val="left"/>
      <w:pPr>
        <w:ind w:left="4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C949EE"/>
    <w:multiLevelType w:val="hybridMultilevel"/>
    <w:tmpl w:val="EF3EB1EE"/>
    <w:lvl w:ilvl="0" w:tplc="769CB3D4">
      <w:numFmt w:val="bullet"/>
      <w:lvlText w:val="-"/>
      <w:lvlJc w:val="left"/>
      <w:pPr>
        <w:ind w:left="760" w:hanging="360"/>
      </w:pPr>
      <w:rPr>
        <w:rFonts w:ascii="Adobe Garamond Pro" w:eastAsiaTheme="minorHAnsi" w:hAnsi="Adobe Garamond Pro" w:cstheme="minorBidi"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5"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30"/>
  </w:num>
  <w:num w:numId="17">
    <w:abstractNumId w:val="26"/>
  </w:num>
  <w:num w:numId="18">
    <w:abstractNumId w:val="10"/>
  </w:num>
  <w:num w:numId="19">
    <w:abstractNumId w:val="25"/>
  </w:num>
  <w:num w:numId="20">
    <w:abstractNumId w:val="31"/>
  </w:num>
  <w:num w:numId="21">
    <w:abstractNumId w:val="32"/>
  </w:num>
  <w:num w:numId="22">
    <w:abstractNumId w:val="22"/>
  </w:num>
  <w:num w:numId="23">
    <w:abstractNumId w:val="32"/>
    <w:lvlOverride w:ilvl="0">
      <w:startOverride w:val="1"/>
    </w:lvlOverride>
  </w:num>
  <w:num w:numId="24">
    <w:abstractNumId w:val="32"/>
    <w:lvlOverride w:ilvl="0">
      <w:startOverride w:val="1"/>
    </w:lvlOverride>
  </w:num>
  <w:num w:numId="25">
    <w:abstractNumId w:val="12"/>
  </w:num>
  <w:num w:numId="26">
    <w:abstractNumId w:val="33"/>
  </w:num>
  <w:num w:numId="27">
    <w:abstractNumId w:val="20"/>
  </w:num>
  <w:num w:numId="28">
    <w:abstractNumId w:val="21"/>
  </w:num>
  <w:num w:numId="29">
    <w:abstractNumId w:val="23"/>
  </w:num>
  <w:num w:numId="30">
    <w:abstractNumId w:val="16"/>
  </w:num>
  <w:num w:numId="31">
    <w:abstractNumId w:val="24"/>
  </w:num>
  <w:num w:numId="32">
    <w:abstractNumId w:val="15"/>
  </w:num>
  <w:num w:numId="33">
    <w:abstractNumId w:val="27"/>
  </w:num>
  <w:num w:numId="34">
    <w:abstractNumId w:val="28"/>
  </w:num>
  <w:num w:numId="35">
    <w:abstractNumId w:val="35"/>
  </w:num>
  <w:num w:numId="36">
    <w:abstractNumId w:val="32"/>
    <w:lvlOverride w:ilvl="0">
      <w:startOverride w:val="1"/>
    </w:lvlOverride>
  </w:num>
  <w:num w:numId="37">
    <w:abstractNumId w:val="32"/>
    <w:lvlOverride w:ilvl="0">
      <w:startOverride w:val="1"/>
    </w:lvlOverride>
  </w:num>
  <w:num w:numId="38">
    <w:abstractNumId w:val="32"/>
    <w:lvlOverride w:ilvl="0">
      <w:startOverride w:val="1"/>
    </w:lvlOverride>
  </w:num>
  <w:num w:numId="39">
    <w:abstractNumId w:val="35"/>
    <w:lvlOverride w:ilvl="0">
      <w:startOverride w:val="1"/>
    </w:lvlOverride>
  </w:num>
  <w:num w:numId="40">
    <w:abstractNumId w:val="35"/>
    <w:lvlOverride w:ilvl="0">
      <w:startOverride w:val="1"/>
    </w:lvlOverride>
  </w:num>
  <w:num w:numId="41">
    <w:abstractNumId w:val="32"/>
    <w:lvlOverride w:ilvl="0">
      <w:startOverride w:val="1"/>
    </w:lvlOverride>
  </w:num>
  <w:num w:numId="42">
    <w:abstractNumId w:val="35"/>
    <w:lvlOverride w:ilvl="0">
      <w:startOverride w:val="1"/>
    </w:lvlOverride>
  </w:num>
  <w:num w:numId="43">
    <w:abstractNumId w:val="32"/>
    <w:lvlOverride w:ilvl="0">
      <w:startOverride w:val="1"/>
    </w:lvlOverride>
  </w:num>
  <w:num w:numId="44">
    <w:abstractNumId w:val="35"/>
    <w:lvlOverride w:ilvl="0">
      <w:startOverride w:val="1"/>
    </w:lvlOverride>
  </w:num>
  <w:num w:numId="45">
    <w:abstractNumId w:val="29"/>
  </w:num>
  <w:num w:numId="46">
    <w:abstractNumId w:val="1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64"/>
    <w:rsid w:val="000068CF"/>
    <w:rsid w:val="00012517"/>
    <w:rsid w:val="00033E3E"/>
    <w:rsid w:val="00057A2B"/>
    <w:rsid w:val="00063421"/>
    <w:rsid w:val="00097EEF"/>
    <w:rsid w:val="000C5EDB"/>
    <w:rsid w:val="000D1613"/>
    <w:rsid w:val="001348A0"/>
    <w:rsid w:val="00140844"/>
    <w:rsid w:val="001468AC"/>
    <w:rsid w:val="0015066B"/>
    <w:rsid w:val="001551E7"/>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06A23"/>
    <w:rsid w:val="003512A0"/>
    <w:rsid w:val="00375999"/>
    <w:rsid w:val="0039591A"/>
    <w:rsid w:val="003C1FC3"/>
    <w:rsid w:val="003C4D9F"/>
    <w:rsid w:val="003E66FB"/>
    <w:rsid w:val="00422CDA"/>
    <w:rsid w:val="004307D4"/>
    <w:rsid w:val="00437ED3"/>
    <w:rsid w:val="0044345A"/>
    <w:rsid w:val="00477173"/>
    <w:rsid w:val="004819D7"/>
    <w:rsid w:val="00483794"/>
    <w:rsid w:val="004842F0"/>
    <w:rsid w:val="00484413"/>
    <w:rsid w:val="00493A17"/>
    <w:rsid w:val="004C0202"/>
    <w:rsid w:val="004D0180"/>
    <w:rsid w:val="0051373C"/>
    <w:rsid w:val="005335DF"/>
    <w:rsid w:val="005417EB"/>
    <w:rsid w:val="005430EA"/>
    <w:rsid w:val="00584BB4"/>
    <w:rsid w:val="00587476"/>
    <w:rsid w:val="005A43E3"/>
    <w:rsid w:val="005A4AFE"/>
    <w:rsid w:val="005A6174"/>
    <w:rsid w:val="005F466B"/>
    <w:rsid w:val="00607EE3"/>
    <w:rsid w:val="006131F7"/>
    <w:rsid w:val="006228E4"/>
    <w:rsid w:val="00622E97"/>
    <w:rsid w:val="00675757"/>
    <w:rsid w:val="00680332"/>
    <w:rsid w:val="00681364"/>
    <w:rsid w:val="0068745E"/>
    <w:rsid w:val="006B7745"/>
    <w:rsid w:val="006D31C5"/>
    <w:rsid w:val="00714CBD"/>
    <w:rsid w:val="00721EBE"/>
    <w:rsid w:val="00742AC5"/>
    <w:rsid w:val="007701F1"/>
    <w:rsid w:val="00792960"/>
    <w:rsid w:val="007A0F17"/>
    <w:rsid w:val="007E4E94"/>
    <w:rsid w:val="007F0944"/>
    <w:rsid w:val="008238DE"/>
    <w:rsid w:val="00863A4D"/>
    <w:rsid w:val="00884BFB"/>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1349A"/>
    <w:rsid w:val="00A206F1"/>
    <w:rsid w:val="00A8553F"/>
    <w:rsid w:val="00B0717D"/>
    <w:rsid w:val="00B148C6"/>
    <w:rsid w:val="00B4679B"/>
    <w:rsid w:val="00B57A4E"/>
    <w:rsid w:val="00B60DF4"/>
    <w:rsid w:val="00B61799"/>
    <w:rsid w:val="00BA41D0"/>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CF0EE1"/>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EC2EE9"/>
    <w:rsid w:val="00EE5F35"/>
    <w:rsid w:val="00F11595"/>
    <w:rsid w:val="00F60611"/>
    <w:rsid w:val="00F6387D"/>
    <w:rsid w:val="00F63B01"/>
    <w:rsid w:val="00F66726"/>
    <w:rsid w:val="00F76A57"/>
    <w:rsid w:val="00FA262A"/>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5"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Cuadrculadetab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UnresolvedMention">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unhideWhenUsed/>
    <w:rsid w:val="00CF0EE1"/>
    <w:pPr>
      <w:spacing w:before="100" w:beforeAutospacing="1" w:after="100" w:afterAutospacing="1" w:line="240" w:lineRule="auto"/>
      <w:jc w:val="left"/>
    </w:pPr>
    <w:rPr>
      <w:rFonts w:eastAsia="Times New Roman" w:cs="Times New Roman"/>
      <w:spacing w:val="0"/>
      <w:sz w:val="24"/>
      <w:szCs w:val="24"/>
      <w:lang w:val="en-US"/>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8974">
      <w:bodyDiv w:val="1"/>
      <w:marLeft w:val="0"/>
      <w:marRight w:val="0"/>
      <w:marTop w:val="0"/>
      <w:marBottom w:val="0"/>
      <w:divBdr>
        <w:top w:val="none" w:sz="0" w:space="0" w:color="auto"/>
        <w:left w:val="none" w:sz="0" w:space="0" w:color="auto"/>
        <w:bottom w:val="none" w:sz="0" w:space="0" w:color="auto"/>
        <w:right w:val="none" w:sz="0" w:space="0" w:color="auto"/>
      </w:divBdr>
    </w:div>
    <w:div w:id="9333154">
      <w:bodyDiv w:val="1"/>
      <w:marLeft w:val="0"/>
      <w:marRight w:val="0"/>
      <w:marTop w:val="0"/>
      <w:marBottom w:val="0"/>
      <w:divBdr>
        <w:top w:val="none" w:sz="0" w:space="0" w:color="auto"/>
        <w:left w:val="none" w:sz="0" w:space="0" w:color="auto"/>
        <w:bottom w:val="none" w:sz="0" w:space="0" w:color="auto"/>
        <w:right w:val="none" w:sz="0" w:space="0" w:color="auto"/>
      </w:divBdr>
    </w:div>
    <w:div w:id="61611637">
      <w:bodyDiv w:val="1"/>
      <w:marLeft w:val="0"/>
      <w:marRight w:val="0"/>
      <w:marTop w:val="0"/>
      <w:marBottom w:val="0"/>
      <w:divBdr>
        <w:top w:val="none" w:sz="0" w:space="0" w:color="auto"/>
        <w:left w:val="none" w:sz="0" w:space="0" w:color="auto"/>
        <w:bottom w:val="none" w:sz="0" w:space="0" w:color="auto"/>
        <w:right w:val="none" w:sz="0" w:space="0" w:color="auto"/>
      </w:divBdr>
    </w:div>
    <w:div w:id="73165133">
      <w:bodyDiv w:val="1"/>
      <w:marLeft w:val="0"/>
      <w:marRight w:val="0"/>
      <w:marTop w:val="0"/>
      <w:marBottom w:val="0"/>
      <w:divBdr>
        <w:top w:val="none" w:sz="0" w:space="0" w:color="auto"/>
        <w:left w:val="none" w:sz="0" w:space="0" w:color="auto"/>
        <w:bottom w:val="none" w:sz="0" w:space="0" w:color="auto"/>
        <w:right w:val="none" w:sz="0" w:space="0" w:color="auto"/>
      </w:divBdr>
    </w:div>
    <w:div w:id="305009355">
      <w:bodyDiv w:val="1"/>
      <w:marLeft w:val="0"/>
      <w:marRight w:val="0"/>
      <w:marTop w:val="0"/>
      <w:marBottom w:val="0"/>
      <w:divBdr>
        <w:top w:val="none" w:sz="0" w:space="0" w:color="auto"/>
        <w:left w:val="none" w:sz="0" w:space="0" w:color="auto"/>
        <w:bottom w:val="none" w:sz="0" w:space="0" w:color="auto"/>
        <w:right w:val="none" w:sz="0" w:space="0" w:color="auto"/>
      </w:divBdr>
    </w:div>
    <w:div w:id="343480866">
      <w:bodyDiv w:val="1"/>
      <w:marLeft w:val="0"/>
      <w:marRight w:val="0"/>
      <w:marTop w:val="0"/>
      <w:marBottom w:val="0"/>
      <w:divBdr>
        <w:top w:val="none" w:sz="0" w:space="0" w:color="auto"/>
        <w:left w:val="none" w:sz="0" w:space="0" w:color="auto"/>
        <w:bottom w:val="none" w:sz="0" w:space="0" w:color="auto"/>
        <w:right w:val="none" w:sz="0" w:space="0" w:color="auto"/>
      </w:divBdr>
    </w:div>
    <w:div w:id="416361756">
      <w:bodyDiv w:val="1"/>
      <w:marLeft w:val="0"/>
      <w:marRight w:val="0"/>
      <w:marTop w:val="0"/>
      <w:marBottom w:val="0"/>
      <w:divBdr>
        <w:top w:val="none" w:sz="0" w:space="0" w:color="auto"/>
        <w:left w:val="none" w:sz="0" w:space="0" w:color="auto"/>
        <w:bottom w:val="none" w:sz="0" w:space="0" w:color="auto"/>
        <w:right w:val="none" w:sz="0" w:space="0" w:color="auto"/>
      </w:divBdr>
    </w:div>
    <w:div w:id="434063141">
      <w:bodyDiv w:val="1"/>
      <w:marLeft w:val="0"/>
      <w:marRight w:val="0"/>
      <w:marTop w:val="0"/>
      <w:marBottom w:val="0"/>
      <w:divBdr>
        <w:top w:val="none" w:sz="0" w:space="0" w:color="auto"/>
        <w:left w:val="none" w:sz="0" w:space="0" w:color="auto"/>
        <w:bottom w:val="none" w:sz="0" w:space="0" w:color="auto"/>
        <w:right w:val="none" w:sz="0" w:space="0" w:color="auto"/>
      </w:divBdr>
    </w:div>
    <w:div w:id="490145574">
      <w:bodyDiv w:val="1"/>
      <w:marLeft w:val="0"/>
      <w:marRight w:val="0"/>
      <w:marTop w:val="0"/>
      <w:marBottom w:val="0"/>
      <w:divBdr>
        <w:top w:val="none" w:sz="0" w:space="0" w:color="auto"/>
        <w:left w:val="none" w:sz="0" w:space="0" w:color="auto"/>
        <w:bottom w:val="none" w:sz="0" w:space="0" w:color="auto"/>
        <w:right w:val="none" w:sz="0" w:space="0" w:color="auto"/>
      </w:divBdr>
    </w:div>
    <w:div w:id="557130879">
      <w:bodyDiv w:val="1"/>
      <w:marLeft w:val="0"/>
      <w:marRight w:val="0"/>
      <w:marTop w:val="0"/>
      <w:marBottom w:val="0"/>
      <w:divBdr>
        <w:top w:val="none" w:sz="0" w:space="0" w:color="auto"/>
        <w:left w:val="none" w:sz="0" w:space="0" w:color="auto"/>
        <w:bottom w:val="none" w:sz="0" w:space="0" w:color="auto"/>
        <w:right w:val="none" w:sz="0" w:space="0" w:color="auto"/>
      </w:divBdr>
    </w:div>
    <w:div w:id="678002469">
      <w:bodyDiv w:val="1"/>
      <w:marLeft w:val="0"/>
      <w:marRight w:val="0"/>
      <w:marTop w:val="0"/>
      <w:marBottom w:val="0"/>
      <w:divBdr>
        <w:top w:val="none" w:sz="0" w:space="0" w:color="auto"/>
        <w:left w:val="none" w:sz="0" w:space="0" w:color="auto"/>
        <w:bottom w:val="none" w:sz="0" w:space="0" w:color="auto"/>
        <w:right w:val="none" w:sz="0" w:space="0" w:color="auto"/>
      </w:divBdr>
    </w:div>
    <w:div w:id="699279880">
      <w:bodyDiv w:val="1"/>
      <w:marLeft w:val="0"/>
      <w:marRight w:val="0"/>
      <w:marTop w:val="0"/>
      <w:marBottom w:val="0"/>
      <w:divBdr>
        <w:top w:val="none" w:sz="0" w:space="0" w:color="auto"/>
        <w:left w:val="none" w:sz="0" w:space="0" w:color="auto"/>
        <w:bottom w:val="none" w:sz="0" w:space="0" w:color="auto"/>
        <w:right w:val="none" w:sz="0" w:space="0" w:color="auto"/>
      </w:divBdr>
    </w:div>
    <w:div w:id="747118561">
      <w:bodyDiv w:val="1"/>
      <w:marLeft w:val="0"/>
      <w:marRight w:val="0"/>
      <w:marTop w:val="0"/>
      <w:marBottom w:val="0"/>
      <w:divBdr>
        <w:top w:val="none" w:sz="0" w:space="0" w:color="auto"/>
        <w:left w:val="none" w:sz="0" w:space="0" w:color="auto"/>
        <w:bottom w:val="none" w:sz="0" w:space="0" w:color="auto"/>
        <w:right w:val="none" w:sz="0" w:space="0" w:color="auto"/>
      </w:divBdr>
    </w:div>
    <w:div w:id="913512743">
      <w:bodyDiv w:val="1"/>
      <w:marLeft w:val="0"/>
      <w:marRight w:val="0"/>
      <w:marTop w:val="0"/>
      <w:marBottom w:val="0"/>
      <w:divBdr>
        <w:top w:val="none" w:sz="0" w:space="0" w:color="auto"/>
        <w:left w:val="none" w:sz="0" w:space="0" w:color="auto"/>
        <w:bottom w:val="none" w:sz="0" w:space="0" w:color="auto"/>
        <w:right w:val="none" w:sz="0" w:space="0" w:color="auto"/>
      </w:divBdr>
    </w:div>
    <w:div w:id="1030685251">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15101367">
      <w:bodyDiv w:val="1"/>
      <w:marLeft w:val="0"/>
      <w:marRight w:val="0"/>
      <w:marTop w:val="0"/>
      <w:marBottom w:val="0"/>
      <w:divBdr>
        <w:top w:val="none" w:sz="0" w:space="0" w:color="auto"/>
        <w:left w:val="none" w:sz="0" w:space="0" w:color="auto"/>
        <w:bottom w:val="none" w:sz="0" w:space="0" w:color="auto"/>
        <w:right w:val="none" w:sz="0" w:space="0" w:color="auto"/>
      </w:divBdr>
    </w:div>
    <w:div w:id="1116875336">
      <w:bodyDiv w:val="1"/>
      <w:marLeft w:val="0"/>
      <w:marRight w:val="0"/>
      <w:marTop w:val="0"/>
      <w:marBottom w:val="0"/>
      <w:divBdr>
        <w:top w:val="none" w:sz="0" w:space="0" w:color="auto"/>
        <w:left w:val="none" w:sz="0" w:space="0" w:color="auto"/>
        <w:bottom w:val="none" w:sz="0" w:space="0" w:color="auto"/>
        <w:right w:val="none" w:sz="0" w:space="0" w:color="auto"/>
      </w:divBdr>
    </w:div>
    <w:div w:id="1152062002">
      <w:bodyDiv w:val="1"/>
      <w:marLeft w:val="0"/>
      <w:marRight w:val="0"/>
      <w:marTop w:val="0"/>
      <w:marBottom w:val="0"/>
      <w:divBdr>
        <w:top w:val="none" w:sz="0" w:space="0" w:color="auto"/>
        <w:left w:val="none" w:sz="0" w:space="0" w:color="auto"/>
        <w:bottom w:val="none" w:sz="0" w:space="0" w:color="auto"/>
        <w:right w:val="none" w:sz="0" w:space="0" w:color="auto"/>
      </w:divBdr>
    </w:div>
    <w:div w:id="1164976086">
      <w:bodyDiv w:val="1"/>
      <w:marLeft w:val="0"/>
      <w:marRight w:val="0"/>
      <w:marTop w:val="0"/>
      <w:marBottom w:val="0"/>
      <w:divBdr>
        <w:top w:val="none" w:sz="0" w:space="0" w:color="auto"/>
        <w:left w:val="none" w:sz="0" w:space="0" w:color="auto"/>
        <w:bottom w:val="none" w:sz="0" w:space="0" w:color="auto"/>
        <w:right w:val="none" w:sz="0" w:space="0" w:color="auto"/>
      </w:divBdr>
    </w:div>
    <w:div w:id="1233930467">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58658568">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71493030">
      <w:bodyDiv w:val="1"/>
      <w:marLeft w:val="0"/>
      <w:marRight w:val="0"/>
      <w:marTop w:val="0"/>
      <w:marBottom w:val="0"/>
      <w:divBdr>
        <w:top w:val="none" w:sz="0" w:space="0" w:color="auto"/>
        <w:left w:val="none" w:sz="0" w:space="0" w:color="auto"/>
        <w:bottom w:val="none" w:sz="0" w:space="0" w:color="auto"/>
        <w:right w:val="none" w:sz="0" w:space="0" w:color="auto"/>
      </w:divBdr>
    </w:div>
    <w:div w:id="1398895623">
      <w:bodyDiv w:val="1"/>
      <w:marLeft w:val="0"/>
      <w:marRight w:val="0"/>
      <w:marTop w:val="0"/>
      <w:marBottom w:val="0"/>
      <w:divBdr>
        <w:top w:val="none" w:sz="0" w:space="0" w:color="auto"/>
        <w:left w:val="none" w:sz="0" w:space="0" w:color="auto"/>
        <w:bottom w:val="none" w:sz="0" w:space="0" w:color="auto"/>
        <w:right w:val="none" w:sz="0" w:space="0" w:color="auto"/>
      </w:divBdr>
    </w:div>
    <w:div w:id="1478717233">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35146255">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95883137">
      <w:bodyDiv w:val="1"/>
      <w:marLeft w:val="0"/>
      <w:marRight w:val="0"/>
      <w:marTop w:val="0"/>
      <w:marBottom w:val="0"/>
      <w:divBdr>
        <w:top w:val="none" w:sz="0" w:space="0" w:color="auto"/>
        <w:left w:val="none" w:sz="0" w:space="0" w:color="auto"/>
        <w:bottom w:val="none" w:sz="0" w:space="0" w:color="auto"/>
        <w:right w:val="none" w:sz="0" w:space="0" w:color="auto"/>
      </w:divBdr>
    </w:div>
    <w:div w:id="1698238788">
      <w:bodyDiv w:val="1"/>
      <w:marLeft w:val="0"/>
      <w:marRight w:val="0"/>
      <w:marTop w:val="0"/>
      <w:marBottom w:val="0"/>
      <w:divBdr>
        <w:top w:val="none" w:sz="0" w:space="0" w:color="auto"/>
        <w:left w:val="none" w:sz="0" w:space="0" w:color="auto"/>
        <w:bottom w:val="none" w:sz="0" w:space="0" w:color="auto"/>
        <w:right w:val="none" w:sz="0" w:space="0" w:color="auto"/>
      </w:divBdr>
    </w:div>
    <w:div w:id="1706130991">
      <w:bodyDiv w:val="1"/>
      <w:marLeft w:val="0"/>
      <w:marRight w:val="0"/>
      <w:marTop w:val="0"/>
      <w:marBottom w:val="0"/>
      <w:divBdr>
        <w:top w:val="none" w:sz="0" w:space="0" w:color="auto"/>
        <w:left w:val="none" w:sz="0" w:space="0" w:color="auto"/>
        <w:bottom w:val="none" w:sz="0" w:space="0" w:color="auto"/>
        <w:right w:val="none" w:sz="0" w:space="0" w:color="auto"/>
      </w:divBdr>
    </w:div>
    <w:div w:id="1718509609">
      <w:bodyDiv w:val="1"/>
      <w:marLeft w:val="0"/>
      <w:marRight w:val="0"/>
      <w:marTop w:val="0"/>
      <w:marBottom w:val="0"/>
      <w:divBdr>
        <w:top w:val="none" w:sz="0" w:space="0" w:color="auto"/>
        <w:left w:val="none" w:sz="0" w:space="0" w:color="auto"/>
        <w:bottom w:val="none" w:sz="0" w:space="0" w:color="auto"/>
        <w:right w:val="none" w:sz="0" w:space="0" w:color="auto"/>
      </w:divBdr>
    </w:div>
    <w:div w:id="1732266697">
      <w:bodyDiv w:val="1"/>
      <w:marLeft w:val="0"/>
      <w:marRight w:val="0"/>
      <w:marTop w:val="0"/>
      <w:marBottom w:val="0"/>
      <w:divBdr>
        <w:top w:val="none" w:sz="0" w:space="0" w:color="auto"/>
        <w:left w:val="none" w:sz="0" w:space="0" w:color="auto"/>
        <w:bottom w:val="none" w:sz="0" w:space="0" w:color="auto"/>
        <w:right w:val="none" w:sz="0" w:space="0" w:color="auto"/>
      </w:divBdr>
    </w:div>
    <w:div w:id="1821187583">
      <w:bodyDiv w:val="1"/>
      <w:marLeft w:val="0"/>
      <w:marRight w:val="0"/>
      <w:marTop w:val="0"/>
      <w:marBottom w:val="0"/>
      <w:divBdr>
        <w:top w:val="none" w:sz="0" w:space="0" w:color="auto"/>
        <w:left w:val="none" w:sz="0" w:space="0" w:color="auto"/>
        <w:bottom w:val="none" w:sz="0" w:space="0" w:color="auto"/>
        <w:right w:val="none" w:sz="0" w:space="0" w:color="auto"/>
      </w:divBdr>
    </w:div>
    <w:div w:id="1822192876">
      <w:bodyDiv w:val="1"/>
      <w:marLeft w:val="0"/>
      <w:marRight w:val="0"/>
      <w:marTop w:val="0"/>
      <w:marBottom w:val="0"/>
      <w:divBdr>
        <w:top w:val="none" w:sz="0" w:space="0" w:color="auto"/>
        <w:left w:val="none" w:sz="0" w:space="0" w:color="auto"/>
        <w:bottom w:val="none" w:sz="0" w:space="0" w:color="auto"/>
        <w:right w:val="none" w:sz="0" w:space="0" w:color="auto"/>
      </w:divBdr>
    </w:div>
    <w:div w:id="1832941866">
      <w:bodyDiv w:val="1"/>
      <w:marLeft w:val="0"/>
      <w:marRight w:val="0"/>
      <w:marTop w:val="0"/>
      <w:marBottom w:val="0"/>
      <w:divBdr>
        <w:top w:val="none" w:sz="0" w:space="0" w:color="auto"/>
        <w:left w:val="none" w:sz="0" w:space="0" w:color="auto"/>
        <w:bottom w:val="none" w:sz="0" w:space="0" w:color="auto"/>
        <w:right w:val="none" w:sz="0" w:space="0" w:color="auto"/>
      </w:divBdr>
    </w:div>
    <w:div w:id="199387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Abd18</b:Tag>
    <b:SourceType>JournalArticle</b:SourceType>
    <b:Guid>{6391B8E1-86C1-4A1D-926D-9E1773C5A6FF}</b:Guid>
    <b:Author>
      <b:Author>
        <b:NameList>
          <b:Person>
            <b:Last>Abdi</b:Last>
            <b:First>A.,</b:First>
            <b:Middle>Hassan, Z. A., &amp; Bano, S.</b:Middle>
          </b:Person>
        </b:NameList>
      </b:Author>
    </b:Author>
    <b:Title>Self-medication practices among medical and non-medical students: A cross-sectional study.</b:Title>
    <b:JournalName>Journal of Clinical and Diagnostic Re-search,</b:JournalName>
    <b:Year>2018</b:Year>
    <b:Pages>12(4), 15-20.</b:Pages>
    <b:RefOrder>1</b:RefOrder>
  </b:Source>
  <b:Source>
    <b:Tag>Ach22</b:Tag>
    <b:SourceType>JournalArticle</b:SourceType>
    <b:Guid>{3B8B0EC5-F614-499D-B50A-FAA48250FE27}</b:Guid>
    <b:Author>
      <b:Author>
        <b:NameList>
          <b:Person>
            <b:Last>Acharya</b:Last>
            <b:First>A.,</b:First>
            <b:Middle>Shrestha, M. V., &amp; Karki, D.</b:Middle>
          </b:Person>
        </b:NameList>
      </b:Author>
    </b:Author>
    <b:Title>Prevalence and patterns of self-medication among medical students: A systematic review and meta-analysis.</b:Title>
    <b:JournalName>BMC Medical Education,</b:JournalName>
    <b:Year>2022</b:Year>
    <b:Pages>22(1), 102-115.</b:Pages>
    <b:RefOrder>2</b:RefOrder>
  </b:Source>
  <b:Source>
    <b:Tag>Alb21</b:Tag>
    <b:SourceType>JournalArticle</b:SourceType>
    <b:Guid>{E1FA0DA0-509A-4379-8DD6-30E3B7B5B4A8}</b:Guid>
    <b:Author>
      <b:Author>
        <b:NameList>
          <b:Person>
            <b:Last>Alburayk</b:Last>
            <b:First>K.</b:First>
            <b:Middle>A. .</b:Middle>
          </b:Person>
        </b:NameList>
      </b:Author>
    </b:Author>
    <b:Title> Adverse drug reactions and drug interactions associated with self-medication practices. </b:Title>
    <b:JournalName>Saudi Pharmaceutical Journal, </b:JournalName>
    <b:Year>2021</b:Year>
    <b:Pages>29(6), 512-518</b:Pages>
    <b:RefOrder>5</b:RefOrder>
  </b:Source>
  <b:Source>
    <b:Tag>Als21</b:Tag>
    <b:SourceType>JournalArticle</b:SourceType>
    <b:Guid>{FF01A49E-4F86-4425-BECA-23CD265FD00B}</b:Guid>
    <b:Author>
      <b:Author>
        <b:NameList>
          <b:Person>
            <b:Last>Alsous</b:Last>
            <b:First>M.</b:First>
          </b:Person>
        </b:NameList>
      </b:Author>
    </b:Author>
    <b:Title>Cardiovascular implications of non-prescription medication misuse among young adults.</b:Title>
    <b:JournalName> International Journal of Clinical Practice, .</b:JournalName>
    <b:Year>2021</b:Year>
    <b:Pages>75(8), e14210</b:Pages>
    <b:RefOrder>13</b:RefOrder>
  </b:Source>
  <b:Source>
    <b:Tag>Bar21</b:Tag>
    <b:SourceType>JournalArticle</b:SourceType>
    <b:Guid>{A72FE9F8-B536-4A44-90C5-FD71721A32C2}</b:Guid>
    <b:Author>
      <b:Author>
        <b:NameList>
          <b:Person>
            <b:Last>Barros-Sevillano</b:Last>
            <b:First>J.</b:First>
            <b:Middle>S., Sandoval, C. P., Alcarraz-Mundial, L. S., &amp; Barboza, J. J.</b:Middle>
          </b:Person>
        </b:NameList>
      </b:Author>
    </b:Author>
    <b:Title>Self-medication in times of COVID-19. A perspective from Peru. </b:Title>
    <b:JournalName>Gac Med Mex, </b:JournalName>
    <b:Year>2021</b:Year>
    <b:Pages>157(1), 116. doi:10.24875/gmm.M21000526</b:Pages>
    <b:RefOrder>10</b:RefOrder>
  </b:Source>
  <b:Source>
    <b:Tag>Beh20</b:Tag>
    <b:SourceType>JournalArticle</b:SourceType>
    <b:Guid>{F652C949-7733-4F7E-95B2-2255DC4ADCA1}</b:Guid>
    <b:Author>
      <b:Author>
        <b:NameList>
          <b:Person>
            <b:Last>Behzadifar</b:Last>
            <b:First>M.,</b:First>
            <b:Middle>Behzadifar, M., &amp; Aryankhesal, A.</b:Middle>
          </b:Person>
        </b:NameList>
      </b:Author>
    </b:Author>
    <b:Title>Prevalence of self-medication in university students: A systematic review and meta-analysis</b:Title>
    <b:JournalName>Eastern Mediterranean Health Journal, </b:JournalName>
    <b:Year>2020</b:Year>
    <b:Pages>26(7), 846-857</b:Pages>
    <b:RefOrder>9</b:RefOrder>
  </b:Source>
  <b:Source>
    <b:Tag>Cec18</b:Tag>
    <b:SourceType>JournalArticle</b:SourceType>
    <b:Guid>{8E300642-A425-47D3-9BD6-096A97AE784E}</b:Guid>
    <b:Author>
      <b:Author>
        <b:NameList>
          <b:Person>
            <b:Last>Cecilia</b:Last>
            <b:First>M.</b:First>
            <b:Middle>J., García-Estañ, J., &amp; Atucha, N. M.</b:Middle>
          </b:Person>
        </b:NameList>
      </b:Author>
    </b:Author>
    <b:Title>La automedicación en estudiantes del Grado en Farmacia. </b:Title>
    <b:JournalName>Educ. Med.</b:JournalName>
    <b:Year>2018</b:Year>
    <b:Pages> 19 (5): 277-282. doi:https://doi.org/10.1016/j.edumed.2017.07.005</b:Pages>
    <b:RefOrder>8</b:RefOrder>
  </b:Source>
  <b:Source>
    <b:Tag>Ced16</b:Tag>
    <b:SourceType>JournalArticle</b:SourceType>
    <b:Guid>{E6EEB830-8FA9-49BB-9165-927533765548}</b:Guid>
    <b:Author>
      <b:Author>
        <b:NameList>
          <b:Person>
            <b:Last>Cedillo-Ramírez</b:Last>
            <b:First>L.,</b:First>
            <b:Middle>Correa-López, L. E., Vela-Ruiz, J. M., &amp; Perez-Acuña, L. M.</b:Middle>
          </b:Person>
        </b:NameList>
      </b:Author>
    </b:Author>
    <b:Title>Estilos de vida y salud en estudiantes de medicina humana de una universidad privada. </b:Title>
    <b:JournalName>Revista de la Facultad de Medicina Humana,</b:JournalName>
    <b:Year>2016</b:Year>
    <b:Pages> 16(2), 45-52.</b:Pages>
    <b:RefOrder>7</b:RefOrder>
  </b:Source>
  <b:Source>
    <b:Tag>Gal21</b:Tag>
    <b:SourceType>JournalArticle</b:SourceType>
    <b:Guid>{FC760196-94B7-403D-8A25-FEB4CC259FEE}</b:Guid>
    <b:Author>
      <b:Author>
        <b:NameList>
          <b:Person>
            <b:Last>Galárraga</b:Last>
            <b:First>P.</b:First>
          </b:Person>
        </b:NameList>
      </b:Author>
    </b:Author>
    <b:Title>Automedicación en estudiantes de ciencias de la salud en el Ecuador: Análisis prevalencial. </b:Title>
    <b:JournalName>Revista Ecuatoriana de Medicina y Ciencias Biológicas,</b:JournalName>
    <b:Year>2021</b:Year>
    <b:Pages> 42(1), 33-41.</b:Pages>
    <b:RefOrder>4</b:RefOrder>
  </b:Source>
  <b:Source>
    <b:Tag>Jem19</b:Tag>
    <b:SourceType>JournalArticle</b:SourceType>
    <b:Guid>{C36DDFED-D936-4EDD-BD9C-62F764EE2D43}</b:Guid>
    <b:Author>
      <b:Author>
        <b:NameList>
          <b:Person>
            <b:Last>Jember</b:Last>
            <b:First>E.,</b:First>
            <b:Middle>Feleke, A., Debie, A., &amp; Asrade, G.</b:Middle>
          </b:Person>
        </b:NameList>
      </b:Author>
    </b:Author>
    <b:Title>Self-medication practices and associated factors among households at Gondar town, Northwest Ethiopia: a cross-sectional study. </b:Title>
    <b:JournalName>BMC Res Notes</b:JournalName>
    <b:Year>2019</b:Year>
    <b:Pages>12(1), 153. doi:10.1186/s13104-019-4195- 2</b:Pages>
    <b:RefOrder>14</b:RefOrder>
  </b:Source>
  <b:Source>
    <b:Tag>Mat</b:Tag>
    <b:SourceType>JournalArticle</b:SourceType>
    <b:Guid>{25AE54D6-7143-4699-B201-47873EF03740}</b:Guid>
    <b:Author>
      <b:Author>
        <b:NameList>
          <b:Person>
            <b:Last>Mathias</b:Last>
            <b:First>E.</b:First>
            <b:Middle>G., D'Souza, A., &amp; Prabhu, S.</b:Middle>
          </b:Person>
        </b:NameList>
      </b:Author>
    </b:Author>
    <b:Title>Self-Medication Practices among the Adolescent Population of South Karnataka, India.</b:Title>
    <b:JournalName>J Environ Public Health</b:JournalName>
    <b:Pages>9021819. doi:10.1155/2020/9021819</b:Pages>
    <b:Year>2020</b:Year>
    <b:RefOrder>11</b:RefOrder>
  </b:Source>
  <b:Source>
    <b:Tag>Org22</b:Tag>
    <b:SourceType>Report</b:SourceType>
    <b:Guid>{E187EA8E-F0A0-4D9D-81C1-9F6BAFFD99F1}</b:Guid>
    <b:Author>
      <b:Author>
        <b:NameList>
          <b:Person>
            <b:Last>Organizacion Mundial de la Salud</b:Last>
          </b:Person>
        </b:NameList>
      </b:Author>
    </b:Author>
    <b:Title>Directrices de la OMS sobre actividad física y hábitos sedentarios.</b:Title>
    <b:JournalName>Ediciones OMS.</b:JournalName>
    <b:Year>2022</b:Year>
    <b:Pages>xxx</b:Pages>
    <b:RefOrder>3</b:RefOrder>
  </b:Source>
  <b:Source>
    <b:Tag>Riv18</b:Tag>
    <b:SourceType>JournalArticle</b:SourceType>
    <b:Guid>{145DD6DC-F08F-44E1-8075-C044E48D00DD}</b:Guid>
    <b:Author>
      <b:Author>
        <b:NameList>
          <b:Person>
            <b:Last>Rivas Riveros</b:Last>
            <b:First>E.,</b:First>
            <b:Middle>Rivas Lienqueo, C., &amp; Bustos Medina, L.</b:Middle>
          </b:Person>
        </b:NameList>
      </b:Author>
    </b:Author>
    <b:Title>Asociación entre el consumo de sustancias y la automedicación en jóvenes universitarios. </b:Title>
    <b:Year>2018</b:Year>
    <b:Pages> 146(7), 870-878.</b:Pages>
    <b:JournalName>Revista Médica de Chile,</b:JournalName>
    <b:RefOrder>6</b:RefOrder>
  </b:Source>
  <b:Source>
    <b:Tag>Suq20</b:Tag>
    <b:SourceType>JournalArticle</b:SourceType>
    <b:Guid>{B1A1DCD0-7D4C-4B0F-AF99-0D2C509E860F}</b:Guid>
    <b:Author>
      <b:Author>
        <b:NameList>
          <b:Person>
            <b:Last>Suqui</b:Last>
            <b:First>J.</b:First>
          </b:Person>
        </b:NameList>
      </b:Author>
    </b:Author>
    <b:Title>Tendencias y prevalencia de automedicación en estudiantes del área de la salud en América Latina. </b:Title>
    <b:JournalName>Revista de Salud Pública de América Latina, </b:JournalName>
    <b:Year>2020</b:Year>
    <b:Pages>14(2), 88-96.</b:Pages>
    <b:RefOrder>12</b:RefOrder>
  </b:Source>
</b:Sources>
</file>

<file path=customXml/itemProps1.xml><?xml version="1.0" encoding="utf-8"?>
<ds:datastoreItem xmlns:ds="http://schemas.openxmlformats.org/officeDocument/2006/customXml" ds:itemID="{1B4C9D4C-9CF9-4354-958E-A4C90CF7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0</TotalTime>
  <Pages>13</Pages>
  <Words>3324</Words>
  <Characters>18951</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user</cp:lastModifiedBy>
  <cp:revision>2</cp:revision>
  <dcterms:created xsi:type="dcterms:W3CDTF">2026-09-05T20:10:00Z</dcterms:created>
  <dcterms:modified xsi:type="dcterms:W3CDTF">2026-09-05T20:10:00Z</dcterms:modified>
  <cp:category>Categoria</cp:category>
  <cp:contentStatus>Estado</cp:contentStatus>
</cp:coreProperties>
</file>