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25E64AAA" w:rsidR="001348A0" w:rsidRDefault="001348A0" w:rsidP="001348A0">
      <w:pPr>
        <w:pStyle w:val="Captulo"/>
      </w:pPr>
      <w:r>
        <w:t xml:space="preserve">Capítulo </w:t>
      </w:r>
    </w:p>
    <w:p w14:paraId="53F485B9" w14:textId="53FE7C6D" w:rsidR="0015066B" w:rsidRDefault="001E767E" w:rsidP="0015066B">
      <w:pPr>
        <w:pStyle w:val="TtCap"/>
        <w:rPr>
          <w:color w:val="000000" w:themeColor="text1"/>
        </w:rPr>
      </w:pPr>
      <w:r>
        <w:rPr>
          <w:caps w:val="0"/>
          <w:color w:val="000000" w:themeColor="text1"/>
        </w:rPr>
        <w:t xml:space="preserve">Rendimiento y calidad nutritiva </w:t>
      </w:r>
      <w:proofErr w:type="spellStart"/>
      <w:r w:rsidRPr="001E767E">
        <w:rPr>
          <w:i/>
          <w:caps w:val="0"/>
          <w:color w:val="000000" w:themeColor="text1"/>
        </w:rPr>
        <w:t>Panicum</w:t>
      </w:r>
      <w:proofErr w:type="spellEnd"/>
      <w:r w:rsidRPr="001E767E">
        <w:rPr>
          <w:i/>
          <w:caps w:val="0"/>
          <w:color w:val="000000" w:themeColor="text1"/>
        </w:rPr>
        <w:t xml:space="preserve"> </w:t>
      </w:r>
      <w:proofErr w:type="spellStart"/>
      <w:r w:rsidRPr="001E767E">
        <w:rPr>
          <w:i/>
          <w:caps w:val="0"/>
          <w:color w:val="000000" w:themeColor="text1"/>
        </w:rPr>
        <w:t>maximum</w:t>
      </w:r>
      <w:proofErr w:type="spellEnd"/>
      <w:r w:rsidRPr="001E767E">
        <w:rPr>
          <w:caps w:val="0"/>
          <w:color w:val="000000" w:themeColor="text1"/>
        </w:rPr>
        <w:t xml:space="preserve"> </w:t>
      </w:r>
      <w:proofErr w:type="spellStart"/>
      <w:r w:rsidRPr="001E767E">
        <w:rPr>
          <w:caps w:val="0"/>
          <w:color w:val="000000" w:themeColor="text1"/>
        </w:rPr>
        <w:t>cv</w:t>
      </w:r>
      <w:proofErr w:type="spellEnd"/>
      <w:r w:rsidRPr="001E767E">
        <w:rPr>
          <w:caps w:val="0"/>
          <w:color w:val="000000" w:themeColor="text1"/>
        </w:rPr>
        <w:t xml:space="preserve">. </w:t>
      </w:r>
      <w:proofErr w:type="spellStart"/>
      <w:r w:rsidRPr="001E767E">
        <w:rPr>
          <w:caps w:val="0"/>
          <w:color w:val="000000" w:themeColor="text1"/>
        </w:rPr>
        <w:t>Mombasa</w:t>
      </w:r>
      <w:proofErr w:type="spellEnd"/>
      <w:r w:rsidRPr="001E767E">
        <w:rPr>
          <w:caps w:val="0"/>
          <w:color w:val="000000" w:themeColor="text1"/>
        </w:rPr>
        <w:t xml:space="preserve"> y </w:t>
      </w:r>
      <w:proofErr w:type="spellStart"/>
      <w:r w:rsidRPr="001E767E">
        <w:rPr>
          <w:i/>
          <w:caps w:val="0"/>
          <w:color w:val="000000" w:themeColor="text1"/>
        </w:rPr>
        <w:t>Megathyrsus</w:t>
      </w:r>
      <w:proofErr w:type="spellEnd"/>
      <w:r w:rsidRPr="001E767E">
        <w:rPr>
          <w:i/>
          <w:caps w:val="0"/>
          <w:color w:val="000000" w:themeColor="text1"/>
        </w:rPr>
        <w:t xml:space="preserve"> </w:t>
      </w:r>
      <w:proofErr w:type="spellStart"/>
      <w:r w:rsidRPr="001E767E">
        <w:rPr>
          <w:i/>
          <w:caps w:val="0"/>
          <w:color w:val="000000" w:themeColor="text1"/>
        </w:rPr>
        <w:t>maximus</w:t>
      </w:r>
      <w:proofErr w:type="spellEnd"/>
      <w:r>
        <w:rPr>
          <w:i/>
          <w:caps w:val="0"/>
          <w:color w:val="000000" w:themeColor="text1"/>
        </w:rPr>
        <w:t xml:space="preserve"> </w:t>
      </w:r>
      <w:r w:rsidRPr="001E767E">
        <w:rPr>
          <w:i/>
          <w:caps w:val="0"/>
          <w:color w:val="000000" w:themeColor="text1"/>
        </w:rPr>
        <w:t xml:space="preserve">(pasto </w:t>
      </w:r>
      <w:proofErr w:type="spellStart"/>
      <w:r w:rsidRPr="001E767E">
        <w:rPr>
          <w:i/>
          <w:caps w:val="0"/>
          <w:color w:val="000000" w:themeColor="text1"/>
        </w:rPr>
        <w:t>saboya</w:t>
      </w:r>
      <w:proofErr w:type="spellEnd"/>
      <w:r w:rsidRPr="001E767E">
        <w:rPr>
          <w:i/>
          <w:caps w:val="0"/>
          <w:color w:val="000000" w:themeColor="text1"/>
        </w:rPr>
        <w:t>) en sistemas hidropónicos de cultivo flotante</w:t>
      </w:r>
    </w:p>
    <w:p w14:paraId="64EE5EFC" w14:textId="77777777" w:rsidR="001E767E" w:rsidRPr="001E767E" w:rsidRDefault="001E767E" w:rsidP="001E767E">
      <w:pPr>
        <w:pStyle w:val="Autor"/>
      </w:pPr>
    </w:p>
    <w:p w14:paraId="7C81443C" w14:textId="77777777" w:rsidR="001E767E" w:rsidRDefault="001E767E" w:rsidP="001E767E">
      <w:pPr>
        <w:pStyle w:val="Autor"/>
        <w:rPr>
          <w:lang w:eastAsia="es-ES"/>
        </w:rPr>
      </w:pPr>
      <w:r w:rsidRPr="008D7DBD">
        <w:rPr>
          <w:lang w:eastAsia="es-ES"/>
        </w:rPr>
        <w:t>Pincay Figueroa, Paola</w:t>
      </w:r>
    </w:p>
    <w:p w14:paraId="0623A0D8" w14:textId="77777777" w:rsidR="001E767E" w:rsidRDefault="001E767E" w:rsidP="001E767E">
      <w:pPr>
        <w:pStyle w:val="Adscripcin"/>
        <w:rPr>
          <w:lang w:eastAsia="es-ES"/>
        </w:rPr>
      </w:pPr>
      <w:r w:rsidRPr="008D7DBD">
        <w:rPr>
          <w:lang w:eastAsia="es-ES"/>
        </w:rPr>
        <w:t xml:space="preserve">Facultad de Educación Técnica para el Desarrollo de la </w:t>
      </w:r>
    </w:p>
    <w:p w14:paraId="1FDE3971" w14:textId="77777777" w:rsidR="001E767E" w:rsidRDefault="001E767E" w:rsidP="001E767E">
      <w:pPr>
        <w:pStyle w:val="Adscripcin"/>
        <w:rPr>
          <w:lang w:eastAsia="es-ES"/>
        </w:rPr>
      </w:pPr>
      <w:r w:rsidRPr="008D7DBD">
        <w:rPr>
          <w:lang w:eastAsia="es-ES"/>
        </w:rPr>
        <w:t>Universidad Católica de Santiago de Guayaquil</w:t>
      </w:r>
    </w:p>
    <w:p w14:paraId="4A7C38E5" w14:textId="5E5782C7" w:rsidR="008D7DBD" w:rsidRDefault="008D7DBD" w:rsidP="008D7DBD">
      <w:pPr>
        <w:pStyle w:val="Autor"/>
        <w:rPr>
          <w:lang w:eastAsia="es-ES"/>
        </w:rPr>
      </w:pPr>
      <w:r w:rsidRPr="008D7DBD">
        <w:rPr>
          <w:lang w:eastAsia="es-ES"/>
        </w:rPr>
        <w:t>Caicedo Coello, Noelia</w:t>
      </w:r>
    </w:p>
    <w:p w14:paraId="1A9F8DBF" w14:textId="77777777" w:rsidR="008D7DBD" w:rsidRDefault="008D7DBD" w:rsidP="008D7DBD">
      <w:pPr>
        <w:pStyle w:val="Adscripcin"/>
        <w:rPr>
          <w:lang w:eastAsia="es-ES"/>
        </w:rPr>
      </w:pPr>
      <w:r w:rsidRPr="008D7DBD">
        <w:rPr>
          <w:lang w:eastAsia="es-ES"/>
        </w:rPr>
        <w:t xml:space="preserve">Facultad de Educación Técnica para el Desarrollo de la </w:t>
      </w:r>
    </w:p>
    <w:p w14:paraId="760DA915" w14:textId="77777777" w:rsidR="008D7DBD" w:rsidRDefault="008D7DBD" w:rsidP="008D7DBD">
      <w:pPr>
        <w:pStyle w:val="Adscripcin"/>
        <w:rPr>
          <w:lang w:eastAsia="es-ES"/>
        </w:rPr>
      </w:pPr>
      <w:r w:rsidRPr="008D7DBD">
        <w:rPr>
          <w:lang w:eastAsia="es-ES"/>
        </w:rPr>
        <w:t>Universidad Católica de Santiago de Guayaquil</w:t>
      </w:r>
    </w:p>
    <w:p w14:paraId="6A02D415" w14:textId="1BE518BD" w:rsidR="0015066B" w:rsidRDefault="0015066B" w:rsidP="0015066B">
      <w:pPr>
        <w:pStyle w:val="Adscripcin"/>
      </w:pPr>
    </w:p>
    <w:p w14:paraId="7FB42A6F" w14:textId="4DBCF280" w:rsidR="009C0DFA" w:rsidRPr="00706A03" w:rsidRDefault="00721EBE" w:rsidP="009D2DC8">
      <w:pPr>
        <w:pStyle w:val="Ttulo1"/>
        <w:spacing w:before="0" w:after="0"/>
        <w:rPr>
          <w:color w:val="000000" w:themeColor="text1"/>
        </w:rPr>
      </w:pPr>
      <w:bookmarkStart w:id="0" w:name="_GoBack"/>
      <w:r w:rsidRPr="00706A03">
        <w:rPr>
          <w:color w:val="000000" w:themeColor="text1"/>
        </w:rPr>
        <w:t xml:space="preserve">1. </w:t>
      </w:r>
      <w:r w:rsidR="0015066B" w:rsidRPr="00706A03">
        <w:rPr>
          <w:color w:val="000000" w:themeColor="text1"/>
        </w:rPr>
        <w:t>Introducción</w:t>
      </w:r>
      <w:r w:rsidR="009C0DFA" w:rsidRPr="00706A03">
        <w:rPr>
          <w:color w:val="000000" w:themeColor="text1"/>
        </w:rPr>
        <w:t xml:space="preserve"> </w:t>
      </w:r>
    </w:p>
    <w:p w14:paraId="1C912E09" w14:textId="57A07C00" w:rsidR="009D2DC8" w:rsidRPr="009D2DC8" w:rsidRDefault="009D2DC8" w:rsidP="009D2DC8">
      <w:pPr>
        <w:spacing w:before="360" w:after="200"/>
        <w:rPr>
          <w:color w:val="000000" w:themeColor="text1"/>
        </w:rPr>
      </w:pPr>
      <w:r w:rsidRPr="009D2DC8">
        <w:rPr>
          <w:color w:val="000000" w:themeColor="text1"/>
        </w:rPr>
        <w:t xml:space="preserve">En Ecuador, la ganadería bovina constituye una de las principales actividades económicas del sector agropecuario, especialmente en la región Costa, donde predominan sistemas de producción de carne y leche basados mayoritariamente en el pastoreo extensivo. En estos sistemas, la alimentación del ganado depende casi exclusivamente de los pastos tropicales, lo que </w:t>
      </w:r>
      <w:r w:rsidRPr="00A01CA9">
        <w:rPr>
          <w:color w:val="000000" w:themeColor="text1"/>
        </w:rPr>
        <w:t>hace que la oferta forrajera y su calidad nutricional sean factores críticos para la productividad (Rendón et al., 2020; Torres &amp; Castro, 2019).</w:t>
      </w:r>
    </w:p>
    <w:p w14:paraId="73AE6EAD" w14:textId="77777777" w:rsidR="009D2DC8" w:rsidRPr="009D2DC8" w:rsidRDefault="009D2DC8" w:rsidP="009D2DC8">
      <w:pPr>
        <w:spacing w:before="360" w:after="200"/>
        <w:rPr>
          <w:color w:val="000000" w:themeColor="text1"/>
        </w:rPr>
      </w:pPr>
      <w:r w:rsidRPr="009D2DC8">
        <w:rPr>
          <w:color w:val="000000" w:themeColor="text1"/>
        </w:rPr>
        <w:t xml:space="preserve">En la zona costera ecuatoriana, las condiciones climáticas se caracterizan por una marcada estacionalidad en la precipitación, con períodos lluviosos que alternan con meses de sequía. Durante la época seca, se presenta una fuerte reducción en la disponibilidad de biomasa forrajera y un deterioro de la calidad nutricional de los pastos, especialmente en términos de contenido de proteína cruda y </w:t>
      </w:r>
      <w:r w:rsidRPr="00D51DFA">
        <w:rPr>
          <w:color w:val="000000" w:themeColor="text1"/>
        </w:rPr>
        <w:t>digestibilidad (García et al., 2018; Herrera et al., 2021). Esta situación se traduce en:</w:t>
      </w:r>
    </w:p>
    <w:p w14:paraId="6C857BBA" w14:textId="77777777" w:rsidR="009D2DC8" w:rsidRPr="009D2DC8" w:rsidRDefault="009D2DC8" w:rsidP="009D2DC8">
      <w:pPr>
        <w:pStyle w:val="Listadoajustado"/>
      </w:pPr>
      <w:r w:rsidRPr="009D2DC8">
        <w:t>Pérdida de condición corporal del ganado.</w:t>
      </w:r>
    </w:p>
    <w:p w14:paraId="57E8772B" w14:textId="77777777" w:rsidR="009D2DC8" w:rsidRPr="009D2DC8" w:rsidRDefault="009D2DC8" w:rsidP="009D2DC8">
      <w:pPr>
        <w:pStyle w:val="Listadoajustado"/>
      </w:pPr>
      <w:r w:rsidRPr="009D2DC8">
        <w:t>Disminución en la producción de leche y carne.</w:t>
      </w:r>
    </w:p>
    <w:p w14:paraId="0C309C58" w14:textId="77777777" w:rsidR="009D2DC8" w:rsidRPr="009D2DC8" w:rsidRDefault="009D2DC8" w:rsidP="009D2DC8">
      <w:pPr>
        <w:pStyle w:val="Listadoajustado"/>
      </w:pPr>
      <w:r w:rsidRPr="009D2DC8">
        <w:lastRenderedPageBreak/>
        <w:t>Aumento en los costos de suplementación o compra de alimentos externos.</w:t>
      </w:r>
    </w:p>
    <w:p w14:paraId="3FEA88C7" w14:textId="77777777" w:rsidR="009D2DC8" w:rsidRPr="009D2DC8" w:rsidRDefault="009D2DC8" w:rsidP="009D2DC8">
      <w:pPr>
        <w:pStyle w:val="Listadoajustado"/>
      </w:pPr>
      <w:r w:rsidRPr="009D2DC8">
        <w:t>Mayor vulnerabilidad económica de los pequeños y medianos productores.</w:t>
      </w:r>
    </w:p>
    <w:p w14:paraId="238E0599" w14:textId="77777777" w:rsidR="009D2DC8" w:rsidRPr="009D2DC8" w:rsidRDefault="009D2DC8" w:rsidP="009D2DC8">
      <w:pPr>
        <w:spacing w:before="360" w:after="200"/>
        <w:rPr>
          <w:color w:val="000000" w:themeColor="text1"/>
        </w:rPr>
      </w:pPr>
      <w:r w:rsidRPr="009D2DC8">
        <w:rPr>
          <w:color w:val="000000" w:themeColor="text1"/>
        </w:rPr>
        <w:t xml:space="preserve">Los pastos más utilizados en los sistemas ganaderos de la Costa ecuatoriana incluyen gramíneas tropicales como </w:t>
      </w:r>
      <w:proofErr w:type="spellStart"/>
      <w:r w:rsidRPr="009D2DC8">
        <w:rPr>
          <w:i/>
          <w:color w:val="000000" w:themeColor="text1"/>
        </w:rPr>
        <w:t>Panicum</w:t>
      </w:r>
      <w:proofErr w:type="spellEnd"/>
      <w:r w:rsidRPr="009D2DC8">
        <w:rPr>
          <w:i/>
          <w:color w:val="000000" w:themeColor="text1"/>
        </w:rPr>
        <w:t xml:space="preserve"> </w:t>
      </w:r>
      <w:proofErr w:type="spellStart"/>
      <w:r w:rsidRPr="009D2DC8">
        <w:rPr>
          <w:i/>
          <w:color w:val="000000" w:themeColor="text1"/>
        </w:rPr>
        <w:t>maximum</w:t>
      </w:r>
      <w:proofErr w:type="spellEnd"/>
      <w:r w:rsidRPr="009D2DC8">
        <w:rPr>
          <w:color w:val="000000" w:themeColor="text1"/>
        </w:rPr>
        <w:t xml:space="preserve"> y </w:t>
      </w:r>
      <w:proofErr w:type="spellStart"/>
      <w:r w:rsidRPr="009D2DC8">
        <w:rPr>
          <w:i/>
          <w:color w:val="000000" w:themeColor="text1"/>
        </w:rPr>
        <w:t>Megathyrsus</w:t>
      </w:r>
      <w:proofErr w:type="spellEnd"/>
      <w:r w:rsidRPr="009D2DC8">
        <w:rPr>
          <w:i/>
          <w:color w:val="000000" w:themeColor="text1"/>
        </w:rPr>
        <w:t xml:space="preserve"> </w:t>
      </w:r>
      <w:proofErr w:type="spellStart"/>
      <w:r w:rsidRPr="009D2DC8">
        <w:rPr>
          <w:i/>
          <w:color w:val="000000" w:themeColor="text1"/>
        </w:rPr>
        <w:t>maximus</w:t>
      </w:r>
      <w:proofErr w:type="spellEnd"/>
      <w:r w:rsidRPr="009D2DC8">
        <w:rPr>
          <w:color w:val="000000" w:themeColor="text1"/>
        </w:rPr>
        <w:t xml:space="preserve">, entre otras. Si bien estas especies pueden presentar altos rendimientos de biomasa bajo condiciones óptimas de manejo, su productividad y su valor nutricional se ven severamente afectados por la falta de agua, la baja fertilidad de los suelos y la ausencia de prácticas de intensificación </w:t>
      </w:r>
      <w:r w:rsidRPr="00DF6579">
        <w:rPr>
          <w:color w:val="000000" w:themeColor="text1"/>
        </w:rPr>
        <w:t>sostenible (Benítez et al., 2019; Lucas López, 2022).</w:t>
      </w:r>
    </w:p>
    <w:p w14:paraId="434136C8" w14:textId="77777777" w:rsidR="009D2DC8" w:rsidRPr="009D2DC8" w:rsidRDefault="009D2DC8" w:rsidP="009D2DC8">
      <w:pPr>
        <w:spacing w:before="360" w:after="200"/>
        <w:rPr>
          <w:color w:val="000000" w:themeColor="text1"/>
        </w:rPr>
      </w:pPr>
      <w:r w:rsidRPr="009D2DC8">
        <w:rPr>
          <w:color w:val="000000" w:themeColor="text1"/>
        </w:rPr>
        <w:t>Adicionalmente, diversos estudios y reportes técnicos han señalado que, durante la época seca, muchos pastos tropicales en la región presentan bajos niveles de proteína cruda (frecuentemente por debajo del umbral mínimo recomendado para un adecuado funcionamiento del rumen), así como altos contenidos de fibra, lo que limita su consumo voluntario y la eficiencia de utilización por parte del ganado (Cedeño et al., 2017; FAO, 2020). Esta combinación de baja producción de biomasa y bajo contenido proteico agrava la problemática de alimentación en los hatos bovinos, obligando a los productores a recurrir a alternativas costosas o a reducir las cargas animales.</w:t>
      </w:r>
    </w:p>
    <w:p w14:paraId="10C936E0" w14:textId="77777777" w:rsidR="009D2DC8" w:rsidRPr="009D2DC8" w:rsidRDefault="009D2DC8" w:rsidP="009D2DC8">
      <w:pPr>
        <w:rPr>
          <w:color w:val="000000" w:themeColor="text1"/>
        </w:rPr>
      </w:pPr>
      <w:r w:rsidRPr="009D2DC8">
        <w:rPr>
          <w:color w:val="000000" w:themeColor="text1"/>
        </w:rPr>
        <w:t>En este contexto, surge la necesidad de explorar sistemas de producción forrajera alternativos, que permitan:</w:t>
      </w:r>
    </w:p>
    <w:p w14:paraId="5CFF019A" w14:textId="77777777" w:rsidR="009D2DC8" w:rsidRPr="009D2DC8" w:rsidRDefault="009D2DC8" w:rsidP="009D2DC8">
      <w:pPr>
        <w:pStyle w:val="Listadoajustado"/>
      </w:pPr>
      <w:r w:rsidRPr="009D2DC8">
        <w:t>Incrementar y estabilizar la producción de biomasa a lo largo del año.</w:t>
      </w:r>
    </w:p>
    <w:p w14:paraId="3DED471D" w14:textId="77777777" w:rsidR="009D2DC8" w:rsidRPr="009D2DC8" w:rsidRDefault="009D2DC8" w:rsidP="009D2DC8">
      <w:pPr>
        <w:pStyle w:val="Listadoajustado"/>
      </w:pPr>
      <w:r w:rsidRPr="009D2DC8">
        <w:t>Mejorar la calidad nutricional del forraje ofrecido al ganado, especialmente en contenido de proteína.</w:t>
      </w:r>
    </w:p>
    <w:p w14:paraId="52CDF907" w14:textId="77777777" w:rsidR="009D2DC8" w:rsidRPr="009D2DC8" w:rsidRDefault="009D2DC8" w:rsidP="009D2DC8">
      <w:pPr>
        <w:pStyle w:val="Listadoajustado"/>
      </w:pPr>
      <w:r w:rsidRPr="009D2DC8">
        <w:t>Reducir la dependencia de las condiciones climáticas externas y de la fertilidad natural del suelo.</w:t>
      </w:r>
    </w:p>
    <w:p w14:paraId="42D7650C" w14:textId="77777777" w:rsidR="009D2DC8" w:rsidRPr="009D2DC8" w:rsidRDefault="009D2DC8" w:rsidP="009D2DC8">
      <w:pPr>
        <w:pStyle w:val="Listadoajustado"/>
      </w:pPr>
      <w:r w:rsidRPr="009D2DC8">
        <w:t>Mantener o mejorar la rentabilidad económica de los sistemas de producción bovina.</w:t>
      </w:r>
    </w:p>
    <w:p w14:paraId="5C4C5F97" w14:textId="77777777" w:rsidR="009D2DC8" w:rsidRPr="009D2DC8" w:rsidRDefault="009D2DC8" w:rsidP="009D2DC8">
      <w:pPr>
        <w:rPr>
          <w:i/>
        </w:rPr>
      </w:pPr>
      <w:r w:rsidRPr="009D2DC8">
        <w:rPr>
          <w:color w:val="000000" w:themeColor="text1"/>
        </w:rPr>
        <w:lastRenderedPageBreak/>
        <w:t xml:space="preserve">Los sistemas de cultivos flotantes bajo estructura protegida (casa sombra) se presentan como una opción innovadora dentro de la agricultura protegida y los sistemas sin suelo. Estos sistemas permiten controlar de manera más precisa variables como la solución nutritiva, la disponibilidad hídrica y, en cierta medida, la temperatura y radiación, lo que podría traducirse en un mayor rendimiento forrajero y una mejor composición nutricional comparados con los sistemas </w:t>
      </w:r>
      <w:r w:rsidRPr="009D2DC8">
        <w:t>tradicionales a campo abierto.</w:t>
      </w:r>
    </w:p>
    <w:p w14:paraId="7700FEAB" w14:textId="1F8BE2BC" w:rsidR="009D2DC8" w:rsidRPr="009D2DC8" w:rsidRDefault="009D2DC8" w:rsidP="009D2DC8">
      <w:r w:rsidRPr="009D2DC8">
        <w:t xml:space="preserve">Sin embargo, a pesar de la importancia de especies como </w:t>
      </w:r>
      <w:proofErr w:type="spellStart"/>
      <w:r w:rsidR="00FC7153">
        <w:t>m</w:t>
      </w:r>
      <w:r w:rsidRPr="009D2DC8">
        <w:t>ombasa</w:t>
      </w:r>
      <w:proofErr w:type="spellEnd"/>
      <w:r w:rsidRPr="009D2DC8">
        <w:t xml:space="preserve"> y </w:t>
      </w:r>
      <w:proofErr w:type="spellStart"/>
      <w:r w:rsidRPr="009D2DC8">
        <w:t>saboya</w:t>
      </w:r>
      <w:proofErr w:type="spellEnd"/>
      <w:r w:rsidR="00FC7153">
        <w:t xml:space="preserve"> </w:t>
      </w:r>
      <w:r w:rsidRPr="009D2DC8">
        <w:t>en la ganadería de trópico bajo, existe todavía poca información generada en el contexto ecuatoriano sobre su comportamiento productivo y su calidad nutritiva cuando se cultivan en sistemas de cultivos flotantes bajo casa sombra, así como sobre los costos de producción asociados a esta tecnología. Esta brecha de conocimiento limita la toma de decisiones de productores, técnicos y formuladores de políticas que buscan alternativas sostenibles para enfrentar los efectos de la sequía y la baja calidad de los pastos en la región Costa.</w:t>
      </w:r>
    </w:p>
    <w:p w14:paraId="0EAB4A71" w14:textId="1119246D" w:rsidR="009D2DC8" w:rsidRPr="00DF6579" w:rsidRDefault="009D2DC8" w:rsidP="00DF6579">
      <w:pPr>
        <w:pStyle w:val="Ttulo1"/>
        <w:spacing w:before="40"/>
        <w:jc w:val="both"/>
      </w:pPr>
      <w:r w:rsidRPr="009D2DC8">
        <w:rPr>
          <w:rFonts w:eastAsiaTheme="minorHAnsi" w:cstheme="minorBidi"/>
          <w:caps w:val="0"/>
          <w:sz w:val="23"/>
          <w:szCs w:val="22"/>
          <w:shd w:val="clear" w:color="auto" w:fill="auto"/>
          <w14:numForm w14:val="oldStyle"/>
        </w:rPr>
        <w:t>En consecuencia, se hace necesario desarrollar investigaciones que comparen el rendimiento, la calidad nutricional y los costos de producción de estas</w:t>
      </w:r>
      <w:r w:rsidRPr="009D2DC8">
        <w:rPr>
          <w:rFonts w:eastAsiaTheme="minorHAnsi" w:cstheme="minorBidi"/>
          <w:caps w:val="0"/>
          <w:color w:val="000000" w:themeColor="text1"/>
          <w:sz w:val="23"/>
          <w:szCs w:val="22"/>
          <w:shd w:val="clear" w:color="auto" w:fill="auto"/>
          <w14:numForm w14:val="oldStyle"/>
        </w:rPr>
        <w:t xml:space="preserve"> especies forrajeras en sistemas de cultivos flotantes, con el fin de generar información científica que apoye la implementación de tecnologías de agricultura protegida orientadas a mejorar la seguridad alimentaria del ganado bovino y la resiliencia de los sistemas </w:t>
      </w:r>
      <w:r w:rsidR="00DF6579" w:rsidRPr="00DF6579">
        <w:rPr>
          <w:caps w:val="0"/>
        </w:rPr>
        <w:t xml:space="preserve">ganaderos en el ecuador. </w:t>
      </w:r>
    </w:p>
    <w:p w14:paraId="5D8DC444" w14:textId="7249A77D" w:rsidR="00607EE3" w:rsidRDefault="00607EE3" w:rsidP="009D2DC8">
      <w:pPr>
        <w:pStyle w:val="Ttulo1"/>
        <w:spacing w:before="40"/>
      </w:pPr>
      <w:r>
        <w:t>2. Objetivos</w:t>
      </w:r>
    </w:p>
    <w:p w14:paraId="7A6DDB25" w14:textId="082DD7E5" w:rsidR="00607EE3" w:rsidRPr="00607EE3" w:rsidRDefault="00607EE3" w:rsidP="00607EE3">
      <w:pPr>
        <w:pStyle w:val="Ttulo2"/>
      </w:pPr>
      <w:r>
        <w:t xml:space="preserve">2.1. </w:t>
      </w:r>
      <w:r w:rsidR="00A2369F" w:rsidRPr="00C716BA">
        <w:rPr>
          <w:color w:val="000000" w:themeColor="text1"/>
        </w:rPr>
        <w:t>objetivo general</w:t>
      </w:r>
    </w:p>
    <w:p w14:paraId="281F5386" w14:textId="4683B25E" w:rsidR="00607EE3" w:rsidRDefault="009D2E06" w:rsidP="009D2E06">
      <w:pPr>
        <w:pStyle w:val="Listado"/>
      </w:pPr>
      <w:r>
        <w:t xml:space="preserve">Evaluar el rendimiento </w:t>
      </w:r>
      <w:r w:rsidRPr="009D2E06">
        <w:t xml:space="preserve">productivo y la calidad nutritiva de </w:t>
      </w:r>
      <w:proofErr w:type="spellStart"/>
      <w:r w:rsidRPr="00795350">
        <w:rPr>
          <w:i/>
        </w:rPr>
        <w:t>Panicum</w:t>
      </w:r>
      <w:proofErr w:type="spellEnd"/>
      <w:r w:rsidRPr="00795350">
        <w:rPr>
          <w:i/>
        </w:rPr>
        <w:t xml:space="preserve"> </w:t>
      </w:r>
      <w:proofErr w:type="spellStart"/>
      <w:r w:rsidRPr="00795350">
        <w:rPr>
          <w:i/>
        </w:rPr>
        <w:t>maximum</w:t>
      </w:r>
      <w:proofErr w:type="spellEnd"/>
      <w:r w:rsidRPr="009D2E06">
        <w:t xml:space="preserve"> </w:t>
      </w:r>
      <w:proofErr w:type="spellStart"/>
      <w:r w:rsidRPr="009D2E06">
        <w:t>cv</w:t>
      </w:r>
      <w:proofErr w:type="spellEnd"/>
      <w:r w:rsidRPr="009D2E06">
        <w:t xml:space="preserve">. </w:t>
      </w:r>
      <w:proofErr w:type="spellStart"/>
      <w:r w:rsidRPr="009D2E06">
        <w:t>Mombasa</w:t>
      </w:r>
      <w:proofErr w:type="spellEnd"/>
      <w:r w:rsidRPr="009D2E06">
        <w:t xml:space="preserve"> y </w:t>
      </w:r>
      <w:proofErr w:type="spellStart"/>
      <w:r w:rsidRPr="00795350">
        <w:rPr>
          <w:i/>
        </w:rPr>
        <w:t>Megathyrsus</w:t>
      </w:r>
      <w:proofErr w:type="spellEnd"/>
      <w:r w:rsidRPr="00795350">
        <w:rPr>
          <w:i/>
        </w:rPr>
        <w:t xml:space="preserve"> </w:t>
      </w:r>
      <w:proofErr w:type="spellStart"/>
      <w:r w:rsidRPr="00795350">
        <w:rPr>
          <w:i/>
        </w:rPr>
        <w:t>maximus</w:t>
      </w:r>
      <w:proofErr w:type="spellEnd"/>
      <w:r w:rsidRPr="009D2E06">
        <w:t xml:space="preserve"> —pasto </w:t>
      </w:r>
      <w:proofErr w:type="spellStart"/>
      <w:r w:rsidRPr="009D2E06">
        <w:t>saboya</w:t>
      </w:r>
      <w:proofErr w:type="spellEnd"/>
      <w:r w:rsidRPr="009D2E06">
        <w:t>— cultivados en sistema hidropónico flotante bajo casa sombra, en función de la relación nitrato/amonio de la solución nutritiva y la densidad de plantación</w:t>
      </w:r>
      <w:r w:rsidR="008C0E24">
        <w:t>.</w:t>
      </w:r>
    </w:p>
    <w:p w14:paraId="455E9E8F" w14:textId="77777777" w:rsidR="008C0E24" w:rsidRDefault="008C0E24" w:rsidP="008C0E24">
      <w:pPr>
        <w:pStyle w:val="Listado"/>
        <w:numPr>
          <w:ilvl w:val="0"/>
          <w:numId w:val="0"/>
        </w:numPr>
        <w:ind w:left="360"/>
      </w:pPr>
    </w:p>
    <w:p w14:paraId="54B3FF41" w14:textId="72DD812A" w:rsidR="00607EE3" w:rsidRDefault="00607EE3" w:rsidP="00182667">
      <w:pPr>
        <w:pStyle w:val="Ttulo2"/>
      </w:pPr>
      <w:r>
        <w:lastRenderedPageBreak/>
        <w:t xml:space="preserve">2.2. </w:t>
      </w:r>
      <w:r w:rsidR="00C716BA" w:rsidRPr="006A11B3">
        <w:rPr>
          <w:color w:val="000000" w:themeColor="text1"/>
        </w:rPr>
        <w:t>objetivos específ</w:t>
      </w:r>
      <w:r w:rsidR="006A11B3" w:rsidRPr="006A11B3">
        <w:rPr>
          <w:color w:val="000000" w:themeColor="text1"/>
        </w:rPr>
        <w:t>ic</w:t>
      </w:r>
      <w:r w:rsidR="00C716BA" w:rsidRPr="006A11B3">
        <w:rPr>
          <w:color w:val="000000" w:themeColor="text1"/>
        </w:rPr>
        <w:t>os</w:t>
      </w:r>
    </w:p>
    <w:p w14:paraId="4F8DE2B6" w14:textId="42E48290" w:rsidR="00C716BA" w:rsidRDefault="00C716BA" w:rsidP="002A43CD">
      <w:pPr>
        <w:pStyle w:val="Listadoajustado"/>
      </w:pPr>
      <w:r w:rsidRPr="00C716BA">
        <w:t>D</w:t>
      </w:r>
      <w:r w:rsidR="009D2E06">
        <w:t xml:space="preserve">eterminar el efecto </w:t>
      </w:r>
      <w:r w:rsidR="009D2E06" w:rsidRPr="009D2E06">
        <w:t xml:space="preserve">de diferentes relaciones nitrato/amonio en la solución nutritiva sobre el crecimiento y producción de biomasa de </w:t>
      </w:r>
      <w:proofErr w:type="spellStart"/>
      <w:r w:rsidR="009D2E06" w:rsidRPr="009D2E06">
        <w:rPr>
          <w:i/>
        </w:rPr>
        <w:t>Panicum</w:t>
      </w:r>
      <w:proofErr w:type="spellEnd"/>
      <w:r w:rsidR="009D2E06" w:rsidRPr="009D2E06">
        <w:rPr>
          <w:i/>
        </w:rPr>
        <w:t xml:space="preserve"> </w:t>
      </w:r>
      <w:proofErr w:type="spellStart"/>
      <w:r w:rsidR="009D2E06" w:rsidRPr="009D2E06">
        <w:rPr>
          <w:i/>
        </w:rPr>
        <w:t>maximum</w:t>
      </w:r>
      <w:proofErr w:type="spellEnd"/>
      <w:r w:rsidR="009D2E06" w:rsidRPr="009D2E06">
        <w:t xml:space="preserve"> </w:t>
      </w:r>
      <w:proofErr w:type="spellStart"/>
      <w:r w:rsidR="009D2E06" w:rsidRPr="009D2E06">
        <w:t>cv</w:t>
      </w:r>
      <w:proofErr w:type="spellEnd"/>
      <w:r w:rsidR="009D2E06" w:rsidRPr="009D2E06">
        <w:t xml:space="preserve">. </w:t>
      </w:r>
      <w:proofErr w:type="spellStart"/>
      <w:r w:rsidR="009D2E06" w:rsidRPr="009D2E06">
        <w:t>Mombasa</w:t>
      </w:r>
      <w:proofErr w:type="spellEnd"/>
      <w:r w:rsidR="009D2E06" w:rsidRPr="009D2E06">
        <w:t xml:space="preserve"> y </w:t>
      </w:r>
      <w:proofErr w:type="spellStart"/>
      <w:r w:rsidR="009D2E06" w:rsidRPr="009D2E06">
        <w:rPr>
          <w:i/>
        </w:rPr>
        <w:t>Megathyrsus</w:t>
      </w:r>
      <w:proofErr w:type="spellEnd"/>
      <w:r w:rsidR="009D2E06" w:rsidRPr="009D2E06">
        <w:rPr>
          <w:i/>
        </w:rPr>
        <w:t xml:space="preserve"> </w:t>
      </w:r>
      <w:proofErr w:type="spellStart"/>
      <w:r w:rsidR="009D2E06" w:rsidRPr="009D2E06">
        <w:rPr>
          <w:i/>
        </w:rPr>
        <w:t>maximus</w:t>
      </w:r>
      <w:proofErr w:type="spellEnd"/>
      <w:r w:rsidR="009D2E06" w:rsidRPr="009D2E06">
        <w:t xml:space="preserve"> en sistema hidropónico flotante</w:t>
      </w:r>
      <w:r w:rsidR="009D2E06">
        <w:t>.</w:t>
      </w:r>
    </w:p>
    <w:p w14:paraId="487826EB" w14:textId="59F5A8B1" w:rsidR="009D2E06" w:rsidRDefault="009D2E06" w:rsidP="002A43CD">
      <w:pPr>
        <w:pStyle w:val="Listadoajustado"/>
      </w:pPr>
      <w:r>
        <w:t xml:space="preserve">Evaluar la influencia </w:t>
      </w:r>
      <w:r w:rsidRPr="009D2E06">
        <w:t>de la densidad de plantación en bandejas semilleras de 96 alvéolos sobre el rendimiento de biomasa fresca y seca de ambos materiales forrajeros</w:t>
      </w:r>
      <w:r w:rsidR="008C0E24">
        <w:t>.</w:t>
      </w:r>
    </w:p>
    <w:p w14:paraId="70DA0308" w14:textId="1FCA1AB0" w:rsidR="00607EE3" w:rsidRPr="00C302E3" w:rsidRDefault="009D2E06" w:rsidP="002A43CD">
      <w:pPr>
        <w:pStyle w:val="Listadoajustado"/>
      </w:pPr>
      <w:r>
        <w:t xml:space="preserve">Comparar la calidad nutritiva </w:t>
      </w:r>
      <w:r w:rsidRPr="009D2E06">
        <w:t xml:space="preserve">y los costos de producción de </w:t>
      </w:r>
      <w:proofErr w:type="spellStart"/>
      <w:r w:rsidRPr="009D2E06">
        <w:rPr>
          <w:i/>
        </w:rPr>
        <w:t>Panicum</w:t>
      </w:r>
      <w:proofErr w:type="spellEnd"/>
      <w:r w:rsidRPr="009D2E06">
        <w:rPr>
          <w:i/>
        </w:rPr>
        <w:t xml:space="preserve"> </w:t>
      </w:r>
      <w:proofErr w:type="spellStart"/>
      <w:r w:rsidRPr="009D2E06">
        <w:rPr>
          <w:i/>
        </w:rPr>
        <w:t>maximum</w:t>
      </w:r>
      <w:proofErr w:type="spellEnd"/>
      <w:r w:rsidRPr="009D2E06">
        <w:t xml:space="preserve"> </w:t>
      </w:r>
      <w:proofErr w:type="spellStart"/>
      <w:r w:rsidRPr="009D2E06">
        <w:t>cv</w:t>
      </w:r>
      <w:proofErr w:type="spellEnd"/>
      <w:r w:rsidRPr="009D2E06">
        <w:t xml:space="preserve">. </w:t>
      </w:r>
      <w:proofErr w:type="spellStart"/>
      <w:r w:rsidRPr="009D2E06">
        <w:t>Mombasa</w:t>
      </w:r>
      <w:proofErr w:type="spellEnd"/>
      <w:r w:rsidRPr="009D2E06">
        <w:t xml:space="preserve"> y </w:t>
      </w:r>
      <w:proofErr w:type="spellStart"/>
      <w:r w:rsidRPr="009D2E06">
        <w:rPr>
          <w:i/>
        </w:rPr>
        <w:t>Megathyrsus</w:t>
      </w:r>
      <w:proofErr w:type="spellEnd"/>
      <w:r w:rsidRPr="009D2E06">
        <w:rPr>
          <w:i/>
        </w:rPr>
        <w:t xml:space="preserve"> </w:t>
      </w:r>
      <w:proofErr w:type="spellStart"/>
      <w:r w:rsidRPr="009D2E06">
        <w:rPr>
          <w:i/>
        </w:rPr>
        <w:t>maximus</w:t>
      </w:r>
      <w:proofErr w:type="spellEnd"/>
      <w:r w:rsidRPr="009D2E06">
        <w:t xml:space="preserve"> cultivados bajo las mejores condiciones de solución nutritiva y densidad de plantación.</w:t>
      </w:r>
    </w:p>
    <w:p w14:paraId="2708A763" w14:textId="4D768474" w:rsidR="005A43E3" w:rsidRPr="005A43E3" w:rsidRDefault="005A43E3" w:rsidP="005A43E3">
      <w:pPr>
        <w:pStyle w:val="Ttulo1"/>
      </w:pPr>
      <w:r>
        <w:t>3. Metodología</w:t>
      </w:r>
    </w:p>
    <w:p w14:paraId="42763DF1" w14:textId="77777777" w:rsidR="009D2E06" w:rsidRDefault="009D2E06" w:rsidP="009D2E06">
      <w:r>
        <w:t xml:space="preserve">La investigación se desarrollará en la Facultad de Educación Técnica para el Desarrollo de la Universidad Católica de Santiago de Guayaquil, bajo condiciones de casa sombra. Se evaluará el comportamiento productivo y la calidad nutritiva de </w:t>
      </w:r>
      <w:proofErr w:type="spellStart"/>
      <w:r w:rsidRPr="009D2E06">
        <w:rPr>
          <w:i/>
        </w:rPr>
        <w:t>Panicum</w:t>
      </w:r>
      <w:proofErr w:type="spellEnd"/>
      <w:r w:rsidRPr="009D2E06">
        <w:rPr>
          <w:i/>
        </w:rPr>
        <w:t xml:space="preserve"> </w:t>
      </w:r>
      <w:proofErr w:type="spellStart"/>
      <w:r w:rsidRPr="009D2E06">
        <w:rPr>
          <w:i/>
        </w:rPr>
        <w:t>maximum</w:t>
      </w:r>
      <w:proofErr w:type="spellEnd"/>
      <w:r>
        <w:t xml:space="preserve"> </w:t>
      </w:r>
      <w:proofErr w:type="spellStart"/>
      <w:r>
        <w:t>cv</w:t>
      </w:r>
      <w:proofErr w:type="spellEnd"/>
      <w:r>
        <w:t xml:space="preserve">. </w:t>
      </w:r>
      <w:proofErr w:type="spellStart"/>
      <w:r>
        <w:t>Mombasa</w:t>
      </w:r>
      <w:proofErr w:type="spellEnd"/>
      <w:r>
        <w:t xml:space="preserve"> y </w:t>
      </w:r>
      <w:proofErr w:type="spellStart"/>
      <w:r w:rsidRPr="009D2E06">
        <w:rPr>
          <w:i/>
        </w:rPr>
        <w:t>Megathyrsus</w:t>
      </w:r>
      <w:proofErr w:type="spellEnd"/>
      <w:r w:rsidRPr="009D2E06">
        <w:rPr>
          <w:i/>
        </w:rPr>
        <w:t xml:space="preserve"> </w:t>
      </w:r>
      <w:proofErr w:type="spellStart"/>
      <w:r w:rsidRPr="009D2E06">
        <w:rPr>
          <w:i/>
        </w:rPr>
        <w:t>maximus</w:t>
      </w:r>
      <w:proofErr w:type="spellEnd"/>
      <w:r>
        <w:t xml:space="preserve">, conocido localmente como pasto </w:t>
      </w:r>
      <w:proofErr w:type="spellStart"/>
      <w:r>
        <w:t>saboya</w:t>
      </w:r>
      <w:proofErr w:type="spellEnd"/>
      <w:r>
        <w:t>, cultivados en sistema hidropónico flotante con bandejas semilleras de 96 alvéolos.</w:t>
      </w:r>
    </w:p>
    <w:p w14:paraId="58E81682" w14:textId="3566D561" w:rsidR="00CC05BB" w:rsidRDefault="009D2E06" w:rsidP="00FC7153">
      <w:r>
        <w:t>El estudio se dividirá en dos experimentos. En el primero se evaluará el efecto de la relación nitrato/amonio en la solución nutritiva, y en el segundo se evaluará la densidad de plantación en bandejas flotantes, utilizando la solución que presente mejor resultado en el primer experimento.</w:t>
      </w:r>
      <w:r w:rsidR="005C4AF5">
        <w:t xml:space="preserve"> </w:t>
      </w:r>
    </w:p>
    <w:p w14:paraId="2281FD43" w14:textId="77777777" w:rsidR="006C11FB" w:rsidRPr="00AD4DE4" w:rsidRDefault="006C11FB" w:rsidP="006C11FB">
      <w:r w:rsidRPr="00AD4DE4">
        <w:t>Experimento 1: Relación nitrato/amonio en solución nutritiva</w:t>
      </w:r>
    </w:p>
    <w:p w14:paraId="6FDDAF5B" w14:textId="6609895F" w:rsidR="006C11FB" w:rsidRDefault="006C11FB" w:rsidP="006C11FB">
      <w:r>
        <w:t xml:space="preserve">En el primer experimento se evaluará el efecto de la forma iónica del nitrógeno sobre el crecimiento y la calidad nutritiva de </w:t>
      </w:r>
      <w:proofErr w:type="spellStart"/>
      <w:r w:rsidRPr="006C11FB">
        <w:rPr>
          <w:i/>
        </w:rPr>
        <w:t>Panicum</w:t>
      </w:r>
      <w:proofErr w:type="spellEnd"/>
      <w:r w:rsidRPr="006C11FB">
        <w:rPr>
          <w:i/>
        </w:rPr>
        <w:t xml:space="preserve"> </w:t>
      </w:r>
      <w:proofErr w:type="spellStart"/>
      <w:r w:rsidRPr="006C11FB">
        <w:rPr>
          <w:i/>
        </w:rPr>
        <w:t>maximum</w:t>
      </w:r>
      <w:proofErr w:type="spellEnd"/>
      <w:r>
        <w:t xml:space="preserve"> </w:t>
      </w:r>
      <w:proofErr w:type="spellStart"/>
      <w:r>
        <w:t>cv</w:t>
      </w:r>
      <w:proofErr w:type="spellEnd"/>
      <w:r>
        <w:t xml:space="preserve">. </w:t>
      </w:r>
      <w:proofErr w:type="spellStart"/>
      <w:r>
        <w:t>Mombasa</w:t>
      </w:r>
      <w:proofErr w:type="spellEnd"/>
      <w:r>
        <w:t xml:space="preserve"> y </w:t>
      </w:r>
      <w:proofErr w:type="spellStart"/>
      <w:r w:rsidRPr="006C11FB">
        <w:rPr>
          <w:i/>
        </w:rPr>
        <w:t>Megathyrsus</w:t>
      </w:r>
      <w:proofErr w:type="spellEnd"/>
      <w:r w:rsidRPr="006C11FB">
        <w:rPr>
          <w:i/>
        </w:rPr>
        <w:t xml:space="preserve"> </w:t>
      </w:r>
      <w:proofErr w:type="spellStart"/>
      <w:r w:rsidRPr="006C11FB">
        <w:rPr>
          <w:i/>
        </w:rPr>
        <w:t>maximus</w:t>
      </w:r>
      <w:proofErr w:type="spellEnd"/>
      <w:r>
        <w:t xml:space="preserve">. Para ello, se utilizará como referencia la solución nutritiva reportada por Salas et al. (2010), modificando únicamente la proporción entre NO₃⁻ y NH₄⁺, mientras que las </w:t>
      </w:r>
      <w:r>
        <w:lastRenderedPageBreak/>
        <w:t xml:space="preserve">concentraciones de fósforo, potasio, calcio, magnesio y sulfato se mantendrán constantes (Tabla </w:t>
      </w:r>
      <w:r w:rsidR="00FC7153">
        <w:t>1</w:t>
      </w:r>
      <w:r>
        <w:t>).</w:t>
      </w:r>
    </w:p>
    <w:p w14:paraId="3C80FDE5" w14:textId="754EFB81" w:rsidR="009D2E06" w:rsidRDefault="006C11FB" w:rsidP="006C11FB">
      <w:r>
        <w:t>De esta manera, la concentración total de nitrógeno será similar entre tratamientos, pero cambiará la proporción de nitrógeno nítrico y amoniacal</w:t>
      </w:r>
    </w:p>
    <w:p w14:paraId="685DD591" w14:textId="336D8235" w:rsidR="00C857D4" w:rsidRDefault="00C857D4" w:rsidP="00C857D4">
      <w:pPr>
        <w:pStyle w:val="Figuras"/>
      </w:pPr>
      <w:r w:rsidRPr="00E649D6">
        <w:rPr>
          <w:rStyle w:val="negrita"/>
          <w:i w:val="0"/>
          <w:iCs/>
        </w:rPr>
        <w:t>TABLA 1</w:t>
      </w:r>
      <w:r>
        <w:t xml:space="preserve">. </w:t>
      </w:r>
      <w:r w:rsidR="00EE5D52" w:rsidRPr="00EE5D52">
        <w:t xml:space="preserve">Concentraciones de nutrientes aplicados </w:t>
      </w:r>
      <w:proofErr w:type="spellStart"/>
      <w:r w:rsidR="00EE5D52" w:rsidRPr="00EE5D52">
        <w:t>Panicum</w:t>
      </w:r>
      <w:proofErr w:type="spellEnd"/>
      <w:r w:rsidR="00EE5D52" w:rsidRPr="00EE5D52">
        <w:t xml:space="preserve"> </w:t>
      </w:r>
      <w:proofErr w:type="spellStart"/>
      <w:r w:rsidR="00EE5D52" w:rsidRPr="00EE5D52">
        <w:t>maximum</w:t>
      </w:r>
      <w:proofErr w:type="spellEnd"/>
      <w:r w:rsidR="00EE5D52" w:rsidRPr="00EE5D52">
        <w:t xml:space="preserve"> </w:t>
      </w:r>
      <w:proofErr w:type="spellStart"/>
      <w:r w:rsidR="00EE5D52" w:rsidRPr="00EE5D52">
        <w:t>cv</w:t>
      </w:r>
      <w:proofErr w:type="spellEnd"/>
      <w:r w:rsidR="00EE5D52" w:rsidRPr="00EE5D52">
        <w:t xml:space="preserve">. </w:t>
      </w:r>
      <w:proofErr w:type="spellStart"/>
      <w:r w:rsidR="00EE5D52" w:rsidRPr="00EE5D52">
        <w:t>Mombasa</w:t>
      </w:r>
      <w:proofErr w:type="spellEnd"/>
      <w:r w:rsidR="00EE5D52" w:rsidRPr="00EE5D52">
        <w:t xml:space="preserve"> y </w:t>
      </w:r>
      <w:proofErr w:type="spellStart"/>
      <w:r w:rsidR="00EE5D52" w:rsidRPr="00EE5D52">
        <w:t>Megathyrsus</w:t>
      </w:r>
      <w:proofErr w:type="spellEnd"/>
      <w:r w:rsidR="00EE5D52" w:rsidRPr="00EE5D52">
        <w:t xml:space="preserve"> </w:t>
      </w:r>
      <w:proofErr w:type="spellStart"/>
      <w:r w:rsidR="00EE5D52" w:rsidRPr="00EE5D52">
        <w:t>maximu</w:t>
      </w:r>
      <w:proofErr w:type="spellEnd"/>
      <w:r w:rsidR="00EE5D52" w:rsidRPr="00EE5D52">
        <w:t xml:space="preserve"> en las soluciones nutritivas.</w:t>
      </w:r>
    </w:p>
    <w:tbl>
      <w:tblPr>
        <w:tblStyle w:val="Tablaconcuadrcula"/>
        <w:tblW w:w="0" w:type="auto"/>
        <w:tblLayout w:type="fixed"/>
        <w:tblLook w:val="04A0" w:firstRow="1" w:lastRow="0" w:firstColumn="1" w:lastColumn="0" w:noHBand="0" w:noVBand="1"/>
      </w:tblPr>
      <w:tblGrid>
        <w:gridCol w:w="1555"/>
        <w:gridCol w:w="708"/>
        <w:gridCol w:w="709"/>
        <w:gridCol w:w="992"/>
        <w:gridCol w:w="567"/>
        <w:gridCol w:w="567"/>
        <w:gridCol w:w="709"/>
        <w:gridCol w:w="760"/>
      </w:tblGrid>
      <w:tr w:rsidR="00EC370B" w:rsidRPr="001F2A2C" w14:paraId="3E3450E3" w14:textId="77777777" w:rsidTr="00EC370B">
        <w:tc>
          <w:tcPr>
            <w:tcW w:w="1555" w:type="dxa"/>
            <w:vMerge w:val="restart"/>
            <w:vAlign w:val="center"/>
          </w:tcPr>
          <w:p w14:paraId="695D9C49" w14:textId="3E336825" w:rsidR="00EC370B" w:rsidRPr="001F2A2C" w:rsidRDefault="00EC370B" w:rsidP="001F2A2C">
            <w:pPr>
              <w:spacing w:before="0" w:after="0"/>
              <w:jc w:val="center"/>
              <w:rPr>
                <w:rFonts w:ascii="Arial Narrow" w:hAnsi="Arial Narrow" w:cs="Arial"/>
                <w:b/>
                <w:bCs/>
                <w:sz w:val="20"/>
                <w:szCs w:val="20"/>
                <w:lang w:eastAsia="es-EC"/>
              </w:rPr>
            </w:pPr>
            <w:r w:rsidRPr="001F2A2C">
              <w:rPr>
                <w:rFonts w:ascii="Arial Narrow" w:hAnsi="Arial Narrow" w:cs="Arial"/>
                <w:b/>
                <w:bCs/>
                <w:sz w:val="20"/>
                <w:szCs w:val="20"/>
                <w:lang w:eastAsia="es-EC"/>
              </w:rPr>
              <w:t>Tratamiento</w:t>
            </w:r>
          </w:p>
        </w:tc>
        <w:tc>
          <w:tcPr>
            <w:tcW w:w="5012" w:type="dxa"/>
            <w:gridSpan w:val="7"/>
            <w:vAlign w:val="center"/>
          </w:tcPr>
          <w:p w14:paraId="1762A3D8" w14:textId="6BAE3C02" w:rsidR="00EC370B" w:rsidRPr="001F2A2C" w:rsidRDefault="00EC370B" w:rsidP="001F2A2C">
            <w:pPr>
              <w:spacing w:before="0" w:after="0"/>
              <w:jc w:val="center"/>
              <w:rPr>
                <w:rFonts w:ascii="Arial Narrow" w:hAnsi="Arial Narrow" w:cs="Arial"/>
                <w:b/>
                <w:bCs/>
                <w:sz w:val="20"/>
                <w:szCs w:val="20"/>
                <w:lang w:eastAsia="es-EC"/>
              </w:rPr>
            </w:pPr>
            <w:r w:rsidRPr="001F2A2C">
              <w:rPr>
                <w:rFonts w:ascii="Arial Narrow" w:hAnsi="Arial Narrow"/>
                <w:b/>
                <w:bCs/>
                <w:sz w:val="20"/>
                <w:szCs w:val="20"/>
                <w:lang w:eastAsia="es-EC"/>
              </w:rPr>
              <w:t>Mmol L</w:t>
            </w:r>
            <w:r w:rsidRPr="001F2A2C">
              <w:rPr>
                <w:rFonts w:ascii="Arial Narrow" w:hAnsi="Arial Narrow"/>
                <w:b/>
                <w:bCs/>
                <w:sz w:val="20"/>
                <w:szCs w:val="20"/>
                <w:vertAlign w:val="superscript"/>
                <w:lang w:eastAsia="es-EC"/>
              </w:rPr>
              <w:t>-1</w:t>
            </w:r>
          </w:p>
        </w:tc>
      </w:tr>
      <w:tr w:rsidR="00EC370B" w:rsidRPr="001F2A2C" w14:paraId="79DD3CA4" w14:textId="77777777" w:rsidTr="001F2A2C">
        <w:trPr>
          <w:trHeight w:val="593"/>
        </w:trPr>
        <w:tc>
          <w:tcPr>
            <w:tcW w:w="1555" w:type="dxa"/>
            <w:vMerge/>
            <w:vAlign w:val="center"/>
          </w:tcPr>
          <w:p w14:paraId="72153CD1" w14:textId="53109510" w:rsidR="00EC370B" w:rsidRPr="001F2A2C" w:rsidRDefault="00EC370B" w:rsidP="001F2A2C">
            <w:pPr>
              <w:spacing w:before="0" w:after="0"/>
              <w:jc w:val="center"/>
              <w:rPr>
                <w:rFonts w:ascii="Arial Narrow" w:hAnsi="Arial Narrow"/>
                <w:sz w:val="20"/>
                <w:szCs w:val="20"/>
              </w:rPr>
            </w:pPr>
          </w:p>
        </w:tc>
        <w:tc>
          <w:tcPr>
            <w:tcW w:w="708" w:type="dxa"/>
            <w:vAlign w:val="center"/>
          </w:tcPr>
          <w:p w14:paraId="33CB075A" w14:textId="1DC1D379"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NO</w:t>
            </w:r>
            <w:r w:rsidRPr="001F2A2C">
              <w:rPr>
                <w:rFonts w:ascii="Cambria Math" w:hAnsi="Cambria Math" w:cs="Cambria Math"/>
                <w:b/>
                <w:bCs/>
                <w:sz w:val="20"/>
                <w:szCs w:val="20"/>
                <w:lang w:eastAsia="es-EC"/>
              </w:rPr>
              <w:t>₃⁻</w:t>
            </w:r>
          </w:p>
        </w:tc>
        <w:tc>
          <w:tcPr>
            <w:tcW w:w="709" w:type="dxa"/>
            <w:vAlign w:val="center"/>
          </w:tcPr>
          <w:p w14:paraId="0EE5D10E" w14:textId="2FDA8F2B"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NH</w:t>
            </w:r>
            <w:r w:rsidRPr="001F2A2C">
              <w:rPr>
                <w:rFonts w:ascii="Cambria Math" w:hAnsi="Cambria Math" w:cs="Cambria Math"/>
                <w:b/>
                <w:bCs/>
                <w:sz w:val="20"/>
                <w:szCs w:val="20"/>
                <w:lang w:eastAsia="es-EC"/>
              </w:rPr>
              <w:t>₄⁺</w:t>
            </w:r>
          </w:p>
        </w:tc>
        <w:tc>
          <w:tcPr>
            <w:tcW w:w="992" w:type="dxa"/>
            <w:vAlign w:val="center"/>
          </w:tcPr>
          <w:p w14:paraId="2191B2E5" w14:textId="685686CB"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H</w:t>
            </w:r>
            <w:r w:rsidRPr="001F2A2C">
              <w:rPr>
                <w:rFonts w:ascii="Cambria Math" w:hAnsi="Cambria Math" w:cs="Cambria Math"/>
                <w:b/>
                <w:bCs/>
                <w:sz w:val="20"/>
                <w:szCs w:val="20"/>
                <w:lang w:eastAsia="es-EC"/>
              </w:rPr>
              <w:t>₂</w:t>
            </w:r>
            <w:r w:rsidRPr="001F2A2C">
              <w:rPr>
                <w:rFonts w:ascii="Arial Narrow" w:hAnsi="Arial Narrow" w:cs="Arial"/>
                <w:b/>
                <w:bCs/>
                <w:sz w:val="20"/>
                <w:szCs w:val="20"/>
                <w:lang w:eastAsia="es-EC"/>
              </w:rPr>
              <w:t>PO</w:t>
            </w:r>
            <w:r w:rsidRPr="001F2A2C">
              <w:rPr>
                <w:rFonts w:ascii="Cambria Math" w:hAnsi="Cambria Math" w:cs="Cambria Math"/>
                <w:b/>
                <w:bCs/>
                <w:sz w:val="20"/>
                <w:szCs w:val="20"/>
                <w:lang w:eastAsia="es-EC"/>
              </w:rPr>
              <w:t>₄⁻</w:t>
            </w:r>
            <w:r w:rsidRPr="001F2A2C">
              <w:rPr>
                <w:rFonts w:ascii="Arial Narrow" w:hAnsi="Arial Narrow" w:cs="Arial"/>
                <w:b/>
                <w:bCs/>
                <w:sz w:val="20"/>
                <w:szCs w:val="20"/>
                <w:lang w:eastAsia="es-EC"/>
              </w:rPr>
              <w:t xml:space="preserve"> / HPO</w:t>
            </w:r>
            <w:r w:rsidRPr="001F2A2C">
              <w:rPr>
                <w:rFonts w:ascii="Cambria Math" w:hAnsi="Cambria Math" w:cs="Cambria Math"/>
                <w:b/>
                <w:bCs/>
                <w:sz w:val="20"/>
                <w:szCs w:val="20"/>
                <w:lang w:eastAsia="es-EC"/>
              </w:rPr>
              <w:t>₄</w:t>
            </w:r>
            <w:r w:rsidRPr="001F2A2C">
              <w:rPr>
                <w:rFonts w:ascii="Arial Narrow" w:hAnsi="Arial Narrow" w:cs="Arial"/>
                <w:b/>
                <w:bCs/>
                <w:sz w:val="20"/>
                <w:szCs w:val="20"/>
                <w:lang w:eastAsia="es-EC"/>
              </w:rPr>
              <w:t>²</w:t>
            </w:r>
            <w:r w:rsidRPr="001F2A2C">
              <w:rPr>
                <w:rFonts w:ascii="Cambria Math" w:hAnsi="Cambria Math" w:cs="Cambria Math"/>
                <w:b/>
                <w:bCs/>
                <w:sz w:val="20"/>
                <w:szCs w:val="20"/>
                <w:lang w:eastAsia="es-EC"/>
              </w:rPr>
              <w:t>⁻</w:t>
            </w:r>
          </w:p>
        </w:tc>
        <w:tc>
          <w:tcPr>
            <w:tcW w:w="567" w:type="dxa"/>
            <w:vAlign w:val="center"/>
          </w:tcPr>
          <w:p w14:paraId="6D88C67E" w14:textId="5A7DFB00"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K</w:t>
            </w:r>
            <w:r w:rsidRPr="001F2A2C">
              <w:rPr>
                <w:rFonts w:ascii="Cambria Math" w:hAnsi="Cambria Math" w:cs="Cambria Math"/>
                <w:b/>
                <w:bCs/>
                <w:sz w:val="20"/>
                <w:szCs w:val="20"/>
                <w:lang w:eastAsia="es-EC"/>
              </w:rPr>
              <w:t>⁺</w:t>
            </w:r>
          </w:p>
        </w:tc>
        <w:tc>
          <w:tcPr>
            <w:tcW w:w="567" w:type="dxa"/>
            <w:vAlign w:val="center"/>
          </w:tcPr>
          <w:p w14:paraId="3333BEAB" w14:textId="2E13265D"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Ca²</w:t>
            </w:r>
            <w:r w:rsidRPr="001F2A2C">
              <w:rPr>
                <w:rFonts w:ascii="Cambria Math" w:hAnsi="Cambria Math" w:cs="Cambria Math"/>
                <w:b/>
                <w:bCs/>
                <w:sz w:val="20"/>
                <w:szCs w:val="20"/>
                <w:lang w:eastAsia="es-EC"/>
              </w:rPr>
              <w:t>⁺</w:t>
            </w:r>
          </w:p>
        </w:tc>
        <w:tc>
          <w:tcPr>
            <w:tcW w:w="709" w:type="dxa"/>
            <w:vAlign w:val="center"/>
          </w:tcPr>
          <w:p w14:paraId="6326795D" w14:textId="2FB37ED3"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Mg²</w:t>
            </w:r>
            <w:r w:rsidRPr="001F2A2C">
              <w:rPr>
                <w:rFonts w:ascii="Cambria Math" w:hAnsi="Cambria Math" w:cs="Cambria Math"/>
                <w:b/>
                <w:bCs/>
                <w:sz w:val="20"/>
                <w:szCs w:val="20"/>
                <w:lang w:eastAsia="es-EC"/>
              </w:rPr>
              <w:t>⁺</w:t>
            </w:r>
          </w:p>
        </w:tc>
        <w:tc>
          <w:tcPr>
            <w:tcW w:w="760" w:type="dxa"/>
            <w:vAlign w:val="center"/>
          </w:tcPr>
          <w:p w14:paraId="560ADD6B" w14:textId="1415319B"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b/>
                <w:bCs/>
                <w:sz w:val="20"/>
                <w:szCs w:val="20"/>
                <w:lang w:eastAsia="es-EC"/>
              </w:rPr>
              <w:t>SO</w:t>
            </w:r>
            <w:r w:rsidRPr="001F2A2C">
              <w:rPr>
                <w:rFonts w:ascii="Cambria Math" w:hAnsi="Cambria Math" w:cs="Cambria Math"/>
                <w:b/>
                <w:bCs/>
                <w:sz w:val="20"/>
                <w:szCs w:val="20"/>
                <w:lang w:eastAsia="es-EC"/>
              </w:rPr>
              <w:t>₄</w:t>
            </w:r>
            <w:r w:rsidRPr="001F2A2C">
              <w:rPr>
                <w:rFonts w:ascii="Arial Narrow" w:hAnsi="Arial Narrow" w:cs="Arial"/>
                <w:b/>
                <w:bCs/>
                <w:sz w:val="20"/>
                <w:szCs w:val="20"/>
                <w:lang w:eastAsia="es-EC"/>
              </w:rPr>
              <w:t>²</w:t>
            </w:r>
            <w:r w:rsidRPr="001F2A2C">
              <w:rPr>
                <w:rFonts w:ascii="Cambria Math" w:hAnsi="Cambria Math" w:cs="Cambria Math"/>
                <w:b/>
                <w:bCs/>
                <w:sz w:val="20"/>
                <w:szCs w:val="20"/>
                <w:lang w:eastAsia="es-EC"/>
              </w:rPr>
              <w:t>⁻</w:t>
            </w:r>
          </w:p>
        </w:tc>
      </w:tr>
      <w:tr w:rsidR="00EC370B" w:rsidRPr="001F2A2C" w14:paraId="5F0E175A" w14:textId="77777777" w:rsidTr="00EC370B">
        <w:tc>
          <w:tcPr>
            <w:tcW w:w="1555" w:type="dxa"/>
            <w:vAlign w:val="center"/>
          </w:tcPr>
          <w:p w14:paraId="376C5990" w14:textId="2CDD6A67"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sz w:val="20"/>
                <w:szCs w:val="20"/>
                <w:lang w:eastAsia="es-EC"/>
              </w:rPr>
              <w:t>Solución estándar (Salas et al. 2010)</w:t>
            </w:r>
          </w:p>
        </w:tc>
        <w:tc>
          <w:tcPr>
            <w:tcW w:w="708" w:type="dxa"/>
            <w:vAlign w:val="center"/>
          </w:tcPr>
          <w:p w14:paraId="52B4B810" w14:textId="6EB31FA9"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14.42</w:t>
            </w:r>
          </w:p>
        </w:tc>
        <w:tc>
          <w:tcPr>
            <w:tcW w:w="709" w:type="dxa"/>
          </w:tcPr>
          <w:p w14:paraId="5B27C16E" w14:textId="77777777" w:rsidR="00EC370B" w:rsidRDefault="00EC370B" w:rsidP="001F2A2C">
            <w:pPr>
              <w:spacing w:before="0" w:after="0"/>
              <w:jc w:val="center"/>
              <w:rPr>
                <w:rFonts w:ascii="Arial Narrow" w:hAnsi="Arial Narrow"/>
                <w:sz w:val="20"/>
                <w:szCs w:val="20"/>
              </w:rPr>
            </w:pPr>
          </w:p>
          <w:p w14:paraId="7A0613FA" w14:textId="1F346CE2" w:rsidR="001F2A2C" w:rsidRPr="001F2A2C" w:rsidRDefault="001F2A2C" w:rsidP="001F2A2C">
            <w:pPr>
              <w:spacing w:before="0" w:after="0"/>
              <w:jc w:val="center"/>
              <w:rPr>
                <w:rFonts w:ascii="Arial Narrow" w:hAnsi="Arial Narrow"/>
                <w:sz w:val="20"/>
                <w:szCs w:val="20"/>
              </w:rPr>
            </w:pPr>
            <w:r>
              <w:rPr>
                <w:rFonts w:ascii="Arial Narrow" w:hAnsi="Arial Narrow"/>
                <w:sz w:val="20"/>
                <w:szCs w:val="20"/>
              </w:rPr>
              <w:t>-</w:t>
            </w:r>
          </w:p>
        </w:tc>
        <w:tc>
          <w:tcPr>
            <w:tcW w:w="992" w:type="dxa"/>
            <w:vAlign w:val="center"/>
          </w:tcPr>
          <w:p w14:paraId="563959AD" w14:textId="0C1CCFB1"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1.55</w:t>
            </w:r>
          </w:p>
        </w:tc>
        <w:tc>
          <w:tcPr>
            <w:tcW w:w="567" w:type="dxa"/>
            <w:vAlign w:val="center"/>
          </w:tcPr>
          <w:p w14:paraId="7132256D" w14:textId="48587E9C"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0.82</w:t>
            </w:r>
          </w:p>
        </w:tc>
        <w:tc>
          <w:tcPr>
            <w:tcW w:w="567" w:type="dxa"/>
            <w:vAlign w:val="center"/>
          </w:tcPr>
          <w:p w14:paraId="2BD2AFCC" w14:textId="05FE0130"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2.02</w:t>
            </w:r>
          </w:p>
        </w:tc>
        <w:tc>
          <w:tcPr>
            <w:tcW w:w="709" w:type="dxa"/>
            <w:vAlign w:val="center"/>
          </w:tcPr>
          <w:p w14:paraId="4CAEFFD9" w14:textId="7C805218"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2.47</w:t>
            </w:r>
          </w:p>
        </w:tc>
        <w:tc>
          <w:tcPr>
            <w:tcW w:w="760" w:type="dxa"/>
            <w:vAlign w:val="center"/>
          </w:tcPr>
          <w:p w14:paraId="709A0065" w14:textId="61DA63BE"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0.29</w:t>
            </w:r>
          </w:p>
        </w:tc>
      </w:tr>
      <w:tr w:rsidR="00EC370B" w:rsidRPr="001F2A2C" w14:paraId="2B783B3A" w14:textId="77777777" w:rsidTr="00EC370B">
        <w:tc>
          <w:tcPr>
            <w:tcW w:w="1555" w:type="dxa"/>
            <w:vAlign w:val="center"/>
          </w:tcPr>
          <w:p w14:paraId="3AA2D0DB" w14:textId="4547AD23"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sz w:val="20"/>
                <w:szCs w:val="20"/>
                <w:lang w:eastAsia="es-EC"/>
              </w:rPr>
              <w:t>T1</w:t>
            </w:r>
          </w:p>
        </w:tc>
        <w:tc>
          <w:tcPr>
            <w:tcW w:w="708" w:type="dxa"/>
            <w:vAlign w:val="center"/>
          </w:tcPr>
          <w:p w14:paraId="13333063" w14:textId="68D29BB1"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8.65</w:t>
            </w:r>
          </w:p>
        </w:tc>
        <w:tc>
          <w:tcPr>
            <w:tcW w:w="709" w:type="dxa"/>
          </w:tcPr>
          <w:p w14:paraId="2DD3FCBD" w14:textId="72ABB488"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5.76</w:t>
            </w:r>
          </w:p>
        </w:tc>
        <w:tc>
          <w:tcPr>
            <w:tcW w:w="992" w:type="dxa"/>
            <w:vAlign w:val="center"/>
          </w:tcPr>
          <w:p w14:paraId="3893B008" w14:textId="12316823"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1.55</w:t>
            </w:r>
          </w:p>
        </w:tc>
        <w:tc>
          <w:tcPr>
            <w:tcW w:w="567" w:type="dxa"/>
            <w:vAlign w:val="center"/>
          </w:tcPr>
          <w:p w14:paraId="14D506CA" w14:textId="0C74C0B6"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0.82</w:t>
            </w:r>
          </w:p>
        </w:tc>
        <w:tc>
          <w:tcPr>
            <w:tcW w:w="567" w:type="dxa"/>
            <w:vAlign w:val="center"/>
          </w:tcPr>
          <w:p w14:paraId="4B722BBB" w14:textId="7611D038"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2.02</w:t>
            </w:r>
          </w:p>
        </w:tc>
        <w:tc>
          <w:tcPr>
            <w:tcW w:w="709" w:type="dxa"/>
            <w:vAlign w:val="center"/>
          </w:tcPr>
          <w:p w14:paraId="76046F2F" w14:textId="246DE6D6"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2.47</w:t>
            </w:r>
          </w:p>
        </w:tc>
        <w:tc>
          <w:tcPr>
            <w:tcW w:w="760" w:type="dxa"/>
            <w:vAlign w:val="center"/>
          </w:tcPr>
          <w:p w14:paraId="232A5E81" w14:textId="273D6833"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0.29</w:t>
            </w:r>
          </w:p>
        </w:tc>
      </w:tr>
      <w:tr w:rsidR="00EC370B" w:rsidRPr="001F2A2C" w14:paraId="78FAFEEC" w14:textId="77777777" w:rsidTr="00EC370B">
        <w:tc>
          <w:tcPr>
            <w:tcW w:w="1555" w:type="dxa"/>
            <w:vAlign w:val="center"/>
          </w:tcPr>
          <w:p w14:paraId="3E84FB09" w14:textId="69C9E8A3" w:rsidR="00EC370B" w:rsidRPr="001F2A2C" w:rsidRDefault="00EC370B" w:rsidP="001F2A2C">
            <w:pPr>
              <w:spacing w:before="0" w:after="0"/>
              <w:jc w:val="center"/>
              <w:rPr>
                <w:rFonts w:ascii="Arial Narrow" w:hAnsi="Arial Narrow"/>
                <w:sz w:val="20"/>
                <w:szCs w:val="20"/>
              </w:rPr>
            </w:pPr>
            <w:r w:rsidRPr="001F2A2C">
              <w:rPr>
                <w:rFonts w:ascii="Arial Narrow" w:hAnsi="Arial Narrow" w:cs="Arial"/>
                <w:sz w:val="20"/>
                <w:szCs w:val="20"/>
                <w:lang w:eastAsia="es-EC"/>
              </w:rPr>
              <w:t>T2</w:t>
            </w:r>
          </w:p>
        </w:tc>
        <w:tc>
          <w:tcPr>
            <w:tcW w:w="708" w:type="dxa"/>
            <w:vAlign w:val="center"/>
          </w:tcPr>
          <w:p w14:paraId="0E9F4F61" w14:textId="4039C070"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5.76</w:t>
            </w:r>
          </w:p>
        </w:tc>
        <w:tc>
          <w:tcPr>
            <w:tcW w:w="709" w:type="dxa"/>
          </w:tcPr>
          <w:p w14:paraId="10B4FE2E" w14:textId="02986C6C" w:rsidR="00EC370B" w:rsidRPr="001F2A2C" w:rsidRDefault="00EC370B" w:rsidP="001F2A2C">
            <w:pPr>
              <w:spacing w:before="0" w:after="0"/>
              <w:rPr>
                <w:rFonts w:ascii="Arial Narrow" w:hAnsi="Arial Narrow"/>
                <w:sz w:val="20"/>
                <w:szCs w:val="20"/>
              </w:rPr>
            </w:pPr>
            <w:r w:rsidRPr="001F2A2C">
              <w:rPr>
                <w:rFonts w:ascii="Arial Narrow" w:hAnsi="Arial Narrow" w:cs="Arial"/>
                <w:sz w:val="20"/>
                <w:szCs w:val="20"/>
                <w:lang w:eastAsia="es-EC"/>
              </w:rPr>
              <w:t>8.65</w:t>
            </w:r>
          </w:p>
        </w:tc>
        <w:tc>
          <w:tcPr>
            <w:tcW w:w="992" w:type="dxa"/>
          </w:tcPr>
          <w:p w14:paraId="0A87D832" w14:textId="3941DE5D" w:rsidR="00EC370B" w:rsidRPr="001F2A2C" w:rsidRDefault="001F2A2C" w:rsidP="001F2A2C">
            <w:pPr>
              <w:spacing w:before="0" w:after="0"/>
              <w:jc w:val="center"/>
              <w:rPr>
                <w:rFonts w:ascii="Arial Narrow" w:hAnsi="Arial Narrow"/>
                <w:sz w:val="20"/>
                <w:szCs w:val="20"/>
              </w:rPr>
            </w:pPr>
            <w:r>
              <w:rPr>
                <w:rFonts w:ascii="Arial Narrow" w:hAnsi="Arial Narrow"/>
                <w:sz w:val="20"/>
                <w:szCs w:val="20"/>
              </w:rPr>
              <w:t>-</w:t>
            </w:r>
          </w:p>
        </w:tc>
        <w:tc>
          <w:tcPr>
            <w:tcW w:w="567" w:type="dxa"/>
          </w:tcPr>
          <w:p w14:paraId="187DB375" w14:textId="2EFC5B78" w:rsidR="00EC370B" w:rsidRPr="001F2A2C" w:rsidRDefault="001F2A2C" w:rsidP="001F2A2C">
            <w:pPr>
              <w:spacing w:before="0" w:after="0"/>
              <w:jc w:val="center"/>
              <w:rPr>
                <w:rFonts w:ascii="Arial Narrow" w:hAnsi="Arial Narrow"/>
                <w:sz w:val="20"/>
                <w:szCs w:val="20"/>
              </w:rPr>
            </w:pPr>
            <w:r>
              <w:rPr>
                <w:rFonts w:ascii="Arial Narrow" w:hAnsi="Arial Narrow"/>
                <w:sz w:val="20"/>
                <w:szCs w:val="20"/>
              </w:rPr>
              <w:t>-</w:t>
            </w:r>
          </w:p>
        </w:tc>
        <w:tc>
          <w:tcPr>
            <w:tcW w:w="567" w:type="dxa"/>
          </w:tcPr>
          <w:p w14:paraId="295A594F" w14:textId="224DE196" w:rsidR="00EC370B" w:rsidRPr="001F2A2C" w:rsidRDefault="001F2A2C" w:rsidP="001F2A2C">
            <w:pPr>
              <w:spacing w:before="0" w:after="0"/>
              <w:jc w:val="center"/>
              <w:rPr>
                <w:rFonts w:ascii="Arial Narrow" w:hAnsi="Arial Narrow"/>
                <w:sz w:val="20"/>
                <w:szCs w:val="20"/>
              </w:rPr>
            </w:pPr>
            <w:r>
              <w:rPr>
                <w:rFonts w:ascii="Arial Narrow" w:hAnsi="Arial Narrow"/>
                <w:sz w:val="20"/>
                <w:szCs w:val="20"/>
              </w:rPr>
              <w:t>-</w:t>
            </w:r>
          </w:p>
        </w:tc>
        <w:tc>
          <w:tcPr>
            <w:tcW w:w="709" w:type="dxa"/>
          </w:tcPr>
          <w:p w14:paraId="0A210252" w14:textId="20D40CEA" w:rsidR="00EC370B" w:rsidRPr="001F2A2C" w:rsidRDefault="001F2A2C" w:rsidP="001F2A2C">
            <w:pPr>
              <w:spacing w:before="0" w:after="0"/>
              <w:jc w:val="center"/>
              <w:rPr>
                <w:rFonts w:ascii="Arial Narrow" w:hAnsi="Arial Narrow"/>
                <w:sz w:val="20"/>
                <w:szCs w:val="20"/>
              </w:rPr>
            </w:pPr>
            <w:r>
              <w:rPr>
                <w:rFonts w:ascii="Arial Narrow" w:hAnsi="Arial Narrow"/>
                <w:sz w:val="20"/>
                <w:szCs w:val="20"/>
              </w:rPr>
              <w:t>-</w:t>
            </w:r>
          </w:p>
        </w:tc>
        <w:tc>
          <w:tcPr>
            <w:tcW w:w="760" w:type="dxa"/>
          </w:tcPr>
          <w:p w14:paraId="2F62B65E" w14:textId="0200232F" w:rsidR="00EC370B" w:rsidRPr="001F2A2C" w:rsidRDefault="001F2A2C" w:rsidP="001F2A2C">
            <w:pPr>
              <w:spacing w:before="0" w:after="0"/>
              <w:jc w:val="center"/>
              <w:rPr>
                <w:rFonts w:ascii="Arial Narrow" w:hAnsi="Arial Narrow"/>
                <w:sz w:val="20"/>
                <w:szCs w:val="20"/>
              </w:rPr>
            </w:pPr>
            <w:r>
              <w:rPr>
                <w:rFonts w:ascii="Arial Narrow" w:hAnsi="Arial Narrow"/>
                <w:sz w:val="20"/>
                <w:szCs w:val="20"/>
              </w:rPr>
              <w:t>-</w:t>
            </w:r>
          </w:p>
        </w:tc>
      </w:tr>
    </w:tbl>
    <w:p w14:paraId="7DC46D85" w14:textId="07C71324" w:rsidR="00EE5D52" w:rsidRPr="00681364" w:rsidRDefault="00EE5D52" w:rsidP="00EE5D52">
      <w:pPr>
        <w:pStyle w:val="Fuente"/>
        <w:rPr>
          <w:lang w:eastAsia="es-ES"/>
        </w:rPr>
      </w:pPr>
      <w:r w:rsidRPr="003E66FB">
        <w:t xml:space="preserve">Fuente: </w:t>
      </w:r>
      <w:r>
        <w:t>elaboración propia</w:t>
      </w:r>
    </w:p>
    <w:p w14:paraId="6709A938" w14:textId="54160B96" w:rsidR="00EE5D52" w:rsidRPr="00AD4DE4" w:rsidRDefault="00EE5D52" w:rsidP="00EE5D52">
      <w:r w:rsidRPr="00AD4DE4">
        <w:t>Diseño experimental del Experimento 1</w:t>
      </w:r>
      <w:r w:rsidR="00FC7153">
        <w:t>:</w:t>
      </w:r>
    </w:p>
    <w:p w14:paraId="7C172899" w14:textId="5E675E89" w:rsidR="001E734E" w:rsidRDefault="00EE5D52" w:rsidP="00EE5D52">
      <w:r w:rsidRPr="00EE5D52">
        <w:t xml:space="preserve">El experimento se establecerá bajo un </w:t>
      </w:r>
      <w:r w:rsidRPr="00EE5D52">
        <w:rPr>
          <w:bCs/>
        </w:rPr>
        <w:t>diseño completamente al azar</w:t>
      </w:r>
      <w:r w:rsidRPr="00EE5D52">
        <w:t xml:space="preserve">, con arreglo factorial </w:t>
      </w:r>
      <w:r w:rsidRPr="00EE5D52">
        <w:rPr>
          <w:bCs/>
        </w:rPr>
        <w:t>2 × 3</w:t>
      </w:r>
      <w:r w:rsidRPr="00EE5D52">
        <w:t>, considerando dos factores</w:t>
      </w:r>
      <w:r w:rsidR="00FC7153">
        <w:t xml:space="preserve"> que se observan en la Tabla 2</w:t>
      </w:r>
      <w:r w:rsidRPr="00EE5D52">
        <w:t>:</w:t>
      </w:r>
    </w:p>
    <w:p w14:paraId="023ABA26" w14:textId="17BC35E6" w:rsidR="001E734E" w:rsidRDefault="001E734E" w:rsidP="001E734E">
      <w:pPr>
        <w:pStyle w:val="Figuras"/>
      </w:pPr>
      <w:r w:rsidRPr="00E649D6">
        <w:rPr>
          <w:rStyle w:val="negrita"/>
          <w:i w:val="0"/>
          <w:iCs/>
        </w:rPr>
        <w:t xml:space="preserve">TABLA </w:t>
      </w:r>
      <w:r>
        <w:rPr>
          <w:rStyle w:val="negrita"/>
          <w:i w:val="0"/>
          <w:iCs/>
        </w:rPr>
        <w:t>2</w:t>
      </w:r>
      <w:r>
        <w:t xml:space="preserve">. </w:t>
      </w:r>
      <w:r w:rsidR="000235A0">
        <w:t>Factores del arreglo factorial 2 x 3</w:t>
      </w:r>
    </w:p>
    <w:p w14:paraId="2A6C7DB7" w14:textId="1F1FA20F" w:rsidR="001F2A2C" w:rsidRDefault="001F2A2C" w:rsidP="001E734E">
      <w:pPr>
        <w:pStyle w:val="Figuras"/>
      </w:pPr>
    </w:p>
    <w:tbl>
      <w:tblPr>
        <w:tblStyle w:val="Tablaconcuadrcula"/>
        <w:tblW w:w="6612" w:type="dxa"/>
        <w:jc w:val="center"/>
        <w:tblLook w:val="04A0" w:firstRow="1" w:lastRow="0" w:firstColumn="1" w:lastColumn="0" w:noHBand="0" w:noVBand="1"/>
      </w:tblPr>
      <w:tblGrid>
        <w:gridCol w:w="3306"/>
        <w:gridCol w:w="3306"/>
      </w:tblGrid>
      <w:tr w:rsidR="001F2A2C" w:rsidRPr="001F2A2C" w14:paraId="5196DB04" w14:textId="77777777" w:rsidTr="001F2A2C">
        <w:trPr>
          <w:trHeight w:val="268"/>
          <w:jc w:val="center"/>
        </w:trPr>
        <w:tc>
          <w:tcPr>
            <w:tcW w:w="3306" w:type="dxa"/>
            <w:vAlign w:val="center"/>
          </w:tcPr>
          <w:p w14:paraId="2566B840" w14:textId="23A7746A" w:rsidR="001F2A2C" w:rsidRPr="001F2A2C" w:rsidRDefault="001F2A2C" w:rsidP="001F2A2C">
            <w:pPr>
              <w:pStyle w:val="Figuras"/>
              <w:spacing w:before="0" w:after="0"/>
              <w:jc w:val="center"/>
              <w:rPr>
                <w:sz w:val="24"/>
              </w:rPr>
            </w:pPr>
            <w:r w:rsidRPr="001F2A2C">
              <w:rPr>
                <w:rFonts w:cs="Arial"/>
                <w:b/>
                <w:bCs/>
                <w:sz w:val="24"/>
                <w:szCs w:val="23"/>
              </w:rPr>
              <w:t>Factor</w:t>
            </w:r>
          </w:p>
        </w:tc>
        <w:tc>
          <w:tcPr>
            <w:tcW w:w="3306" w:type="dxa"/>
            <w:vAlign w:val="center"/>
          </w:tcPr>
          <w:p w14:paraId="70B74650" w14:textId="6A29C5F8" w:rsidR="001F2A2C" w:rsidRPr="001F2A2C" w:rsidRDefault="001F2A2C" w:rsidP="001F2A2C">
            <w:pPr>
              <w:pStyle w:val="Figuras"/>
              <w:spacing w:before="0" w:after="0"/>
              <w:jc w:val="center"/>
              <w:rPr>
                <w:sz w:val="24"/>
              </w:rPr>
            </w:pPr>
            <w:r w:rsidRPr="001F2A2C">
              <w:rPr>
                <w:rFonts w:cs="Arial"/>
                <w:b/>
                <w:bCs/>
                <w:sz w:val="24"/>
                <w:szCs w:val="23"/>
              </w:rPr>
              <w:t>Niveles</w:t>
            </w:r>
          </w:p>
        </w:tc>
      </w:tr>
      <w:tr w:rsidR="001F2A2C" w:rsidRPr="001F2A2C" w14:paraId="441A299C" w14:textId="77777777" w:rsidTr="001F2A2C">
        <w:trPr>
          <w:trHeight w:val="812"/>
          <w:jc w:val="center"/>
        </w:trPr>
        <w:tc>
          <w:tcPr>
            <w:tcW w:w="3306" w:type="dxa"/>
            <w:vAlign w:val="center"/>
          </w:tcPr>
          <w:p w14:paraId="31AE9D0E" w14:textId="29D58739" w:rsidR="001F2A2C" w:rsidRPr="001F2A2C" w:rsidRDefault="001F2A2C" w:rsidP="001F2A2C">
            <w:pPr>
              <w:pStyle w:val="Figuras"/>
              <w:spacing w:before="0" w:after="0"/>
              <w:rPr>
                <w:sz w:val="24"/>
              </w:rPr>
            </w:pPr>
            <w:r w:rsidRPr="001F2A2C">
              <w:rPr>
                <w:sz w:val="24"/>
              </w:rPr>
              <w:t>Materia vegetal</w:t>
            </w:r>
          </w:p>
        </w:tc>
        <w:tc>
          <w:tcPr>
            <w:tcW w:w="3306" w:type="dxa"/>
            <w:vAlign w:val="center"/>
          </w:tcPr>
          <w:p w14:paraId="12CBE96C" w14:textId="0AEDE8E3" w:rsidR="001F2A2C" w:rsidRPr="001F2A2C" w:rsidRDefault="001F2A2C" w:rsidP="001F2A2C">
            <w:pPr>
              <w:pStyle w:val="Figuras"/>
              <w:spacing w:before="0" w:after="0"/>
              <w:rPr>
                <w:sz w:val="24"/>
              </w:rPr>
            </w:pPr>
            <w:proofErr w:type="spellStart"/>
            <w:r w:rsidRPr="001F2A2C">
              <w:rPr>
                <w:sz w:val="24"/>
              </w:rPr>
              <w:t>Panicum</w:t>
            </w:r>
            <w:proofErr w:type="spellEnd"/>
            <w:r w:rsidRPr="001F2A2C">
              <w:rPr>
                <w:sz w:val="24"/>
              </w:rPr>
              <w:t xml:space="preserve"> </w:t>
            </w:r>
            <w:proofErr w:type="spellStart"/>
            <w:r w:rsidRPr="001F2A2C">
              <w:rPr>
                <w:sz w:val="24"/>
              </w:rPr>
              <w:t>maximum</w:t>
            </w:r>
            <w:proofErr w:type="spellEnd"/>
            <w:r w:rsidRPr="001F2A2C">
              <w:rPr>
                <w:sz w:val="24"/>
              </w:rPr>
              <w:t xml:space="preserve"> </w:t>
            </w:r>
            <w:proofErr w:type="spellStart"/>
            <w:r w:rsidRPr="001F2A2C">
              <w:rPr>
                <w:sz w:val="24"/>
              </w:rPr>
              <w:t>cv</w:t>
            </w:r>
            <w:proofErr w:type="spellEnd"/>
            <w:r w:rsidRPr="001F2A2C">
              <w:rPr>
                <w:sz w:val="24"/>
              </w:rPr>
              <w:t xml:space="preserve">. </w:t>
            </w:r>
            <w:proofErr w:type="spellStart"/>
            <w:r w:rsidRPr="001F2A2C">
              <w:rPr>
                <w:sz w:val="24"/>
              </w:rPr>
              <w:t>Mombasa</w:t>
            </w:r>
            <w:proofErr w:type="spellEnd"/>
            <w:r w:rsidRPr="001F2A2C">
              <w:rPr>
                <w:sz w:val="24"/>
              </w:rPr>
              <w:t xml:space="preserve"> y </w:t>
            </w:r>
            <w:proofErr w:type="spellStart"/>
            <w:r w:rsidRPr="001F2A2C">
              <w:rPr>
                <w:sz w:val="24"/>
              </w:rPr>
              <w:t>Megathyrsus</w:t>
            </w:r>
            <w:proofErr w:type="spellEnd"/>
            <w:r w:rsidRPr="001F2A2C">
              <w:rPr>
                <w:sz w:val="24"/>
              </w:rPr>
              <w:t xml:space="preserve"> </w:t>
            </w:r>
            <w:proofErr w:type="spellStart"/>
            <w:r w:rsidRPr="001F2A2C">
              <w:rPr>
                <w:sz w:val="24"/>
              </w:rPr>
              <w:t>maximus</w:t>
            </w:r>
            <w:proofErr w:type="spellEnd"/>
          </w:p>
        </w:tc>
      </w:tr>
      <w:tr w:rsidR="001F2A2C" w:rsidRPr="001F2A2C" w14:paraId="5BF5A28F" w14:textId="77777777" w:rsidTr="001F2A2C">
        <w:trPr>
          <w:trHeight w:val="268"/>
          <w:jc w:val="center"/>
        </w:trPr>
        <w:tc>
          <w:tcPr>
            <w:tcW w:w="3306" w:type="dxa"/>
            <w:vAlign w:val="center"/>
          </w:tcPr>
          <w:p w14:paraId="61DE27F6" w14:textId="610ED370" w:rsidR="001F2A2C" w:rsidRPr="001F2A2C" w:rsidRDefault="001F2A2C" w:rsidP="001F2A2C">
            <w:pPr>
              <w:pStyle w:val="Figuras"/>
              <w:spacing w:before="0" w:after="0"/>
              <w:rPr>
                <w:sz w:val="24"/>
              </w:rPr>
            </w:pPr>
            <w:r w:rsidRPr="001F2A2C">
              <w:rPr>
                <w:rFonts w:cs="Arial"/>
                <w:sz w:val="24"/>
                <w:szCs w:val="23"/>
              </w:rPr>
              <w:t>Solución nutritiva</w:t>
            </w:r>
          </w:p>
        </w:tc>
        <w:tc>
          <w:tcPr>
            <w:tcW w:w="3306" w:type="dxa"/>
            <w:vAlign w:val="center"/>
          </w:tcPr>
          <w:p w14:paraId="22AFED26" w14:textId="10D2543F" w:rsidR="001F2A2C" w:rsidRPr="001F2A2C" w:rsidRDefault="001F2A2C" w:rsidP="001F2A2C">
            <w:pPr>
              <w:pStyle w:val="Figuras"/>
              <w:spacing w:before="0" w:after="0"/>
              <w:rPr>
                <w:sz w:val="24"/>
              </w:rPr>
            </w:pPr>
            <w:r w:rsidRPr="001F2A2C">
              <w:rPr>
                <w:rFonts w:cs="Arial"/>
                <w:sz w:val="24"/>
                <w:szCs w:val="23"/>
              </w:rPr>
              <w:t>T0, T1 y T2</w:t>
            </w:r>
          </w:p>
        </w:tc>
      </w:tr>
    </w:tbl>
    <w:p w14:paraId="12BC91F5" w14:textId="77777777" w:rsidR="000235A0" w:rsidRPr="00681364" w:rsidRDefault="000235A0" w:rsidP="000235A0">
      <w:pPr>
        <w:pStyle w:val="Fuente"/>
        <w:rPr>
          <w:lang w:eastAsia="es-ES"/>
        </w:rPr>
      </w:pPr>
      <w:r w:rsidRPr="003E66FB">
        <w:t xml:space="preserve">Fuente: </w:t>
      </w:r>
      <w:r>
        <w:t>elaboración propia</w:t>
      </w:r>
    </w:p>
    <w:p w14:paraId="7C562730" w14:textId="3F906B60" w:rsidR="001E734E" w:rsidRDefault="001E734E" w:rsidP="001E734E">
      <w:pPr>
        <w:pStyle w:val="NormalWeb"/>
      </w:pPr>
      <w:r w:rsidRPr="001E734E">
        <w:rPr>
          <w:rFonts w:eastAsiaTheme="minorHAnsi" w:cstheme="minorBidi"/>
          <w:spacing w:val="1"/>
          <w:sz w:val="23"/>
          <w:szCs w:val="22"/>
          <w:lang w:val="es-ES" w:eastAsia="en-US"/>
          <w14:numForm w14:val="oldStyle"/>
        </w:rPr>
        <w:t>Por lo tanto, se tendrán seis combinaciones experimentales</w:t>
      </w:r>
      <w:r w:rsidR="00FC7153">
        <w:rPr>
          <w:rFonts w:eastAsiaTheme="minorHAnsi" w:cstheme="minorBidi"/>
          <w:spacing w:val="1"/>
          <w:sz w:val="23"/>
          <w:szCs w:val="22"/>
          <w:lang w:val="es-ES" w:eastAsia="en-US"/>
          <w14:numForm w14:val="oldStyle"/>
        </w:rPr>
        <w:t xml:space="preserve">, las cuales se puede observar en la </w:t>
      </w:r>
      <w:r w:rsidR="00FC7153">
        <w:t xml:space="preserve">(Tabla </w:t>
      </w:r>
      <w:r w:rsidR="008C0E24">
        <w:t>3</w:t>
      </w:r>
      <w:r w:rsidR="00FC7153">
        <w:t>).</w:t>
      </w:r>
    </w:p>
    <w:p w14:paraId="22741679" w14:textId="77777777" w:rsidR="008C0E24" w:rsidRDefault="008C0E24" w:rsidP="001E734E">
      <w:pPr>
        <w:pStyle w:val="NormalWeb"/>
        <w:rPr>
          <w:rFonts w:eastAsiaTheme="minorHAnsi" w:cstheme="minorBidi"/>
          <w:spacing w:val="1"/>
          <w:sz w:val="23"/>
          <w:szCs w:val="22"/>
          <w:lang w:val="es-ES" w:eastAsia="en-US"/>
          <w14:numForm w14:val="oldStyle"/>
        </w:rPr>
      </w:pPr>
    </w:p>
    <w:p w14:paraId="4690A5D2" w14:textId="640C0988" w:rsidR="00AD4DE4" w:rsidRDefault="00AD4DE4" w:rsidP="00AD4DE4">
      <w:pPr>
        <w:pStyle w:val="Figuras"/>
      </w:pPr>
      <w:r w:rsidRPr="00E649D6">
        <w:rPr>
          <w:rStyle w:val="negrita"/>
          <w:i w:val="0"/>
          <w:iCs/>
        </w:rPr>
        <w:lastRenderedPageBreak/>
        <w:t xml:space="preserve">TABLA </w:t>
      </w:r>
      <w:r>
        <w:rPr>
          <w:rStyle w:val="negrita"/>
          <w:i w:val="0"/>
          <w:iCs/>
        </w:rPr>
        <w:t>3</w:t>
      </w:r>
      <w:r>
        <w:t>. Combinaciones experimentales</w:t>
      </w:r>
    </w:p>
    <w:p w14:paraId="3CD681AB" w14:textId="0C39601B" w:rsidR="001F2A2C" w:rsidRDefault="001F2A2C" w:rsidP="00AD4DE4">
      <w:pPr>
        <w:pStyle w:val="Figuras"/>
      </w:pPr>
    </w:p>
    <w:tbl>
      <w:tblPr>
        <w:tblStyle w:val="Tablaconcuadrcula"/>
        <w:tblW w:w="0" w:type="auto"/>
        <w:tblInd w:w="846" w:type="dxa"/>
        <w:tblLook w:val="04A0" w:firstRow="1" w:lastRow="0" w:firstColumn="1" w:lastColumn="0" w:noHBand="0" w:noVBand="1"/>
      </w:tblPr>
      <w:tblGrid>
        <w:gridCol w:w="1343"/>
        <w:gridCol w:w="2189"/>
        <w:gridCol w:w="2189"/>
      </w:tblGrid>
      <w:tr w:rsidR="001F2A2C" w14:paraId="136BDB2E" w14:textId="77777777" w:rsidTr="001F2A2C">
        <w:tc>
          <w:tcPr>
            <w:tcW w:w="1343" w:type="dxa"/>
            <w:vAlign w:val="center"/>
          </w:tcPr>
          <w:p w14:paraId="250E2D8D" w14:textId="1A0F1D2F" w:rsidR="001F2A2C" w:rsidRPr="001F2A2C" w:rsidRDefault="001F2A2C" w:rsidP="001F2A2C">
            <w:pPr>
              <w:pStyle w:val="Figuras"/>
              <w:spacing w:before="0" w:after="0"/>
              <w:jc w:val="center"/>
              <w:rPr>
                <w:sz w:val="22"/>
              </w:rPr>
            </w:pPr>
            <w:r w:rsidRPr="001F2A2C">
              <w:rPr>
                <w:rFonts w:cs="Arial"/>
                <w:b/>
                <w:bCs/>
                <w:sz w:val="22"/>
                <w:szCs w:val="23"/>
              </w:rPr>
              <w:t>Tratamiento</w:t>
            </w:r>
          </w:p>
        </w:tc>
        <w:tc>
          <w:tcPr>
            <w:tcW w:w="2189" w:type="dxa"/>
            <w:vAlign w:val="center"/>
          </w:tcPr>
          <w:p w14:paraId="2BF63FAF" w14:textId="50DF5244" w:rsidR="001F2A2C" w:rsidRPr="001F2A2C" w:rsidRDefault="001F2A2C" w:rsidP="001F2A2C">
            <w:pPr>
              <w:pStyle w:val="Figuras"/>
              <w:spacing w:before="0" w:after="0"/>
              <w:jc w:val="center"/>
              <w:rPr>
                <w:sz w:val="22"/>
              </w:rPr>
            </w:pPr>
            <w:r w:rsidRPr="001F2A2C">
              <w:rPr>
                <w:rFonts w:cs="Arial"/>
                <w:b/>
                <w:bCs/>
                <w:sz w:val="22"/>
                <w:szCs w:val="23"/>
              </w:rPr>
              <w:t>Material vegetal</w:t>
            </w:r>
          </w:p>
        </w:tc>
        <w:tc>
          <w:tcPr>
            <w:tcW w:w="2189" w:type="dxa"/>
            <w:vAlign w:val="center"/>
          </w:tcPr>
          <w:p w14:paraId="20F5DEAA" w14:textId="2263E268" w:rsidR="001F2A2C" w:rsidRPr="001F2A2C" w:rsidRDefault="001F2A2C" w:rsidP="001F2A2C">
            <w:pPr>
              <w:pStyle w:val="Figuras"/>
              <w:spacing w:before="0" w:after="0"/>
              <w:jc w:val="center"/>
              <w:rPr>
                <w:sz w:val="22"/>
              </w:rPr>
            </w:pPr>
            <w:r w:rsidRPr="001F2A2C">
              <w:rPr>
                <w:rFonts w:cs="Arial"/>
                <w:b/>
                <w:bCs/>
                <w:sz w:val="22"/>
                <w:szCs w:val="23"/>
              </w:rPr>
              <w:t>Solución nutritiva</w:t>
            </w:r>
          </w:p>
        </w:tc>
      </w:tr>
      <w:tr w:rsidR="001F2A2C" w14:paraId="417213CC" w14:textId="77777777" w:rsidTr="001F2A2C">
        <w:tc>
          <w:tcPr>
            <w:tcW w:w="1343" w:type="dxa"/>
            <w:vAlign w:val="center"/>
          </w:tcPr>
          <w:p w14:paraId="2BC428C3" w14:textId="21FBDDB7" w:rsidR="001F2A2C" w:rsidRPr="001F2A2C" w:rsidRDefault="001F2A2C" w:rsidP="001F2A2C">
            <w:pPr>
              <w:pStyle w:val="Figuras"/>
              <w:spacing w:before="0" w:after="0"/>
              <w:jc w:val="center"/>
              <w:rPr>
                <w:sz w:val="22"/>
              </w:rPr>
            </w:pPr>
            <w:r w:rsidRPr="001F2A2C">
              <w:rPr>
                <w:rFonts w:cs="Arial"/>
                <w:sz w:val="22"/>
                <w:szCs w:val="23"/>
              </w:rPr>
              <w:t>T1</w:t>
            </w:r>
          </w:p>
        </w:tc>
        <w:tc>
          <w:tcPr>
            <w:tcW w:w="2189" w:type="dxa"/>
            <w:vAlign w:val="center"/>
          </w:tcPr>
          <w:p w14:paraId="1F5C8B65" w14:textId="567587C0" w:rsidR="001F2A2C" w:rsidRPr="001F2A2C" w:rsidRDefault="001F2A2C" w:rsidP="001F2A2C">
            <w:pPr>
              <w:pStyle w:val="Figuras"/>
              <w:spacing w:before="0" w:after="0"/>
              <w:jc w:val="center"/>
              <w:rPr>
                <w:sz w:val="22"/>
              </w:rPr>
            </w:pPr>
            <w:proofErr w:type="spellStart"/>
            <w:r w:rsidRPr="001F2A2C">
              <w:rPr>
                <w:rFonts w:cs="Arial"/>
                <w:sz w:val="22"/>
                <w:szCs w:val="23"/>
              </w:rPr>
              <w:t>Mombasa</w:t>
            </w:r>
            <w:proofErr w:type="spellEnd"/>
          </w:p>
        </w:tc>
        <w:tc>
          <w:tcPr>
            <w:tcW w:w="2189" w:type="dxa"/>
            <w:vAlign w:val="center"/>
          </w:tcPr>
          <w:p w14:paraId="3C5C7144" w14:textId="75E5BB85" w:rsidR="001F2A2C" w:rsidRPr="001F2A2C" w:rsidRDefault="001F2A2C" w:rsidP="001F2A2C">
            <w:pPr>
              <w:pStyle w:val="Figuras"/>
              <w:spacing w:before="0" w:after="0"/>
              <w:jc w:val="center"/>
              <w:rPr>
                <w:sz w:val="22"/>
              </w:rPr>
            </w:pPr>
            <w:r w:rsidRPr="001F2A2C">
              <w:rPr>
                <w:rFonts w:cs="Arial"/>
                <w:sz w:val="22"/>
                <w:szCs w:val="23"/>
              </w:rPr>
              <w:t>Solución estándar</w:t>
            </w:r>
          </w:p>
        </w:tc>
      </w:tr>
      <w:tr w:rsidR="001F2A2C" w14:paraId="696863BA" w14:textId="77777777" w:rsidTr="001F2A2C">
        <w:tc>
          <w:tcPr>
            <w:tcW w:w="1343" w:type="dxa"/>
            <w:vAlign w:val="center"/>
          </w:tcPr>
          <w:p w14:paraId="506E47A2" w14:textId="0957D74E" w:rsidR="001F2A2C" w:rsidRPr="001F2A2C" w:rsidRDefault="001F2A2C" w:rsidP="001F2A2C">
            <w:pPr>
              <w:pStyle w:val="Figuras"/>
              <w:spacing w:before="0" w:after="0"/>
              <w:jc w:val="center"/>
              <w:rPr>
                <w:sz w:val="22"/>
              </w:rPr>
            </w:pPr>
            <w:r w:rsidRPr="001F2A2C">
              <w:rPr>
                <w:rFonts w:cs="Arial"/>
                <w:sz w:val="22"/>
                <w:szCs w:val="23"/>
              </w:rPr>
              <w:t>T2</w:t>
            </w:r>
          </w:p>
        </w:tc>
        <w:tc>
          <w:tcPr>
            <w:tcW w:w="2189" w:type="dxa"/>
            <w:vAlign w:val="center"/>
          </w:tcPr>
          <w:p w14:paraId="31BEF97B" w14:textId="09EB73BA" w:rsidR="001F2A2C" w:rsidRPr="001F2A2C" w:rsidRDefault="001F2A2C" w:rsidP="001F2A2C">
            <w:pPr>
              <w:pStyle w:val="Figuras"/>
              <w:spacing w:before="0" w:after="0"/>
              <w:jc w:val="center"/>
              <w:rPr>
                <w:sz w:val="22"/>
              </w:rPr>
            </w:pPr>
            <w:proofErr w:type="spellStart"/>
            <w:r w:rsidRPr="001F2A2C">
              <w:rPr>
                <w:rFonts w:cs="Arial"/>
                <w:sz w:val="22"/>
                <w:szCs w:val="23"/>
              </w:rPr>
              <w:t>Mombasa</w:t>
            </w:r>
            <w:proofErr w:type="spellEnd"/>
          </w:p>
        </w:tc>
        <w:tc>
          <w:tcPr>
            <w:tcW w:w="2189" w:type="dxa"/>
            <w:vAlign w:val="center"/>
          </w:tcPr>
          <w:p w14:paraId="06759F2E" w14:textId="28C35660" w:rsidR="001F2A2C" w:rsidRPr="001F2A2C" w:rsidRDefault="001F2A2C" w:rsidP="001F2A2C">
            <w:pPr>
              <w:pStyle w:val="Figuras"/>
              <w:spacing w:before="0" w:after="0"/>
              <w:jc w:val="center"/>
              <w:rPr>
                <w:sz w:val="22"/>
              </w:rPr>
            </w:pPr>
            <w:r w:rsidRPr="001F2A2C">
              <w:rPr>
                <w:rFonts w:cs="Arial"/>
                <w:sz w:val="22"/>
                <w:szCs w:val="23"/>
              </w:rPr>
              <w:t>60% NO</w:t>
            </w:r>
            <w:r w:rsidRPr="001F2A2C">
              <w:rPr>
                <w:rFonts w:ascii="Cambria Math" w:hAnsi="Cambria Math" w:cs="Cambria Math"/>
                <w:sz w:val="22"/>
                <w:szCs w:val="23"/>
              </w:rPr>
              <w:t>₃⁻</w:t>
            </w:r>
            <w:r w:rsidRPr="001F2A2C">
              <w:rPr>
                <w:rFonts w:cs="Arial"/>
                <w:sz w:val="22"/>
                <w:szCs w:val="23"/>
              </w:rPr>
              <w:t xml:space="preserve"> / 40% NH</w:t>
            </w:r>
            <w:r w:rsidRPr="001F2A2C">
              <w:rPr>
                <w:rFonts w:ascii="Cambria Math" w:hAnsi="Cambria Math" w:cs="Cambria Math"/>
                <w:sz w:val="22"/>
                <w:szCs w:val="23"/>
              </w:rPr>
              <w:t>₄⁺</w:t>
            </w:r>
          </w:p>
        </w:tc>
      </w:tr>
      <w:tr w:rsidR="001F2A2C" w14:paraId="1CD6F8F4" w14:textId="77777777" w:rsidTr="001F2A2C">
        <w:tc>
          <w:tcPr>
            <w:tcW w:w="1343" w:type="dxa"/>
            <w:vAlign w:val="center"/>
          </w:tcPr>
          <w:p w14:paraId="64C6C35D" w14:textId="68D5765E" w:rsidR="001F2A2C" w:rsidRPr="001F2A2C" w:rsidRDefault="001F2A2C" w:rsidP="001F2A2C">
            <w:pPr>
              <w:pStyle w:val="Figuras"/>
              <w:spacing w:before="0" w:after="0"/>
              <w:jc w:val="center"/>
              <w:rPr>
                <w:sz w:val="22"/>
              </w:rPr>
            </w:pPr>
            <w:r w:rsidRPr="001F2A2C">
              <w:rPr>
                <w:rFonts w:cs="Arial"/>
                <w:sz w:val="22"/>
                <w:szCs w:val="23"/>
              </w:rPr>
              <w:t>T3</w:t>
            </w:r>
          </w:p>
        </w:tc>
        <w:tc>
          <w:tcPr>
            <w:tcW w:w="2189" w:type="dxa"/>
            <w:vAlign w:val="center"/>
          </w:tcPr>
          <w:p w14:paraId="3841BD19" w14:textId="602AD7A7" w:rsidR="001F2A2C" w:rsidRPr="001F2A2C" w:rsidRDefault="001F2A2C" w:rsidP="001F2A2C">
            <w:pPr>
              <w:pStyle w:val="Figuras"/>
              <w:spacing w:before="0" w:after="0"/>
              <w:jc w:val="center"/>
              <w:rPr>
                <w:sz w:val="22"/>
              </w:rPr>
            </w:pPr>
            <w:proofErr w:type="spellStart"/>
            <w:r w:rsidRPr="001F2A2C">
              <w:rPr>
                <w:rFonts w:cs="Arial"/>
                <w:sz w:val="22"/>
                <w:szCs w:val="23"/>
              </w:rPr>
              <w:t>Mombasa</w:t>
            </w:r>
            <w:proofErr w:type="spellEnd"/>
          </w:p>
        </w:tc>
        <w:tc>
          <w:tcPr>
            <w:tcW w:w="2189" w:type="dxa"/>
            <w:vAlign w:val="center"/>
          </w:tcPr>
          <w:p w14:paraId="4D003AA7" w14:textId="66A003E6" w:rsidR="001F2A2C" w:rsidRPr="001F2A2C" w:rsidRDefault="001F2A2C" w:rsidP="001F2A2C">
            <w:pPr>
              <w:pStyle w:val="Figuras"/>
              <w:spacing w:before="0" w:after="0"/>
              <w:jc w:val="center"/>
              <w:rPr>
                <w:sz w:val="22"/>
              </w:rPr>
            </w:pPr>
            <w:r w:rsidRPr="001F2A2C">
              <w:rPr>
                <w:rFonts w:cs="Arial"/>
                <w:sz w:val="22"/>
                <w:szCs w:val="23"/>
              </w:rPr>
              <w:t>40% NO</w:t>
            </w:r>
            <w:r w:rsidRPr="001F2A2C">
              <w:rPr>
                <w:rFonts w:ascii="Cambria Math" w:hAnsi="Cambria Math" w:cs="Cambria Math"/>
                <w:sz w:val="22"/>
                <w:szCs w:val="23"/>
              </w:rPr>
              <w:t>₃⁻</w:t>
            </w:r>
            <w:r w:rsidRPr="001F2A2C">
              <w:rPr>
                <w:rFonts w:cs="Arial"/>
                <w:sz w:val="22"/>
                <w:szCs w:val="23"/>
              </w:rPr>
              <w:t xml:space="preserve"> / 60% NH</w:t>
            </w:r>
            <w:r w:rsidRPr="001F2A2C">
              <w:rPr>
                <w:rFonts w:ascii="Cambria Math" w:hAnsi="Cambria Math" w:cs="Cambria Math"/>
                <w:sz w:val="22"/>
                <w:szCs w:val="23"/>
              </w:rPr>
              <w:t>₄⁺</w:t>
            </w:r>
          </w:p>
        </w:tc>
      </w:tr>
      <w:tr w:rsidR="001F2A2C" w14:paraId="22ADD270" w14:textId="77777777" w:rsidTr="001F2A2C">
        <w:tc>
          <w:tcPr>
            <w:tcW w:w="1343" w:type="dxa"/>
            <w:vAlign w:val="center"/>
          </w:tcPr>
          <w:p w14:paraId="7E196BC6" w14:textId="23C26D6A" w:rsidR="001F2A2C" w:rsidRPr="001F2A2C" w:rsidRDefault="001F2A2C" w:rsidP="001F2A2C">
            <w:pPr>
              <w:pStyle w:val="Figuras"/>
              <w:spacing w:before="0" w:after="0"/>
              <w:jc w:val="center"/>
              <w:rPr>
                <w:sz w:val="22"/>
              </w:rPr>
            </w:pPr>
            <w:r w:rsidRPr="001F2A2C">
              <w:rPr>
                <w:rFonts w:cs="Arial"/>
                <w:sz w:val="22"/>
                <w:szCs w:val="23"/>
              </w:rPr>
              <w:t>T4</w:t>
            </w:r>
          </w:p>
        </w:tc>
        <w:tc>
          <w:tcPr>
            <w:tcW w:w="2189" w:type="dxa"/>
            <w:vAlign w:val="center"/>
          </w:tcPr>
          <w:p w14:paraId="3048818B" w14:textId="74EC53B2" w:rsidR="001F2A2C" w:rsidRPr="001F2A2C" w:rsidRDefault="001F2A2C" w:rsidP="001F2A2C">
            <w:pPr>
              <w:pStyle w:val="Figuras"/>
              <w:spacing w:before="0" w:after="0"/>
              <w:jc w:val="center"/>
              <w:rPr>
                <w:sz w:val="22"/>
              </w:rPr>
            </w:pPr>
            <w:r w:rsidRPr="001F2A2C">
              <w:rPr>
                <w:rFonts w:cs="Arial"/>
                <w:sz w:val="22"/>
                <w:szCs w:val="23"/>
              </w:rPr>
              <w:t>Saboya</w:t>
            </w:r>
          </w:p>
        </w:tc>
        <w:tc>
          <w:tcPr>
            <w:tcW w:w="2189" w:type="dxa"/>
            <w:vAlign w:val="center"/>
          </w:tcPr>
          <w:p w14:paraId="689E79A6" w14:textId="2953CBDA" w:rsidR="001F2A2C" w:rsidRPr="001F2A2C" w:rsidRDefault="001F2A2C" w:rsidP="001F2A2C">
            <w:pPr>
              <w:pStyle w:val="Figuras"/>
              <w:spacing w:before="0" w:after="0"/>
              <w:jc w:val="center"/>
              <w:rPr>
                <w:sz w:val="22"/>
              </w:rPr>
            </w:pPr>
            <w:r w:rsidRPr="001F2A2C">
              <w:rPr>
                <w:rFonts w:cs="Arial"/>
                <w:sz w:val="22"/>
                <w:szCs w:val="23"/>
              </w:rPr>
              <w:t>Solución estándar</w:t>
            </w:r>
          </w:p>
        </w:tc>
      </w:tr>
      <w:tr w:rsidR="001F2A2C" w14:paraId="72A47933" w14:textId="77777777" w:rsidTr="001F2A2C">
        <w:tc>
          <w:tcPr>
            <w:tcW w:w="1343" w:type="dxa"/>
            <w:vAlign w:val="center"/>
          </w:tcPr>
          <w:p w14:paraId="016ED334" w14:textId="0EC02B29" w:rsidR="001F2A2C" w:rsidRPr="001F2A2C" w:rsidRDefault="001F2A2C" w:rsidP="001F2A2C">
            <w:pPr>
              <w:pStyle w:val="Figuras"/>
              <w:spacing w:before="0" w:after="0"/>
              <w:jc w:val="center"/>
              <w:rPr>
                <w:sz w:val="22"/>
              </w:rPr>
            </w:pPr>
            <w:r w:rsidRPr="001F2A2C">
              <w:rPr>
                <w:rFonts w:cs="Arial"/>
                <w:sz w:val="22"/>
                <w:szCs w:val="23"/>
              </w:rPr>
              <w:t>T5</w:t>
            </w:r>
          </w:p>
        </w:tc>
        <w:tc>
          <w:tcPr>
            <w:tcW w:w="2189" w:type="dxa"/>
            <w:vAlign w:val="center"/>
          </w:tcPr>
          <w:p w14:paraId="13A9346E" w14:textId="7D4489E0" w:rsidR="001F2A2C" w:rsidRPr="001F2A2C" w:rsidRDefault="001F2A2C" w:rsidP="001F2A2C">
            <w:pPr>
              <w:pStyle w:val="Figuras"/>
              <w:spacing w:before="0" w:after="0"/>
              <w:jc w:val="center"/>
              <w:rPr>
                <w:sz w:val="22"/>
              </w:rPr>
            </w:pPr>
            <w:r w:rsidRPr="001F2A2C">
              <w:rPr>
                <w:rFonts w:cs="Arial"/>
                <w:sz w:val="22"/>
                <w:szCs w:val="23"/>
              </w:rPr>
              <w:t>Saboya</w:t>
            </w:r>
          </w:p>
        </w:tc>
        <w:tc>
          <w:tcPr>
            <w:tcW w:w="2189" w:type="dxa"/>
            <w:vAlign w:val="center"/>
          </w:tcPr>
          <w:p w14:paraId="5D4D1ED3" w14:textId="496A493D" w:rsidR="001F2A2C" w:rsidRPr="001F2A2C" w:rsidRDefault="001F2A2C" w:rsidP="001F2A2C">
            <w:pPr>
              <w:pStyle w:val="Figuras"/>
              <w:spacing w:before="0" w:after="0"/>
              <w:jc w:val="center"/>
              <w:rPr>
                <w:sz w:val="22"/>
              </w:rPr>
            </w:pPr>
            <w:r w:rsidRPr="001F2A2C">
              <w:rPr>
                <w:rFonts w:cs="Arial"/>
                <w:sz w:val="22"/>
                <w:szCs w:val="23"/>
              </w:rPr>
              <w:t>60% NO</w:t>
            </w:r>
            <w:r w:rsidRPr="001F2A2C">
              <w:rPr>
                <w:rFonts w:ascii="Cambria Math" w:hAnsi="Cambria Math" w:cs="Cambria Math"/>
                <w:sz w:val="22"/>
                <w:szCs w:val="23"/>
              </w:rPr>
              <w:t>₃⁻</w:t>
            </w:r>
            <w:r w:rsidRPr="001F2A2C">
              <w:rPr>
                <w:rFonts w:cs="Arial"/>
                <w:sz w:val="22"/>
                <w:szCs w:val="23"/>
              </w:rPr>
              <w:t xml:space="preserve"> / 40% NH</w:t>
            </w:r>
            <w:r w:rsidRPr="001F2A2C">
              <w:rPr>
                <w:rFonts w:ascii="Cambria Math" w:hAnsi="Cambria Math" w:cs="Cambria Math"/>
                <w:sz w:val="22"/>
                <w:szCs w:val="23"/>
              </w:rPr>
              <w:t>₄⁺</w:t>
            </w:r>
          </w:p>
        </w:tc>
      </w:tr>
      <w:tr w:rsidR="001F2A2C" w14:paraId="329FE883" w14:textId="77777777" w:rsidTr="001F2A2C">
        <w:tc>
          <w:tcPr>
            <w:tcW w:w="1343" w:type="dxa"/>
            <w:vAlign w:val="center"/>
          </w:tcPr>
          <w:p w14:paraId="2ACA9B4E" w14:textId="0D889489" w:rsidR="001F2A2C" w:rsidRPr="001F2A2C" w:rsidRDefault="001F2A2C" w:rsidP="001F2A2C">
            <w:pPr>
              <w:pStyle w:val="Figuras"/>
              <w:spacing w:before="0" w:after="0"/>
              <w:jc w:val="center"/>
              <w:rPr>
                <w:sz w:val="22"/>
              </w:rPr>
            </w:pPr>
            <w:r w:rsidRPr="001F2A2C">
              <w:rPr>
                <w:rFonts w:cs="Arial"/>
                <w:sz w:val="22"/>
                <w:szCs w:val="23"/>
              </w:rPr>
              <w:t>T6</w:t>
            </w:r>
          </w:p>
        </w:tc>
        <w:tc>
          <w:tcPr>
            <w:tcW w:w="2189" w:type="dxa"/>
            <w:vAlign w:val="center"/>
          </w:tcPr>
          <w:p w14:paraId="39B4C9E4" w14:textId="4BB70A69" w:rsidR="001F2A2C" w:rsidRPr="001F2A2C" w:rsidRDefault="001F2A2C" w:rsidP="001F2A2C">
            <w:pPr>
              <w:pStyle w:val="Figuras"/>
              <w:spacing w:before="0" w:after="0"/>
              <w:jc w:val="center"/>
              <w:rPr>
                <w:sz w:val="22"/>
              </w:rPr>
            </w:pPr>
            <w:r w:rsidRPr="001F2A2C">
              <w:rPr>
                <w:rFonts w:cs="Arial"/>
                <w:sz w:val="22"/>
                <w:szCs w:val="23"/>
              </w:rPr>
              <w:t>Saboya</w:t>
            </w:r>
          </w:p>
        </w:tc>
        <w:tc>
          <w:tcPr>
            <w:tcW w:w="2189" w:type="dxa"/>
            <w:vAlign w:val="center"/>
          </w:tcPr>
          <w:p w14:paraId="67B1FF66" w14:textId="4817324A" w:rsidR="001F2A2C" w:rsidRPr="001F2A2C" w:rsidRDefault="001F2A2C" w:rsidP="001F2A2C">
            <w:pPr>
              <w:pStyle w:val="Figuras"/>
              <w:spacing w:before="0" w:after="0"/>
              <w:jc w:val="center"/>
              <w:rPr>
                <w:sz w:val="22"/>
              </w:rPr>
            </w:pPr>
            <w:r w:rsidRPr="001F2A2C">
              <w:rPr>
                <w:rFonts w:cs="Arial"/>
                <w:sz w:val="22"/>
                <w:szCs w:val="23"/>
              </w:rPr>
              <w:t>40% NO</w:t>
            </w:r>
            <w:r w:rsidRPr="001F2A2C">
              <w:rPr>
                <w:rFonts w:ascii="Cambria Math" w:hAnsi="Cambria Math" w:cs="Cambria Math"/>
                <w:sz w:val="22"/>
                <w:szCs w:val="23"/>
              </w:rPr>
              <w:t>₃⁻</w:t>
            </w:r>
            <w:r w:rsidRPr="001F2A2C">
              <w:rPr>
                <w:rFonts w:cs="Arial"/>
                <w:sz w:val="22"/>
                <w:szCs w:val="23"/>
              </w:rPr>
              <w:t xml:space="preserve"> / 60% NH</w:t>
            </w:r>
            <w:r w:rsidRPr="001F2A2C">
              <w:rPr>
                <w:rFonts w:ascii="Cambria Math" w:hAnsi="Cambria Math" w:cs="Cambria Math"/>
                <w:sz w:val="22"/>
                <w:szCs w:val="23"/>
              </w:rPr>
              <w:t>₄⁺</w:t>
            </w:r>
          </w:p>
        </w:tc>
      </w:tr>
    </w:tbl>
    <w:p w14:paraId="7A297EEA" w14:textId="3C6D94A2" w:rsidR="00AD4DE4" w:rsidRDefault="00AD4DE4" w:rsidP="00AD4DE4">
      <w:pPr>
        <w:pStyle w:val="Fuente"/>
      </w:pPr>
      <w:r w:rsidRPr="003E66FB">
        <w:t xml:space="preserve">Fuente: </w:t>
      </w:r>
      <w:r>
        <w:t>elaboración propia</w:t>
      </w:r>
    </w:p>
    <w:p w14:paraId="25B9A70F" w14:textId="5E4AAFC2" w:rsidR="00AD4DE4" w:rsidRDefault="00AD4DE4" w:rsidP="00AD4DE4">
      <w:pPr>
        <w:pStyle w:val="Fuente"/>
        <w:jc w:val="both"/>
      </w:pPr>
    </w:p>
    <w:p w14:paraId="080A829F" w14:textId="0B8D9120" w:rsidR="00AD4DE4" w:rsidRDefault="00AD4DE4" w:rsidP="00AD4DE4">
      <w:pPr>
        <w:pStyle w:val="Fuente"/>
        <w:jc w:val="both"/>
        <w:rPr>
          <w:rFonts w:ascii="Times New Roman" w:hAnsi="Times New Roman"/>
          <w:iCs w:val="0"/>
          <w:spacing w:val="1"/>
          <w:sz w:val="23"/>
          <w:szCs w:val="22"/>
          <w:lang w:val="es-ES"/>
          <w14:numForm w14:val="oldStyle"/>
        </w:rPr>
      </w:pPr>
      <w:r w:rsidRPr="00AD4DE4">
        <w:rPr>
          <w:rFonts w:ascii="Times New Roman" w:hAnsi="Times New Roman"/>
          <w:iCs w:val="0"/>
          <w:spacing w:val="1"/>
          <w:sz w:val="23"/>
          <w:szCs w:val="22"/>
          <w:lang w:val="es-ES"/>
          <w14:numForm w14:val="oldStyle"/>
        </w:rPr>
        <w:t>Se utilizarán cuatro repeticiones por tratamiento, para un total de 24 unidades experimentales. Cada unidad experimental estará conformada por una bandeja o sección de bandeja semillera de 96 alvéolos colocada en sistema flotante.</w:t>
      </w:r>
    </w:p>
    <w:p w14:paraId="24E0A469" w14:textId="475CF454" w:rsidR="00AD4DE4" w:rsidRPr="00AD4DE4" w:rsidRDefault="00AD4DE4" w:rsidP="00AD4DE4">
      <w:r w:rsidRPr="00AD4DE4">
        <w:t>Experimento 2: Densidad de plantación en sistema flotante</w:t>
      </w:r>
      <w:r w:rsidR="00FC7153">
        <w:t>:</w:t>
      </w:r>
    </w:p>
    <w:p w14:paraId="591018F9" w14:textId="398B861A" w:rsidR="00AD4DE4" w:rsidRDefault="00AD4DE4" w:rsidP="00AD4DE4">
      <w:pPr>
        <w:rPr>
          <w:iCs/>
        </w:rPr>
      </w:pPr>
      <w:r w:rsidRPr="00AD4DE4">
        <w:t>En el segundo experimento se evaluará el efecto de la densidad de pla</w:t>
      </w:r>
      <w:r>
        <w:t>nt</w:t>
      </w:r>
      <w:r w:rsidRPr="00AD4DE4">
        <w:t>ación en bandejas semilleras de 96 alvéolos. Para este ensayo se utilizará la solución nutritiva que presente el mejor comportamiento en el Experimento 1, considerando rendimiento de biomasa y calidad nutritiva.</w:t>
      </w:r>
    </w:p>
    <w:p w14:paraId="10A92F31" w14:textId="38E40E1D" w:rsidR="00AD4DE4" w:rsidRDefault="00F93E91" w:rsidP="00AD4DE4">
      <w:pPr>
        <w:pStyle w:val="Fuente"/>
        <w:jc w:val="both"/>
        <w:rPr>
          <w:rFonts w:ascii="Times New Roman" w:hAnsi="Times New Roman"/>
          <w:iCs w:val="0"/>
          <w:spacing w:val="1"/>
          <w:sz w:val="23"/>
          <w:szCs w:val="22"/>
          <w:lang w:val="es-ES"/>
          <w14:numForm w14:val="oldStyle"/>
        </w:rPr>
      </w:pPr>
      <w:r>
        <w:rPr>
          <w:rFonts w:ascii="Times New Roman" w:hAnsi="Times New Roman"/>
          <w:iCs w:val="0"/>
          <w:spacing w:val="1"/>
          <w:sz w:val="23"/>
          <w:szCs w:val="22"/>
          <w:lang w:val="es-ES"/>
          <w14:numForm w14:val="oldStyle"/>
        </w:rPr>
        <w:t>S</w:t>
      </w:r>
      <w:r w:rsidR="00AD4DE4" w:rsidRPr="00AD4DE4">
        <w:rPr>
          <w:rFonts w:ascii="Times New Roman" w:hAnsi="Times New Roman"/>
          <w:iCs w:val="0"/>
          <w:spacing w:val="1"/>
          <w:sz w:val="23"/>
          <w:szCs w:val="22"/>
          <w:lang w:val="es-ES"/>
          <w14:numForm w14:val="oldStyle"/>
        </w:rPr>
        <w:t>e evaluarán tres densidades de siembra</w:t>
      </w:r>
      <w:r w:rsidR="008C0E24">
        <w:rPr>
          <w:rFonts w:ascii="Times New Roman" w:hAnsi="Times New Roman"/>
          <w:iCs w:val="0"/>
          <w:spacing w:val="1"/>
          <w:sz w:val="23"/>
          <w:szCs w:val="22"/>
          <w:lang w:val="es-ES"/>
          <w14:numForm w14:val="oldStyle"/>
        </w:rPr>
        <w:t>, que se observan en la Tabla 4</w:t>
      </w:r>
      <w:r w:rsidR="00AD4DE4" w:rsidRPr="00AD4DE4">
        <w:rPr>
          <w:rFonts w:ascii="Times New Roman" w:hAnsi="Times New Roman"/>
          <w:iCs w:val="0"/>
          <w:spacing w:val="1"/>
          <w:sz w:val="23"/>
          <w:szCs w:val="22"/>
          <w:lang w:val="es-ES"/>
          <w14:numForm w14:val="oldStyle"/>
        </w:rPr>
        <w:t>:</w:t>
      </w:r>
    </w:p>
    <w:p w14:paraId="67AC447B" w14:textId="76BF3AFF" w:rsidR="00AD4DE4" w:rsidRDefault="00AD4DE4" w:rsidP="00AD4DE4">
      <w:pPr>
        <w:pStyle w:val="Figuras"/>
      </w:pPr>
      <w:r w:rsidRPr="00E649D6">
        <w:rPr>
          <w:rStyle w:val="negrita"/>
          <w:i w:val="0"/>
          <w:iCs/>
        </w:rPr>
        <w:t xml:space="preserve">TABLA </w:t>
      </w:r>
      <w:r w:rsidR="008C0E24">
        <w:rPr>
          <w:rStyle w:val="negrita"/>
          <w:i w:val="0"/>
          <w:iCs/>
        </w:rPr>
        <w:t>4</w:t>
      </w:r>
      <w:r>
        <w:t xml:space="preserve">. </w:t>
      </w:r>
      <w:r w:rsidR="00151C44">
        <w:t>Densidades de siembra</w:t>
      </w:r>
    </w:p>
    <w:p w14:paraId="4C38F840" w14:textId="40988711" w:rsidR="001F2A2C" w:rsidRDefault="001F2A2C" w:rsidP="00AD4DE4">
      <w:pPr>
        <w:pStyle w:val="Figuras"/>
        <w:rPr>
          <w:rFonts w:ascii="Times New Roman" w:hAnsi="Times New Roman"/>
          <w:iCs/>
          <w:spacing w:val="1"/>
          <w:sz w:val="23"/>
          <w:szCs w:val="22"/>
          <w:lang w:val="es-ES"/>
          <w14:numForm w14:val="oldStyle"/>
        </w:rPr>
      </w:pPr>
    </w:p>
    <w:tbl>
      <w:tblPr>
        <w:tblStyle w:val="Tablaconcuadrcula"/>
        <w:tblW w:w="6567" w:type="dxa"/>
        <w:jc w:val="center"/>
        <w:tblLook w:val="04A0" w:firstRow="1" w:lastRow="0" w:firstColumn="1" w:lastColumn="0" w:noHBand="0" w:noVBand="1"/>
      </w:tblPr>
      <w:tblGrid>
        <w:gridCol w:w="1271"/>
        <w:gridCol w:w="2268"/>
        <w:gridCol w:w="3028"/>
      </w:tblGrid>
      <w:tr w:rsidR="001F2A2C" w:rsidRPr="001F2A2C" w14:paraId="447853DE" w14:textId="77777777" w:rsidTr="001F2A2C">
        <w:trPr>
          <w:jc w:val="center"/>
        </w:trPr>
        <w:tc>
          <w:tcPr>
            <w:tcW w:w="1271" w:type="dxa"/>
            <w:vAlign w:val="center"/>
          </w:tcPr>
          <w:p w14:paraId="304E245C" w14:textId="4050A8CE" w:rsidR="001F2A2C" w:rsidRPr="001F2A2C" w:rsidRDefault="001F2A2C" w:rsidP="001F2A2C">
            <w:pPr>
              <w:pStyle w:val="Figuras"/>
              <w:spacing w:before="0" w:after="0"/>
              <w:jc w:val="center"/>
              <w:rPr>
                <w:rFonts w:ascii="Times New Roman" w:hAnsi="Times New Roman"/>
                <w:iCs/>
                <w:spacing w:val="1"/>
                <w:sz w:val="22"/>
                <w:szCs w:val="22"/>
                <w:lang w:val="es-ES"/>
                <w14:numForm w14:val="oldStyle"/>
              </w:rPr>
            </w:pPr>
            <w:r w:rsidRPr="001F2A2C">
              <w:rPr>
                <w:rFonts w:cs="Arial"/>
                <w:b/>
                <w:bCs/>
                <w:sz w:val="22"/>
                <w:lang w:val="es-EC" w:eastAsia="es-EC"/>
              </w:rPr>
              <w:t>Tratamiento</w:t>
            </w:r>
          </w:p>
        </w:tc>
        <w:tc>
          <w:tcPr>
            <w:tcW w:w="2268" w:type="dxa"/>
            <w:vAlign w:val="center"/>
          </w:tcPr>
          <w:p w14:paraId="40D5AE6B" w14:textId="7168BBE0" w:rsidR="001F2A2C" w:rsidRPr="001F2A2C" w:rsidRDefault="001F2A2C" w:rsidP="001F2A2C">
            <w:pPr>
              <w:pStyle w:val="Figuras"/>
              <w:spacing w:before="0" w:after="0"/>
              <w:jc w:val="center"/>
              <w:rPr>
                <w:rFonts w:ascii="Times New Roman" w:hAnsi="Times New Roman"/>
                <w:iCs/>
                <w:spacing w:val="1"/>
                <w:sz w:val="22"/>
                <w:szCs w:val="22"/>
                <w:lang w:val="es-ES"/>
                <w14:numForm w14:val="oldStyle"/>
              </w:rPr>
            </w:pPr>
            <w:r w:rsidRPr="001F2A2C">
              <w:rPr>
                <w:rFonts w:cs="Arial"/>
                <w:b/>
                <w:bCs/>
                <w:sz w:val="22"/>
                <w:lang w:val="es-EC" w:eastAsia="es-EC"/>
              </w:rPr>
              <w:t>Densidad de plantación</w:t>
            </w:r>
          </w:p>
        </w:tc>
        <w:tc>
          <w:tcPr>
            <w:tcW w:w="3028" w:type="dxa"/>
            <w:vAlign w:val="center"/>
          </w:tcPr>
          <w:p w14:paraId="60912645" w14:textId="59FC86CC" w:rsidR="001F2A2C" w:rsidRPr="001F2A2C" w:rsidRDefault="001F2A2C" w:rsidP="001F2A2C">
            <w:pPr>
              <w:pStyle w:val="Figuras"/>
              <w:spacing w:before="0" w:after="0"/>
              <w:jc w:val="center"/>
              <w:rPr>
                <w:rFonts w:ascii="Times New Roman" w:hAnsi="Times New Roman"/>
                <w:iCs/>
                <w:spacing w:val="1"/>
                <w:sz w:val="22"/>
                <w:szCs w:val="22"/>
                <w:lang w:val="es-ES"/>
                <w14:numForm w14:val="oldStyle"/>
              </w:rPr>
            </w:pPr>
            <w:r w:rsidRPr="001F2A2C">
              <w:rPr>
                <w:rFonts w:cs="Arial"/>
                <w:b/>
                <w:bCs/>
                <w:sz w:val="22"/>
                <w:lang w:val="es-EC" w:eastAsia="es-EC"/>
              </w:rPr>
              <w:t>Descripción</w:t>
            </w:r>
          </w:p>
        </w:tc>
      </w:tr>
      <w:tr w:rsidR="001F2A2C" w:rsidRPr="001F2A2C" w14:paraId="244B3FE0" w14:textId="77777777" w:rsidTr="001F2A2C">
        <w:trPr>
          <w:jc w:val="center"/>
        </w:trPr>
        <w:tc>
          <w:tcPr>
            <w:tcW w:w="1271" w:type="dxa"/>
            <w:vAlign w:val="center"/>
          </w:tcPr>
          <w:p w14:paraId="3C922FFC" w14:textId="47CC14DA" w:rsidR="001F2A2C" w:rsidRPr="001F2A2C" w:rsidRDefault="001F2A2C" w:rsidP="001F2A2C">
            <w:pPr>
              <w:pStyle w:val="Figuras"/>
              <w:spacing w:before="0" w:after="0"/>
              <w:jc w:val="center"/>
              <w:rPr>
                <w:rFonts w:ascii="Times New Roman" w:hAnsi="Times New Roman"/>
                <w:iCs/>
                <w:spacing w:val="1"/>
                <w:sz w:val="22"/>
                <w:szCs w:val="22"/>
                <w:lang w:val="es-ES"/>
                <w14:numForm w14:val="oldStyle"/>
              </w:rPr>
            </w:pPr>
            <w:r w:rsidRPr="001F2A2C">
              <w:rPr>
                <w:rFonts w:cs="Arial"/>
                <w:sz w:val="22"/>
                <w:lang w:val="es-EC" w:eastAsia="es-EC"/>
              </w:rPr>
              <w:t>D1</w:t>
            </w:r>
          </w:p>
        </w:tc>
        <w:tc>
          <w:tcPr>
            <w:tcW w:w="2268" w:type="dxa"/>
            <w:vAlign w:val="center"/>
          </w:tcPr>
          <w:p w14:paraId="4F479BDB" w14:textId="7B48D9BD" w:rsidR="001F2A2C" w:rsidRPr="001F2A2C" w:rsidRDefault="001F2A2C" w:rsidP="001F2A2C">
            <w:pPr>
              <w:pStyle w:val="Figuras"/>
              <w:spacing w:before="0" w:after="0"/>
              <w:rPr>
                <w:rFonts w:ascii="Times New Roman" w:hAnsi="Times New Roman"/>
                <w:iCs/>
                <w:spacing w:val="1"/>
                <w:sz w:val="22"/>
                <w:szCs w:val="22"/>
                <w:lang w:val="es-ES"/>
                <w14:numForm w14:val="oldStyle"/>
              </w:rPr>
            </w:pPr>
            <w:r w:rsidRPr="001F2A2C">
              <w:rPr>
                <w:rFonts w:cs="Arial"/>
                <w:sz w:val="22"/>
                <w:lang w:val="es-EC" w:eastAsia="es-EC"/>
              </w:rPr>
              <w:t>Alta densidad</w:t>
            </w:r>
          </w:p>
        </w:tc>
        <w:tc>
          <w:tcPr>
            <w:tcW w:w="3028" w:type="dxa"/>
            <w:vAlign w:val="center"/>
          </w:tcPr>
          <w:p w14:paraId="0932FB13" w14:textId="34D6331A" w:rsidR="001F2A2C" w:rsidRPr="001F2A2C" w:rsidRDefault="001F2A2C" w:rsidP="001F2A2C">
            <w:pPr>
              <w:pStyle w:val="Figuras"/>
              <w:spacing w:before="0" w:after="0"/>
              <w:rPr>
                <w:rFonts w:ascii="Times New Roman" w:hAnsi="Times New Roman"/>
                <w:iCs/>
                <w:spacing w:val="1"/>
                <w:sz w:val="22"/>
                <w:szCs w:val="22"/>
                <w:lang w:val="es-ES"/>
                <w14:numForm w14:val="oldStyle"/>
              </w:rPr>
            </w:pPr>
            <w:r w:rsidRPr="001F2A2C">
              <w:rPr>
                <w:rFonts w:cs="Arial"/>
                <w:sz w:val="22"/>
                <w:lang w:val="es-EC" w:eastAsia="es-EC"/>
              </w:rPr>
              <w:t>Siembra en todos los alvéolos disponibles (</w:t>
            </w:r>
            <w:r w:rsidRPr="001F2A2C">
              <w:rPr>
                <w:rFonts w:cs="Arial"/>
                <w:sz w:val="22"/>
              </w:rPr>
              <w:t>96 alvéolos sembrados</w:t>
            </w:r>
            <w:r w:rsidRPr="001F2A2C">
              <w:rPr>
                <w:rFonts w:cs="Arial"/>
                <w:sz w:val="22"/>
                <w:lang w:val="es-EC" w:eastAsia="es-EC"/>
              </w:rPr>
              <w:t>)</w:t>
            </w:r>
          </w:p>
        </w:tc>
      </w:tr>
      <w:tr w:rsidR="001F2A2C" w:rsidRPr="001F2A2C" w14:paraId="5DBC9438" w14:textId="77777777" w:rsidTr="001F2A2C">
        <w:trPr>
          <w:jc w:val="center"/>
        </w:trPr>
        <w:tc>
          <w:tcPr>
            <w:tcW w:w="1271" w:type="dxa"/>
            <w:vAlign w:val="center"/>
          </w:tcPr>
          <w:p w14:paraId="624C2DF9" w14:textId="187347A3" w:rsidR="001F2A2C" w:rsidRPr="001F2A2C" w:rsidRDefault="001F2A2C" w:rsidP="001F2A2C">
            <w:pPr>
              <w:pStyle w:val="Figuras"/>
              <w:spacing w:before="0" w:after="0"/>
              <w:jc w:val="center"/>
              <w:rPr>
                <w:rFonts w:ascii="Times New Roman" w:hAnsi="Times New Roman"/>
                <w:iCs/>
                <w:spacing w:val="1"/>
                <w:sz w:val="22"/>
                <w:szCs w:val="22"/>
                <w:lang w:val="es-ES"/>
                <w14:numForm w14:val="oldStyle"/>
              </w:rPr>
            </w:pPr>
            <w:r w:rsidRPr="001F2A2C">
              <w:rPr>
                <w:rFonts w:cs="Arial"/>
                <w:sz w:val="22"/>
                <w:lang w:val="es-EC" w:eastAsia="es-EC"/>
              </w:rPr>
              <w:t>D2</w:t>
            </w:r>
          </w:p>
        </w:tc>
        <w:tc>
          <w:tcPr>
            <w:tcW w:w="2268" w:type="dxa"/>
            <w:vAlign w:val="center"/>
          </w:tcPr>
          <w:p w14:paraId="1F8CA16B" w14:textId="198FEDDE" w:rsidR="001F2A2C" w:rsidRPr="001F2A2C" w:rsidRDefault="001F2A2C" w:rsidP="001F2A2C">
            <w:pPr>
              <w:pStyle w:val="Figuras"/>
              <w:spacing w:before="0" w:after="0"/>
              <w:rPr>
                <w:rFonts w:ascii="Times New Roman" w:hAnsi="Times New Roman"/>
                <w:iCs/>
                <w:spacing w:val="1"/>
                <w:sz w:val="22"/>
                <w:szCs w:val="22"/>
                <w:lang w:val="es-ES"/>
                <w14:numForm w14:val="oldStyle"/>
              </w:rPr>
            </w:pPr>
            <w:r w:rsidRPr="001F2A2C">
              <w:rPr>
                <w:rFonts w:cs="Arial"/>
                <w:sz w:val="22"/>
                <w:lang w:val="es-EC" w:eastAsia="es-EC"/>
              </w:rPr>
              <w:t>Densidad intermedia</w:t>
            </w:r>
          </w:p>
        </w:tc>
        <w:tc>
          <w:tcPr>
            <w:tcW w:w="3028" w:type="dxa"/>
            <w:vAlign w:val="center"/>
          </w:tcPr>
          <w:p w14:paraId="7119584A" w14:textId="41A51339" w:rsidR="001F2A2C" w:rsidRPr="001F2A2C" w:rsidRDefault="001F2A2C" w:rsidP="001F2A2C">
            <w:pPr>
              <w:pStyle w:val="Figuras"/>
              <w:spacing w:before="0" w:after="0"/>
              <w:rPr>
                <w:rFonts w:ascii="Times New Roman" w:hAnsi="Times New Roman"/>
                <w:iCs/>
                <w:spacing w:val="1"/>
                <w:sz w:val="22"/>
                <w:szCs w:val="22"/>
                <w:lang w:val="es-ES"/>
                <w14:numForm w14:val="oldStyle"/>
              </w:rPr>
            </w:pPr>
            <w:r w:rsidRPr="001F2A2C">
              <w:rPr>
                <w:rFonts w:cs="Arial"/>
                <w:sz w:val="22"/>
                <w:lang w:val="es-EC" w:eastAsia="es-EC"/>
              </w:rPr>
              <w:t>Siembra alternada por columnas o filas (</w:t>
            </w:r>
            <w:r w:rsidRPr="001F2A2C">
              <w:rPr>
                <w:rFonts w:cs="Arial"/>
                <w:sz w:val="22"/>
              </w:rPr>
              <w:t>48 alvéolos sembrados</w:t>
            </w:r>
            <w:r w:rsidRPr="001F2A2C">
              <w:rPr>
                <w:rFonts w:cs="Arial"/>
                <w:sz w:val="22"/>
                <w:lang w:val="es-EC" w:eastAsia="es-EC"/>
              </w:rPr>
              <w:t>)</w:t>
            </w:r>
          </w:p>
        </w:tc>
      </w:tr>
      <w:tr w:rsidR="001F2A2C" w:rsidRPr="001F2A2C" w14:paraId="53BFA57C" w14:textId="77777777" w:rsidTr="001F2A2C">
        <w:trPr>
          <w:jc w:val="center"/>
        </w:trPr>
        <w:tc>
          <w:tcPr>
            <w:tcW w:w="1271" w:type="dxa"/>
            <w:vAlign w:val="center"/>
          </w:tcPr>
          <w:p w14:paraId="2FF91DAC" w14:textId="74DF46AC" w:rsidR="001F2A2C" w:rsidRPr="001F2A2C" w:rsidRDefault="001F2A2C" w:rsidP="001F2A2C">
            <w:pPr>
              <w:pStyle w:val="Figuras"/>
              <w:spacing w:before="0" w:after="0"/>
              <w:jc w:val="center"/>
              <w:rPr>
                <w:rFonts w:ascii="Times New Roman" w:hAnsi="Times New Roman"/>
                <w:iCs/>
                <w:spacing w:val="1"/>
                <w:sz w:val="22"/>
                <w:szCs w:val="22"/>
                <w:lang w:val="es-ES"/>
                <w14:numForm w14:val="oldStyle"/>
              </w:rPr>
            </w:pPr>
            <w:r w:rsidRPr="001F2A2C">
              <w:rPr>
                <w:rFonts w:cs="Arial"/>
                <w:sz w:val="22"/>
                <w:lang w:val="es-EC" w:eastAsia="es-EC"/>
              </w:rPr>
              <w:t>D3</w:t>
            </w:r>
          </w:p>
        </w:tc>
        <w:tc>
          <w:tcPr>
            <w:tcW w:w="2268" w:type="dxa"/>
            <w:vAlign w:val="center"/>
          </w:tcPr>
          <w:p w14:paraId="02F42608" w14:textId="34A733F0" w:rsidR="001F2A2C" w:rsidRPr="001F2A2C" w:rsidRDefault="001F2A2C" w:rsidP="001F2A2C">
            <w:pPr>
              <w:pStyle w:val="Figuras"/>
              <w:spacing w:before="0" w:after="0"/>
              <w:rPr>
                <w:rFonts w:ascii="Times New Roman" w:hAnsi="Times New Roman"/>
                <w:iCs/>
                <w:spacing w:val="1"/>
                <w:sz w:val="22"/>
                <w:szCs w:val="22"/>
                <w:lang w:val="es-ES"/>
                <w14:numForm w14:val="oldStyle"/>
              </w:rPr>
            </w:pPr>
            <w:r w:rsidRPr="001F2A2C">
              <w:rPr>
                <w:rFonts w:cs="Arial"/>
                <w:sz w:val="22"/>
                <w:lang w:val="es-EC" w:eastAsia="es-EC"/>
              </w:rPr>
              <w:t>Baja densidad</w:t>
            </w:r>
          </w:p>
        </w:tc>
        <w:tc>
          <w:tcPr>
            <w:tcW w:w="3028" w:type="dxa"/>
            <w:vAlign w:val="center"/>
          </w:tcPr>
          <w:p w14:paraId="6B63AC83" w14:textId="0D8056FB" w:rsidR="001F2A2C" w:rsidRPr="001F2A2C" w:rsidRDefault="001F2A2C" w:rsidP="001F2A2C">
            <w:pPr>
              <w:pStyle w:val="Figuras"/>
              <w:spacing w:before="0" w:after="0"/>
              <w:rPr>
                <w:rFonts w:ascii="Times New Roman" w:hAnsi="Times New Roman"/>
                <w:iCs/>
                <w:spacing w:val="1"/>
                <w:sz w:val="22"/>
                <w:szCs w:val="22"/>
                <w:lang w:val="es-ES"/>
                <w14:numForm w14:val="oldStyle"/>
              </w:rPr>
            </w:pPr>
            <w:r w:rsidRPr="001F2A2C">
              <w:rPr>
                <w:rFonts w:cs="Arial"/>
                <w:sz w:val="22"/>
                <w:lang w:val="es-EC" w:eastAsia="es-EC"/>
              </w:rPr>
              <w:t>Siembra más espaciada, dejando alvéolos libres entre plantas (</w:t>
            </w:r>
            <w:r w:rsidRPr="001F2A2C">
              <w:rPr>
                <w:rFonts w:cs="Arial"/>
                <w:sz w:val="22"/>
              </w:rPr>
              <w:t>48 alvéolos sembrados</w:t>
            </w:r>
            <w:r w:rsidRPr="001F2A2C">
              <w:rPr>
                <w:rFonts w:cs="Arial"/>
                <w:sz w:val="22"/>
                <w:lang w:val="es-EC" w:eastAsia="es-EC"/>
              </w:rPr>
              <w:t>)</w:t>
            </w:r>
          </w:p>
        </w:tc>
      </w:tr>
    </w:tbl>
    <w:p w14:paraId="57A49011" w14:textId="1FFE308D" w:rsidR="00151C44" w:rsidRDefault="00151C44" w:rsidP="00151C44">
      <w:pPr>
        <w:pStyle w:val="Fuente"/>
      </w:pPr>
      <w:r w:rsidRPr="003E66FB">
        <w:t xml:space="preserve">Fuente: </w:t>
      </w:r>
      <w:r>
        <w:t>elaboración propia</w:t>
      </w:r>
    </w:p>
    <w:p w14:paraId="759945AB" w14:textId="1412B705" w:rsidR="008C0E24" w:rsidRDefault="008C0E24" w:rsidP="00151C44">
      <w:pPr>
        <w:pStyle w:val="Fuente"/>
      </w:pPr>
    </w:p>
    <w:p w14:paraId="2D040512" w14:textId="0E435D9B" w:rsidR="008C0E24" w:rsidRDefault="008C0E24" w:rsidP="00151C44">
      <w:pPr>
        <w:pStyle w:val="Fuente"/>
      </w:pPr>
    </w:p>
    <w:p w14:paraId="496AC386" w14:textId="77777777" w:rsidR="008C0E24" w:rsidRDefault="008C0E24" w:rsidP="00151C44">
      <w:pPr>
        <w:pStyle w:val="Fuente"/>
      </w:pPr>
    </w:p>
    <w:p w14:paraId="6650A528" w14:textId="4514BB29" w:rsidR="00151C44" w:rsidRPr="00151C44" w:rsidRDefault="00151C44" w:rsidP="00151C44">
      <w:r w:rsidRPr="00151C44">
        <w:lastRenderedPageBreak/>
        <w:t>Diseño experimental del Experimento 2</w:t>
      </w:r>
      <w:r w:rsidR="00FC7153">
        <w:t>:</w:t>
      </w:r>
    </w:p>
    <w:p w14:paraId="3EDCD296" w14:textId="77777777" w:rsidR="00151C44" w:rsidRPr="00151C44" w:rsidRDefault="00151C44" w:rsidP="00151C44">
      <w:r w:rsidRPr="00151C44">
        <w:t>El segundo experimento se establecerá bajo un diseño completamente al azar con arreglo factorial 2 × 3, considerando dos materiales vegetales y tres densidades de plantación. Se utilizarán cuatro repeticiones por tratamiento.</w:t>
      </w:r>
    </w:p>
    <w:p w14:paraId="468FAC04" w14:textId="77777777" w:rsidR="00151C44" w:rsidRPr="00151C44" w:rsidRDefault="00151C44" w:rsidP="00151C44">
      <w:r w:rsidRPr="00151C44">
        <w:t xml:space="preserve">Manejo del experimento: </w:t>
      </w:r>
    </w:p>
    <w:p w14:paraId="3A4168A5" w14:textId="77777777" w:rsidR="00151C44" w:rsidRPr="00151C44" w:rsidRDefault="00151C44" w:rsidP="00151C44">
      <w:r w:rsidRPr="00151C44">
        <w:t xml:space="preserve">Casa Sombra: </w:t>
      </w:r>
    </w:p>
    <w:p w14:paraId="7A584B71" w14:textId="77777777" w:rsidR="00151C44" w:rsidRPr="00151C44" w:rsidRDefault="00151C44" w:rsidP="00151C44">
      <w:r w:rsidRPr="00151C44">
        <w:t>Para el adecuado desarrollo del experimento, se construirá una casa sombra que proporcione un ambiente controlado y adecuado para el cultivo flotante; la casa sombra tendrá un área total de aproximadamente 20 m², con dimensiones de 4 metros de ancho por 5 metros de largo. Esta superficie permitirá la instalación adecuada de las bandejas y facilitará el acceso para el manejo y monitoreo del cultivo.</w:t>
      </w:r>
    </w:p>
    <w:p w14:paraId="1B3918BE" w14:textId="77777777" w:rsidR="00151C44" w:rsidRPr="00151C44" w:rsidRDefault="00151C44" w:rsidP="00151C44">
      <w:r w:rsidRPr="00151C44">
        <w:t>La altura de la estructura será de 2.5 a 3 metros. Esta altura es suficiente para permitir una buena ventilación y circulación del aire, además de brindar espacio adecuado para la instalación de sistemas de riego y monitoreo.</w:t>
      </w:r>
    </w:p>
    <w:p w14:paraId="076D4E8B" w14:textId="77777777" w:rsidR="00151C44" w:rsidRPr="00151C44" w:rsidRDefault="00151C44" w:rsidP="00151C44">
      <w:r w:rsidRPr="00151C44">
        <w:t>Se recomienda el uso de mallas sombra con un porcentaje de sombreo del 50% al 70%, lo que permitirá una iluminación adecuada sin exponer a los cultivos a la luz solar directa en exceso. También se podría considerar el uso de estructuras laterales para mejorar la protección contra el viento y otras condiciones climáticas.</w:t>
      </w:r>
    </w:p>
    <w:p w14:paraId="2845BCFA" w14:textId="77777777" w:rsidR="00151C44" w:rsidRPr="00151C44" w:rsidRDefault="00151C44" w:rsidP="00151C44">
      <w:r w:rsidRPr="00151C44">
        <w:t xml:space="preserve">Cultivos flotantes: </w:t>
      </w:r>
    </w:p>
    <w:p w14:paraId="166F9578" w14:textId="77777777" w:rsidR="00151C44" w:rsidRPr="00151C44" w:rsidRDefault="00151C44" w:rsidP="00151C44">
      <w:r w:rsidRPr="00151C44">
        <w:t>Se construirán tres bandejas con dimensiones de 0.72 x 1.05 metros, cada una con una capacidad total de 75.6 litros de agua. Las bandejas se llenarán uniformemente, garantizando que no queden espacios vacíos dentro de las estructuras.</w:t>
      </w:r>
    </w:p>
    <w:p w14:paraId="2ECE9D10" w14:textId="77777777" w:rsidR="00151C44" w:rsidRPr="00151C44" w:rsidRDefault="00151C44" w:rsidP="00151C44">
      <w:r w:rsidRPr="00151C44">
        <w:t xml:space="preserve">Se llevará a cabo un monitoreo regular del pH del agua en cada una de las bandejas, manteniendo un rango óptimo de pH de 5.5 a 6.5. En caso de ser necesario ajustar el pH, se utilizará ácido clorhídrico para disminuir los niveles e hidróxido de sodio para aumentarlos. Este control es </w:t>
      </w:r>
      <w:r w:rsidRPr="00151C44">
        <w:lastRenderedPageBreak/>
        <w:t>fundamental para asegurar un ambiente propicio para el desarrollo del cultivo.</w:t>
      </w:r>
    </w:p>
    <w:p w14:paraId="1ECA7040" w14:textId="23B6912A" w:rsidR="00151C44" w:rsidRPr="00151C44" w:rsidRDefault="00151C44" w:rsidP="00151C44">
      <w:r w:rsidRPr="00151C44">
        <w:t>Cultivo conven</w:t>
      </w:r>
      <w:r>
        <w:t>ci</w:t>
      </w:r>
      <w:r w:rsidRPr="00151C44">
        <w:t>onal:</w:t>
      </w:r>
    </w:p>
    <w:p w14:paraId="57410271" w14:textId="77777777" w:rsidR="00151C44" w:rsidRPr="00151C44" w:rsidRDefault="00151C44" w:rsidP="00151C44">
      <w:r w:rsidRPr="00151C44">
        <w:t>Para el establecimiento del tratamiento en cultivo convencional, se implementará una mini huerta en un terreno plano, con un nivel adecuado y buena capacidad de retención hídrica, caracterizado por un suelo franco arenoso. La siembra se realizará al voleo, asegurando que se utilice la misma cantidad de semillas, previamente pesadas, para cada una de las repeticiones.</w:t>
      </w:r>
    </w:p>
    <w:p w14:paraId="620F55A6" w14:textId="77777777" w:rsidR="00151C44" w:rsidRPr="00151C44" w:rsidRDefault="00151C44" w:rsidP="00151C44">
      <w:r w:rsidRPr="00151C44">
        <w:t xml:space="preserve">En cuanto a la siembra, se utilizarán semillas certificadas para asegurar el mayor porcentaje de germinación. </w:t>
      </w:r>
    </w:p>
    <w:p w14:paraId="2F9BB24F" w14:textId="77777777" w:rsidR="00151C44" w:rsidRPr="00151C44" w:rsidRDefault="00151C44" w:rsidP="00151C44">
      <w:pPr>
        <w:pStyle w:val="NormalWeb"/>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 xml:space="preserve">Variables a evaluar en ambos experimentos: </w:t>
      </w:r>
    </w:p>
    <w:p w14:paraId="3AD1A09F" w14:textId="77777777" w:rsidR="00151C44" w:rsidRPr="00151C44" w:rsidRDefault="00151C44" w:rsidP="00151C44">
      <w:r w:rsidRPr="00151C44">
        <w:t>Variables productivas:</w:t>
      </w:r>
    </w:p>
    <w:p w14:paraId="170BC8CF" w14:textId="523B99C2" w:rsidR="00151C44" w:rsidRPr="00151C44" w:rsidRDefault="00151C44" w:rsidP="00151C44">
      <w:r w:rsidRPr="00151C44">
        <w:t>Altura de planta (cm) (20 plantas por unidad experimental): Se seleccionarán 20 plantas por tratamiento. La altura se medirá cada 7 días durante 12 semanas, utilizando una regla graduada desde la base del tallo hasta el ápice de la hoja superior.</w:t>
      </w:r>
    </w:p>
    <w:p w14:paraId="7EA1AC14" w14:textId="6A2A3173" w:rsidR="00151C44" w:rsidRPr="00151C44" w:rsidRDefault="00151C44" w:rsidP="00151C44">
      <w:pPr>
        <w:pStyle w:val="NormalWeb"/>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Ancho de la hoja (cm) (20 plantas por unidad experimental): Después de registrar la altura, se procederá a medir el ancho de las hojas utilizando un calibrador, midiendo en centímetros de borde a borde en la parte central de la lámina foliar.</w:t>
      </w:r>
    </w:p>
    <w:p w14:paraId="4044C2A1" w14:textId="7AC26A03" w:rsidR="00151C44" w:rsidRDefault="00151C44" w:rsidP="00151C44">
      <w:pPr>
        <w:pStyle w:val="NormalWeb"/>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Producción de materia fresca (kg m2) (cm2/unidad experimental): Se pesarán cada uno de las bandejas de forraje verde hidropónico en una balanza, obteniendo el rendimiento por tratamiento. Se utilizará la fórmula:</w:t>
      </w:r>
    </w:p>
    <w:p w14:paraId="0F69E171" w14:textId="40A2FC80" w:rsidR="008C0E24" w:rsidRDefault="008C0E24" w:rsidP="00151C44">
      <w:pPr>
        <w:pStyle w:val="NormalWeb"/>
        <w:rPr>
          <w:rFonts w:eastAsiaTheme="minorHAnsi" w:cstheme="minorBidi"/>
          <w:spacing w:val="1"/>
          <w:sz w:val="23"/>
          <w:szCs w:val="22"/>
          <w:lang w:val="es-ES" w:eastAsia="en-US"/>
          <w14:numForm w14:val="oldStyle"/>
        </w:rPr>
      </w:pPr>
      <w:r w:rsidRPr="008C0E24">
        <w:rPr>
          <w:rFonts w:eastAsiaTheme="minorHAnsi" w:cstheme="minorBidi"/>
          <w:spacing w:val="1"/>
          <w:sz w:val="23"/>
          <w:szCs w:val="22"/>
          <w:lang w:val="es-ES" w:eastAsia="en-US"/>
          <w14:numForm w14:val="oldStyle"/>
        </w:rPr>
        <w:t>Rendimiento (kg/m</w:t>
      </w:r>
      <w:r w:rsidRPr="008C0E24">
        <w:rPr>
          <w:rFonts w:eastAsiaTheme="minorHAnsi" w:cstheme="minorBidi"/>
          <w:spacing w:val="1"/>
          <w:sz w:val="23"/>
          <w:szCs w:val="22"/>
          <w:vertAlign w:val="superscript"/>
          <w:lang w:val="es-ES" w:eastAsia="en-US"/>
          <w14:numForm w14:val="oldStyle"/>
        </w:rPr>
        <w:t>2</w:t>
      </w:r>
      <w:r w:rsidRPr="008C0E24">
        <w:rPr>
          <w:rFonts w:eastAsiaTheme="minorHAnsi" w:cstheme="minorBidi"/>
          <w:spacing w:val="1"/>
          <w:sz w:val="23"/>
          <w:szCs w:val="22"/>
          <w:lang w:val="es-ES" w:eastAsia="en-US"/>
          <w14:numForm w14:val="oldStyle"/>
        </w:rPr>
        <w:t>)</w:t>
      </w:r>
      <w:r>
        <w:rPr>
          <w:rFonts w:eastAsiaTheme="minorHAnsi" w:cstheme="minorBidi"/>
          <w:spacing w:val="1"/>
          <w:sz w:val="23"/>
          <w:szCs w:val="22"/>
          <w:lang w:val="es-ES" w:eastAsia="en-US"/>
          <w14:numForm w14:val="oldStyle"/>
        </w:rPr>
        <w:t xml:space="preserve"> </w:t>
      </w:r>
      <w:r w:rsidRPr="008C0E24">
        <w:rPr>
          <w:rFonts w:eastAsiaTheme="minorHAnsi" w:cstheme="minorBidi"/>
          <w:spacing w:val="1"/>
          <w:sz w:val="23"/>
          <w:szCs w:val="22"/>
          <w:lang w:val="es-ES" w:eastAsia="en-US"/>
          <w14:numForm w14:val="oldStyle"/>
        </w:rPr>
        <w:t>=</w:t>
      </w:r>
      <w:r>
        <w:rPr>
          <w:rFonts w:eastAsiaTheme="minorHAnsi" w:cstheme="minorBidi"/>
          <w:spacing w:val="1"/>
          <w:sz w:val="23"/>
          <w:szCs w:val="22"/>
          <w:lang w:val="es-ES" w:eastAsia="en-US"/>
          <w14:numForm w14:val="oldStyle"/>
        </w:rPr>
        <w:t xml:space="preserve"> </w:t>
      </w:r>
      <w:r w:rsidRPr="008C0E24">
        <w:rPr>
          <w:rFonts w:eastAsiaTheme="minorHAnsi" w:cstheme="minorBidi"/>
          <w:spacing w:val="1"/>
          <w:sz w:val="23"/>
          <w:szCs w:val="22"/>
          <w:lang w:val="es-ES" w:eastAsia="en-US"/>
          <w14:numForm w14:val="oldStyle"/>
        </w:rPr>
        <w:t>(peso unidad experimental (kg))</w:t>
      </w:r>
      <w:r>
        <w:rPr>
          <w:rFonts w:eastAsiaTheme="minorHAnsi" w:cstheme="minorBidi"/>
          <w:spacing w:val="1"/>
          <w:sz w:val="23"/>
          <w:szCs w:val="22"/>
          <w:lang w:val="es-ES" w:eastAsia="en-US"/>
          <w14:numForm w14:val="oldStyle"/>
        </w:rPr>
        <w:t xml:space="preserve"> </w:t>
      </w:r>
      <w:r w:rsidRPr="008C0E24">
        <w:rPr>
          <w:rFonts w:eastAsiaTheme="minorHAnsi" w:cstheme="minorBidi"/>
          <w:spacing w:val="1"/>
          <w:sz w:val="23"/>
          <w:szCs w:val="22"/>
          <w:lang w:val="es-ES" w:eastAsia="en-US"/>
          <w14:numForm w14:val="oldStyle"/>
        </w:rPr>
        <w:t>/</w:t>
      </w:r>
      <w:r>
        <w:rPr>
          <w:rFonts w:eastAsiaTheme="minorHAnsi" w:cstheme="minorBidi"/>
          <w:spacing w:val="1"/>
          <w:sz w:val="23"/>
          <w:szCs w:val="22"/>
          <w:lang w:val="es-ES" w:eastAsia="en-US"/>
          <w14:numForm w14:val="oldStyle"/>
        </w:rPr>
        <w:t xml:space="preserve"> </w:t>
      </w:r>
      <w:r w:rsidRPr="008C0E24">
        <w:rPr>
          <w:rFonts w:eastAsiaTheme="minorHAnsi" w:cstheme="minorBidi"/>
          <w:spacing w:val="1"/>
          <w:sz w:val="23"/>
          <w:szCs w:val="22"/>
          <w:lang w:val="es-ES" w:eastAsia="en-US"/>
          <w14:numForm w14:val="oldStyle"/>
        </w:rPr>
        <w:t>(dimensiones de la bandeja (m</w:t>
      </w:r>
      <w:r w:rsidRPr="008C0E24">
        <w:rPr>
          <w:rFonts w:eastAsiaTheme="minorHAnsi" w:cstheme="minorBidi"/>
          <w:spacing w:val="1"/>
          <w:sz w:val="23"/>
          <w:szCs w:val="22"/>
          <w:vertAlign w:val="superscript"/>
          <w:lang w:val="es-ES" w:eastAsia="en-US"/>
          <w14:numForm w14:val="oldStyle"/>
        </w:rPr>
        <w:t>2</w:t>
      </w:r>
      <w:r w:rsidRPr="008C0E24">
        <w:rPr>
          <w:rFonts w:eastAsiaTheme="minorHAnsi" w:cstheme="minorBidi"/>
          <w:spacing w:val="1"/>
          <w:sz w:val="23"/>
          <w:szCs w:val="22"/>
          <w:lang w:val="es-ES" w:eastAsia="en-US"/>
          <w14:numForm w14:val="oldStyle"/>
        </w:rPr>
        <w:t>))</w:t>
      </w:r>
    </w:p>
    <w:p w14:paraId="1E3B9C91" w14:textId="56A038FA"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Análisis de costos: la relación costo beneficio en la producción de forraje verde hidropónico se determinó utilizando la siguiente formula:</w:t>
      </w:r>
    </w:p>
    <w:p w14:paraId="6FF23024" w14:textId="64336BD7"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lastRenderedPageBreak/>
        <w:t>RCB</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(ingresos</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egresos)</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egresos</w:t>
      </w:r>
    </w:p>
    <w:p w14:paraId="147A99D0" w14:textId="77777777"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 xml:space="preserve">Valor nutritivo: </w:t>
      </w:r>
    </w:p>
    <w:p w14:paraId="3E6B7949" w14:textId="5BB6AE34"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 xml:space="preserve">Producción de materia seca (kg m2) (cm2/unidad experimental): se tomarán una muestra de 100 g de pasto por bandeja donde esta a su vez se cortará en pedazos de 5 cm, secándose en el horno a una temperatura inicial de 65 °C hasta llegar a los 105 °C. </w:t>
      </w:r>
    </w:p>
    <w:p w14:paraId="3C18AC41" w14:textId="263CFA01"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MS total (%)</w:t>
      </w:r>
      <w:r>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w:t>
      </w:r>
      <w:r>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(%MS parcial*% MS analítica)</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w:t>
      </w:r>
      <w:r w:rsidR="00D51DFA">
        <w:rPr>
          <w:rFonts w:eastAsiaTheme="minorHAnsi" w:cstheme="minorBidi"/>
          <w:spacing w:val="1"/>
          <w:sz w:val="23"/>
          <w:szCs w:val="22"/>
          <w:lang w:val="es-ES" w:eastAsia="en-US"/>
          <w14:numForm w14:val="oldStyle"/>
        </w:rPr>
        <w:t xml:space="preserve"> </w:t>
      </w:r>
      <w:r w:rsidRPr="00151C44">
        <w:rPr>
          <w:rFonts w:eastAsiaTheme="minorHAnsi" w:cstheme="minorBidi"/>
          <w:spacing w:val="1"/>
          <w:sz w:val="23"/>
          <w:szCs w:val="22"/>
          <w:lang w:val="es-ES" w:eastAsia="en-US"/>
          <w14:numForm w14:val="oldStyle"/>
        </w:rPr>
        <w:t>(Rendimiento de MS (kg/m2))</w:t>
      </w:r>
    </w:p>
    <w:p w14:paraId="7B780808" w14:textId="249DDB0E"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 xml:space="preserve">Contenido de proteína (g/kg-1 MS): se utilizará el método Kjeldahl, para la preparación de muestras se molerán las muestras secas con un tamaño de partícula entre 0.7 y 1 </w:t>
      </w:r>
      <w:proofErr w:type="spellStart"/>
      <w:r w:rsidRPr="00151C44">
        <w:rPr>
          <w:rFonts w:eastAsiaTheme="minorHAnsi" w:cstheme="minorBidi"/>
          <w:spacing w:val="1"/>
          <w:sz w:val="23"/>
          <w:szCs w:val="22"/>
          <w:lang w:val="es-ES" w:eastAsia="en-US"/>
          <w14:numForm w14:val="oldStyle"/>
        </w:rPr>
        <w:t>mm.</w:t>
      </w:r>
      <w:proofErr w:type="spellEnd"/>
    </w:p>
    <w:p w14:paraId="106804B7" w14:textId="79FE1CA5"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 xml:space="preserve">Fibra Detergente Neutra (g/kg-1 MS): Con las muestras previamente molidas se realizará la determinación de la Fibra Detergente Neutra (FDN) mediante la técnica de </w:t>
      </w:r>
      <w:proofErr w:type="spellStart"/>
      <w:r w:rsidRPr="00151C44">
        <w:rPr>
          <w:rFonts w:eastAsiaTheme="minorHAnsi" w:cstheme="minorBidi"/>
          <w:spacing w:val="1"/>
          <w:sz w:val="23"/>
          <w:szCs w:val="22"/>
          <w:lang w:val="es-ES" w:eastAsia="en-US"/>
          <w14:numForm w14:val="oldStyle"/>
        </w:rPr>
        <w:t>microbolsa</w:t>
      </w:r>
      <w:proofErr w:type="spellEnd"/>
      <w:r w:rsidRPr="00151C44">
        <w:rPr>
          <w:rFonts w:eastAsiaTheme="minorHAnsi" w:cstheme="minorBidi"/>
          <w:spacing w:val="1"/>
          <w:sz w:val="23"/>
          <w:szCs w:val="22"/>
          <w:lang w:val="es-ES" w:eastAsia="en-US"/>
          <w14:numForm w14:val="oldStyle"/>
        </w:rPr>
        <w:t xml:space="preserve"> de ANKOM.</w:t>
      </w:r>
    </w:p>
    <w:p w14:paraId="16628B27" w14:textId="56E97E54" w:rsidR="00151C44" w:rsidRPr="00151C44"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 xml:space="preserve">Fibra Detergente Ácida (g/kg-1 MS): Se procederá igual que con la determinación de la FDN, técnica de </w:t>
      </w:r>
      <w:proofErr w:type="spellStart"/>
      <w:r w:rsidRPr="00151C44">
        <w:rPr>
          <w:rFonts w:eastAsiaTheme="minorHAnsi" w:cstheme="minorBidi"/>
          <w:spacing w:val="1"/>
          <w:sz w:val="23"/>
          <w:szCs w:val="22"/>
          <w:lang w:val="es-ES" w:eastAsia="en-US"/>
          <w14:numForm w14:val="oldStyle"/>
        </w:rPr>
        <w:t>microbolsa</w:t>
      </w:r>
      <w:proofErr w:type="spellEnd"/>
      <w:r w:rsidRPr="00151C44">
        <w:rPr>
          <w:rFonts w:eastAsiaTheme="minorHAnsi" w:cstheme="minorBidi"/>
          <w:spacing w:val="1"/>
          <w:sz w:val="23"/>
          <w:szCs w:val="22"/>
          <w:lang w:val="es-ES" w:eastAsia="en-US"/>
          <w14:numForm w14:val="oldStyle"/>
        </w:rPr>
        <w:t xml:space="preserve"> de ANKOM.</w:t>
      </w:r>
    </w:p>
    <w:p w14:paraId="57E95778" w14:textId="17045AD2" w:rsidR="00151C44" w:rsidRPr="001E734E" w:rsidRDefault="00151C44" w:rsidP="00151C44">
      <w:pPr>
        <w:pStyle w:val="NormalWeb"/>
        <w:jc w:val="both"/>
        <w:rPr>
          <w:rFonts w:eastAsiaTheme="minorHAnsi" w:cstheme="minorBidi"/>
          <w:spacing w:val="1"/>
          <w:sz w:val="23"/>
          <w:szCs w:val="22"/>
          <w:lang w:val="es-ES" w:eastAsia="en-US"/>
          <w14:numForm w14:val="oldStyle"/>
        </w:rPr>
      </w:pPr>
      <w:r w:rsidRPr="00151C44">
        <w:rPr>
          <w:rFonts w:eastAsiaTheme="minorHAnsi" w:cstheme="minorBidi"/>
          <w:spacing w:val="1"/>
          <w:sz w:val="23"/>
          <w:szCs w:val="22"/>
          <w:lang w:val="es-ES" w:eastAsia="en-US"/>
          <w14:numForm w14:val="oldStyle"/>
        </w:rPr>
        <w:t>Materia inorgánica (g/Kg-1 MS): se realizará con una cantidad de muestra molida, la cual será colocada en una mufla hasta ser llevada a cenizas.</w:t>
      </w:r>
    </w:p>
    <w:p w14:paraId="1760C026" w14:textId="4BF980A1" w:rsidR="004307D4" w:rsidRDefault="00CE0F4B" w:rsidP="00721EBE">
      <w:pPr>
        <w:pStyle w:val="Ttulo1"/>
      </w:pPr>
      <w:r>
        <w:rPr>
          <w:caps w:val="0"/>
        </w:rPr>
        <w:t>4</w:t>
      </w:r>
      <w:r w:rsidR="00721EBE" w:rsidRPr="00721EBE">
        <w:rPr>
          <w:caps w:val="0"/>
        </w:rPr>
        <w:t>.</w:t>
      </w:r>
      <w:r w:rsidR="00721EBE">
        <w:t xml:space="preserve"> </w:t>
      </w:r>
      <w:r w:rsidR="004307D4">
        <w:t>resultados</w:t>
      </w:r>
    </w:p>
    <w:p w14:paraId="3DC88771" w14:textId="48C1D403" w:rsidR="00D51DFA" w:rsidRPr="00D51DFA" w:rsidRDefault="00D51DFA" w:rsidP="00D51DFA">
      <w:r w:rsidRPr="00D51DFA">
        <w:t>Esta investigación constituye una propuesta para desarrollar un estudio que permita abordar la problemática presentada en el contexto de la ganadería bovina en la región Costa del Ecuador. A partir del análisis del planteamiento del problema y la revisión de antecedentes, se plantea evaluar el uso de sistemas hidropónicos flotantes bajo casa sombra como opción para mejorar la calidad y disponibilidad de forraje durante la época seca. Se espera que la investigación aporte evidencia científica que sustente estrategias de manejo sostenible y mejore la productividad ganadera, contribuyendo al desarrollo agropecuario regional. Este estu</w:t>
      </w:r>
      <w:r w:rsidRPr="00D51DFA">
        <w:lastRenderedPageBreak/>
        <w:t>dio contempla la aplicación de metodologías experimentales con la finalidad de generar resultados confiables que permitan comparar la eficiencia productiva y nutricional de los cultivos forrajeros en condiciones controladas</w:t>
      </w:r>
    </w:p>
    <w:p w14:paraId="740C7DA7" w14:textId="0C4FCA0A" w:rsidR="00CE0F4B" w:rsidRDefault="002A43CD" w:rsidP="002A43CD">
      <w:pPr>
        <w:pStyle w:val="Ttulo1"/>
      </w:pPr>
      <w:r w:rsidRPr="002A43CD">
        <w:t>5.</w:t>
      </w:r>
      <w:r>
        <w:t xml:space="preserve"> </w:t>
      </w:r>
      <w:r w:rsidR="00CE0F4B">
        <w:t>discusión</w:t>
      </w:r>
    </w:p>
    <w:p w14:paraId="0673E72F" w14:textId="15D3E1D7" w:rsidR="00D51DFA" w:rsidRDefault="00D51DFA" w:rsidP="00D51DFA">
      <w:r>
        <w:t xml:space="preserve">La ganadería bovina en Ecuador, especialmente en la región Costa, enfrenta retos significativos relacionados con la estacionalidad climática y la disminución de la calidad y disponibilidad del forraje durante la época seca, </w:t>
      </w:r>
      <w:r w:rsidR="00EC370B">
        <w:t>problemática que ha sido ampliamente evidenciada por</w:t>
      </w:r>
      <w:r>
        <w:t xml:space="preserve"> Rendón et al. (2020) y Torres y Castro (2019). La dependencia casi exclusiva del pastoreo de gramíneas tropicales como </w:t>
      </w:r>
      <w:proofErr w:type="spellStart"/>
      <w:r w:rsidRPr="00EC370B">
        <w:rPr>
          <w:i/>
        </w:rPr>
        <w:t>Panicum</w:t>
      </w:r>
      <w:proofErr w:type="spellEnd"/>
      <w:r w:rsidRPr="00EC370B">
        <w:rPr>
          <w:i/>
        </w:rPr>
        <w:t xml:space="preserve"> </w:t>
      </w:r>
      <w:proofErr w:type="spellStart"/>
      <w:r w:rsidRPr="00EC370B">
        <w:rPr>
          <w:i/>
        </w:rPr>
        <w:t>maximum</w:t>
      </w:r>
      <w:proofErr w:type="spellEnd"/>
      <w:r>
        <w:t xml:space="preserve"> y </w:t>
      </w:r>
      <w:proofErr w:type="spellStart"/>
      <w:r w:rsidRPr="00EC370B">
        <w:rPr>
          <w:i/>
        </w:rPr>
        <w:t>Megathyrsus</w:t>
      </w:r>
      <w:proofErr w:type="spellEnd"/>
      <w:r w:rsidRPr="00EC370B">
        <w:rPr>
          <w:i/>
        </w:rPr>
        <w:t xml:space="preserve"> </w:t>
      </w:r>
      <w:proofErr w:type="spellStart"/>
      <w:r w:rsidRPr="00EC370B">
        <w:rPr>
          <w:i/>
        </w:rPr>
        <w:t>maximus</w:t>
      </w:r>
      <w:proofErr w:type="spellEnd"/>
      <w:r>
        <w:t xml:space="preserve"> bajo sistemas extensivos convierte la calidad de los pastos en un factor determinante para la productividad del ganado (García et al., 2018; Herrera et al., 2021). Estas condiciones generan pérdidas en la producción de carne y leche, además de mayores costos asociados a la suplementación.</w:t>
      </w:r>
    </w:p>
    <w:p w14:paraId="5921CE02" w14:textId="77777777" w:rsidR="00D51DFA" w:rsidRDefault="00D51DFA" w:rsidP="00D51DFA">
      <w:r>
        <w:t>Ante este panorama, la búsqueda de alternativas como el cultivo hidropónico flotante bajo casa sombra se presenta como una estrategia innovadora que puede ofrecer soluciones a la problemática identificada. La agricultura protegida permite controlar variables como la nutrición mineral, humedad y sombreados, que influyen directamente en el crecimiento y calidad del forraje (Benítez et al., 2019; Castillo y Núñez, 2019). Esta tecnología ayudaría a mitigar los efectos negativos de la sequía y a mejorar la calidad nutricional del alimento para el ganado en la Costa ecuatoriana.</w:t>
      </w:r>
    </w:p>
    <w:p w14:paraId="073C20AF" w14:textId="77777777" w:rsidR="00D51DFA" w:rsidRDefault="00D51DFA" w:rsidP="00D51DFA">
      <w:r>
        <w:t>En cuanto a la metodología propuesta, la evaluación del efecto de la relación nitrato/amonio en la solución nutritiva es clave para optimizar la producción de biomasa y la calidad nutritiva. Estudios previos señalan que la forma del nitrógeno disponible impacta la asimilación y composición del forraje (Salas et al., 2010; Maldonado et al., 2013). Ajustar estos coeficientes en sistemas hidropónicos podría incrementar el con</w:t>
      </w:r>
      <w:r>
        <w:lastRenderedPageBreak/>
        <w:t>tenido proteico, elemento esencial para mejorar la digestibilidad y eficiencia alimenticia del ganado, tal como indican Cedeño et al. (2017) y FAO (2020).</w:t>
      </w:r>
    </w:p>
    <w:p w14:paraId="331BD30B" w14:textId="77777777" w:rsidR="00D51DFA" w:rsidRDefault="00D51DFA" w:rsidP="00D51DFA">
      <w:r>
        <w:t xml:space="preserve">El diseño factorial incluyendo densidad de plantación y tipo de pasto permite además evaluar factores agronómicos que inciden en el rendimiento productivo. Según </w:t>
      </w:r>
      <w:proofErr w:type="spellStart"/>
      <w:r>
        <w:t>Girma</w:t>
      </w:r>
      <w:proofErr w:type="spellEnd"/>
      <w:r>
        <w:t xml:space="preserve"> y </w:t>
      </w:r>
      <w:proofErr w:type="spellStart"/>
      <w:r>
        <w:t>Gebremariam</w:t>
      </w:r>
      <w:proofErr w:type="spellEnd"/>
      <w:r>
        <w:t xml:space="preserve"> (2018), la densidad de siembra en cultivos hidropónicos es determinante tanto para la biomasa total como para la calidad. Manejar adecuadamente estos parámetros desde un ambiente protegido puede superar las limitaciones de suelo y clima presentes en la ganadería tradicional costera.</w:t>
      </w:r>
    </w:p>
    <w:p w14:paraId="2A689557" w14:textId="4EEF6037" w:rsidR="00D51DFA" w:rsidRDefault="00D51DFA" w:rsidP="00D51DFA">
      <w:r>
        <w:t>Además, la propuesta de monitoreo del pH y contenido de nutrientes en las soluciones permite asegurar condiciones óptimas para el crecimiento, alineándose con recomendaciones técnicas Ramírez y Soto (2017). Esta precisión en el manejo es fundamental para garantizar la viabilidad y sostenibilidad económica del sistema, ya que influye directamente en el rendimiento y calidad del forraje, elementos que repercuten en la rentabilidad final.</w:t>
      </w:r>
    </w:p>
    <w:p w14:paraId="7624D44D" w14:textId="27A1E223" w:rsidR="00D51DFA" w:rsidRDefault="00D51DFA" w:rsidP="00D51DFA">
      <w:r>
        <w:t xml:space="preserve">El sistema hidropónico flotante bajo casa sombra representa una alternativa prometedora para la producción de forrajes tropicales de alto valor nutritivo en la Costa ecuatoriana, capaz de revertir el impacto negativo de la estacionalidad climática. Su implementación puede favorecer la estabilidad en la oferta forrajera, mejorar la eficacia productiva y reducir la vulnerabilidad de los productores frente a periodos de sequía, </w:t>
      </w:r>
      <w:r w:rsidR="00EC370B">
        <w:t>como los expresados por</w:t>
      </w:r>
      <w:r>
        <w:t xml:space="preserve"> Lucas López (2022) y Benítez et al. (2019).</w:t>
      </w:r>
    </w:p>
    <w:p w14:paraId="6C0694A8" w14:textId="36894A70" w:rsidR="00D51DFA" w:rsidRPr="00D51DFA" w:rsidRDefault="00D51DFA" w:rsidP="00D51DFA">
      <w:r>
        <w:t xml:space="preserve">Finalmente, esta investigación contribuirá a llenar el vacío de conocimiento existente sobre el comportamiento productivo y calidad nutricional de </w:t>
      </w:r>
      <w:proofErr w:type="spellStart"/>
      <w:r w:rsidRPr="006468F2">
        <w:rPr>
          <w:i/>
        </w:rPr>
        <w:t>Panicum</w:t>
      </w:r>
      <w:proofErr w:type="spellEnd"/>
      <w:r w:rsidRPr="006468F2">
        <w:rPr>
          <w:i/>
        </w:rPr>
        <w:t xml:space="preserve"> </w:t>
      </w:r>
      <w:proofErr w:type="spellStart"/>
      <w:r w:rsidRPr="006468F2">
        <w:rPr>
          <w:i/>
        </w:rPr>
        <w:t>maximum</w:t>
      </w:r>
      <w:proofErr w:type="spellEnd"/>
      <w:r>
        <w:t xml:space="preserve"> </w:t>
      </w:r>
      <w:proofErr w:type="spellStart"/>
      <w:r>
        <w:t>cv</w:t>
      </w:r>
      <w:proofErr w:type="spellEnd"/>
      <w:r>
        <w:t xml:space="preserve">. </w:t>
      </w:r>
      <w:proofErr w:type="spellStart"/>
      <w:r>
        <w:t>Mombasa</w:t>
      </w:r>
      <w:proofErr w:type="spellEnd"/>
      <w:r>
        <w:t xml:space="preserve"> y </w:t>
      </w:r>
      <w:proofErr w:type="spellStart"/>
      <w:r w:rsidRPr="006468F2">
        <w:rPr>
          <w:i/>
        </w:rPr>
        <w:t>Megathyrsus</w:t>
      </w:r>
      <w:proofErr w:type="spellEnd"/>
      <w:r w:rsidRPr="006468F2">
        <w:rPr>
          <w:i/>
        </w:rPr>
        <w:t xml:space="preserve"> </w:t>
      </w:r>
      <w:proofErr w:type="spellStart"/>
      <w:r w:rsidRPr="006468F2">
        <w:rPr>
          <w:i/>
        </w:rPr>
        <w:t>maximus</w:t>
      </w:r>
      <w:proofErr w:type="spellEnd"/>
      <w:r>
        <w:t xml:space="preserve"> cultivados en estas condiciones, proporcionando información relevante para técnicos, investigadores y ganaderos, y promoviendo la adopción de tecnologías sostenibles que incrementen la seguridad alimentaria y económica en el sector ganadero ecuatoriano.</w:t>
      </w:r>
    </w:p>
    <w:p w14:paraId="568F694A" w14:textId="64922523" w:rsidR="004307D4" w:rsidRDefault="00721EBE" w:rsidP="00721EBE">
      <w:pPr>
        <w:pStyle w:val="Ttulo1"/>
      </w:pPr>
      <w:r w:rsidRPr="00721EBE">
        <w:rPr>
          <w:caps w:val="0"/>
        </w:rPr>
        <w:lastRenderedPageBreak/>
        <w:t>6.</w:t>
      </w:r>
      <w:r>
        <w:t xml:space="preserve"> </w:t>
      </w:r>
      <w:r w:rsidR="004307D4">
        <w:t xml:space="preserve">conclusiones </w:t>
      </w:r>
    </w:p>
    <w:p w14:paraId="3EE80CDD" w14:textId="6DCEE4FA" w:rsidR="006468F2" w:rsidRDefault="006468F2" w:rsidP="006468F2">
      <w:r>
        <w:t>La propuesta de investigación busca desarrollar un estudio integral que permita mejorar la producción y calidad de pastos tropicales mediante el uso del sistema hidropónico flotante bajo casa sombra. Esta alternativa surge como respuesta a los problemas asociados con la estacionalidad climática en la ganadería de la región Costa, donde la disponibilidad y calidad del forraje disminuyen notablemente en época seca. Al generar un suministro constante y nutritivo de alimento, se espera contribuir a la estabilidad y aumento de la productividad ganadera, disminuyendo la dependencia de fuentes convencionales y los costos asociados a la suplementación externa.</w:t>
      </w:r>
    </w:p>
    <w:p w14:paraId="7674235D" w14:textId="2B8C57FB" w:rsidR="006468F2" w:rsidRDefault="006468F2" w:rsidP="006468F2">
      <w:r>
        <w:t>La metodología planteada, basada en un enfoque experimental no solo posibilita la obtención de datos cuantitativos sobre rendimiento y calidad, sino que también ofrece la oportunidad de identificar protocolos de manejo eficientes para su aplicación práctica en el sector agropecuario. Así, se prevé fortalecer la base científica que sustente la adopción y escalamiento de tecnologías hidropónicas en el contexto local.</w:t>
      </w:r>
    </w:p>
    <w:p w14:paraId="4217F480" w14:textId="428DA7C9" w:rsidR="009769E5" w:rsidRDefault="009769E5" w:rsidP="006468F2">
      <w:r w:rsidRPr="009769E5">
        <w:t>La implementación de sistemas innovadores como el cultivo hidropónico de forrajes tropicales permite superar la limitación principal de la ganadería en la región: la escasez de alimento durante la época seca. Al garantizar una producción continua y de alta calidad nutritiva, esta estrategia contribuye a una ganadería más productiva y sostenible. Además, al mejorar la eficiencia alimentaria, se puede reducir la intensidad de emisiones de gases de efecto invernadero por unidad de producto, fortaleciendo la seguridad económica de los productores y promoviendo prácticas ganaderas ambientalmente responsables.</w:t>
      </w:r>
    </w:p>
    <w:p w14:paraId="55A790BF" w14:textId="2A2AB7EB" w:rsidR="006468F2" w:rsidRPr="006468F2" w:rsidRDefault="006468F2" w:rsidP="006468F2">
      <w:r>
        <w:t xml:space="preserve">Finalmente, esta investigación tiene el potencial de generar un impacto positivo en la sostenibilidad y competitividad de la ganadería tropical, promoviendo un manejo más eficiente de recursos y adaptado a las condiciones ambientales variables. El estudio servirá como punto de partida para futuras investigaciones aplicadas, impulsando innovaciones tecnológicas que mejoren la seguridad alimentaria animal y, por ende, la economía de las comunidades rurales. En conjunto, se espera que la </w:t>
      </w:r>
      <w:r>
        <w:lastRenderedPageBreak/>
        <w:t>propuesta aporte soluciones prácticas y científicamente fundamentadas que contribuyan al desarrollo integral del sistema ganadero regional</w:t>
      </w:r>
      <w:r w:rsidR="009769E5">
        <w:t>.</w:t>
      </w:r>
    </w:p>
    <w:bookmarkEnd w:id="0"/>
    <w:p w14:paraId="703B2935" w14:textId="7AA3A806" w:rsidR="004307D4" w:rsidRDefault="002B5CF8" w:rsidP="00721EBE">
      <w:pPr>
        <w:pStyle w:val="Ttulo1"/>
      </w:pPr>
      <w:r>
        <w:rPr>
          <w:caps w:val="0"/>
        </w:rPr>
        <w:t>7</w:t>
      </w:r>
      <w:r w:rsidR="00721EBE" w:rsidRPr="008B6A98">
        <w:rPr>
          <w:caps w:val="0"/>
        </w:rPr>
        <w:t>.</w:t>
      </w:r>
      <w:r w:rsidR="00721EBE" w:rsidRPr="008B6A98">
        <w:t xml:space="preserve"> </w:t>
      </w:r>
      <w:r w:rsidR="002F3733" w:rsidRPr="008B6A98">
        <w:t>Referencias</w:t>
      </w:r>
      <w:r w:rsidR="005417EB">
        <w:t xml:space="preserve"> </w:t>
      </w:r>
    </w:p>
    <w:p w14:paraId="68A5704A" w14:textId="5651686E" w:rsidR="00144EAC" w:rsidRDefault="00144EAC" w:rsidP="00080C6C">
      <w:pPr>
        <w:pStyle w:val="NormalWeb"/>
        <w:spacing w:before="120" w:beforeAutospacing="0" w:after="120" w:afterAutospacing="0" w:line="240" w:lineRule="atLeast"/>
        <w:ind w:left="709" w:hanging="709"/>
        <w:jc w:val="both"/>
        <w:rPr>
          <w:sz w:val="20"/>
        </w:rPr>
      </w:pPr>
      <w:r w:rsidRPr="00144EAC">
        <w:rPr>
          <w:sz w:val="20"/>
        </w:rPr>
        <w:t xml:space="preserve">Benítez, R., Vargas, E., &amp; Suárez, M. (2019). </w:t>
      </w:r>
      <w:r w:rsidRPr="00144EAC">
        <w:rPr>
          <w:i/>
          <w:sz w:val="20"/>
        </w:rPr>
        <w:t>Desafíos en la intensificación sostenible de sistemas ganaderos en zonas tropicales</w:t>
      </w:r>
      <w:r w:rsidRPr="00144EAC">
        <w:rPr>
          <w:sz w:val="20"/>
        </w:rPr>
        <w:t>. Agroecología Tropical, 7(4), 56-69.</w:t>
      </w:r>
    </w:p>
    <w:p w14:paraId="7E41DA75" w14:textId="563920A0" w:rsidR="00151C44" w:rsidRDefault="00151C44" w:rsidP="00080C6C">
      <w:pPr>
        <w:pStyle w:val="NormalWeb"/>
        <w:spacing w:before="120" w:beforeAutospacing="0" w:after="120" w:afterAutospacing="0" w:line="240" w:lineRule="atLeast"/>
        <w:ind w:left="709" w:hanging="709"/>
        <w:jc w:val="both"/>
        <w:rPr>
          <w:sz w:val="20"/>
        </w:rPr>
      </w:pPr>
      <w:r w:rsidRPr="00151C44">
        <w:rPr>
          <w:sz w:val="20"/>
        </w:rPr>
        <w:t xml:space="preserve">Castillo, H., &amp; Núñez, F. (2019). </w:t>
      </w:r>
      <w:r w:rsidRPr="00080C6C">
        <w:rPr>
          <w:i/>
          <w:iCs/>
          <w:sz w:val="20"/>
        </w:rPr>
        <w:t>Forraje verde hidropónico: una alternativa de producción ante el cambio climático</w:t>
      </w:r>
      <w:r w:rsidRPr="00151C44">
        <w:rPr>
          <w:sz w:val="20"/>
        </w:rPr>
        <w:t>. Revista Iberoamericana de Bioeconomía y Cambio Climático, 5(9), 1103-1120.</w:t>
      </w:r>
    </w:p>
    <w:p w14:paraId="6953EBCF" w14:textId="70ADE187" w:rsidR="002B0C44" w:rsidRPr="00151C44" w:rsidRDefault="002B0C44" w:rsidP="00080C6C">
      <w:pPr>
        <w:pStyle w:val="NormalWeb"/>
        <w:spacing w:before="120" w:beforeAutospacing="0" w:after="120" w:afterAutospacing="0" w:line="240" w:lineRule="atLeast"/>
        <w:ind w:left="709" w:hanging="709"/>
        <w:jc w:val="both"/>
        <w:rPr>
          <w:sz w:val="20"/>
        </w:rPr>
      </w:pPr>
      <w:r w:rsidRPr="002B0C44">
        <w:rPr>
          <w:sz w:val="20"/>
        </w:rPr>
        <w:t xml:space="preserve">Cedeño, J., Pérez, L., &amp; Ramírez, M. (2017). </w:t>
      </w:r>
      <w:r w:rsidRPr="002B0C44">
        <w:rPr>
          <w:i/>
          <w:iCs/>
          <w:sz w:val="20"/>
        </w:rPr>
        <w:t>Evaluación de la calidad nutricional de pastos tropicales en sistemas ganaderos de la Costa ecuatoriana</w:t>
      </w:r>
      <w:r w:rsidRPr="002B0C44">
        <w:rPr>
          <w:sz w:val="20"/>
        </w:rPr>
        <w:t>. Revista X, 10(2), 45–58.</w:t>
      </w:r>
    </w:p>
    <w:p w14:paraId="647153C7" w14:textId="79CE26C7" w:rsidR="00151C44" w:rsidRDefault="00151C44" w:rsidP="00080C6C">
      <w:pPr>
        <w:pStyle w:val="NormalWeb"/>
        <w:spacing w:before="120" w:beforeAutospacing="0" w:after="120" w:afterAutospacing="0" w:line="240" w:lineRule="atLeast"/>
        <w:ind w:left="709" w:hanging="709"/>
        <w:jc w:val="both"/>
        <w:rPr>
          <w:sz w:val="20"/>
        </w:rPr>
      </w:pPr>
      <w:proofErr w:type="spellStart"/>
      <w:r w:rsidRPr="00151C44">
        <w:rPr>
          <w:sz w:val="20"/>
        </w:rPr>
        <w:t>Chavarria</w:t>
      </w:r>
      <w:proofErr w:type="spellEnd"/>
      <w:r w:rsidRPr="00151C44">
        <w:rPr>
          <w:sz w:val="20"/>
        </w:rPr>
        <w:t xml:space="preserve">, A., &amp; Castillo, S. (2018). </w:t>
      </w:r>
      <w:r w:rsidRPr="00080C6C">
        <w:rPr>
          <w:i/>
          <w:iCs/>
          <w:sz w:val="20"/>
        </w:rPr>
        <w:t>El forraje verde hidropónico (FVH), de maíz como alternativa alimenticia y nutricional para todos los animales de la granja</w:t>
      </w:r>
      <w:r w:rsidRPr="00151C44">
        <w:rPr>
          <w:sz w:val="20"/>
        </w:rPr>
        <w:t>. Revista Iberoamericana de Bioeconomía y Cambio Climático, 4(8), 1032-1039.</w:t>
      </w:r>
    </w:p>
    <w:p w14:paraId="74B2A9EF" w14:textId="6A462D45" w:rsidR="002B0C44" w:rsidRDefault="002B0C44" w:rsidP="00080C6C">
      <w:pPr>
        <w:pStyle w:val="NormalWeb"/>
        <w:spacing w:before="120" w:beforeAutospacing="0" w:after="120" w:afterAutospacing="0" w:line="240" w:lineRule="atLeast"/>
        <w:ind w:left="709" w:hanging="709"/>
        <w:jc w:val="both"/>
        <w:rPr>
          <w:sz w:val="20"/>
        </w:rPr>
      </w:pPr>
      <w:r w:rsidRPr="002B0C44">
        <w:rPr>
          <w:sz w:val="20"/>
        </w:rPr>
        <w:t xml:space="preserve">FAO. (2020). </w:t>
      </w:r>
      <w:r w:rsidRPr="002B0C44">
        <w:rPr>
          <w:i/>
          <w:sz w:val="20"/>
        </w:rPr>
        <w:t>Manejo de forrajes y alimentación del ganado en condiciones de cambio climático en América Latina</w:t>
      </w:r>
      <w:r w:rsidRPr="002B0C44">
        <w:rPr>
          <w:sz w:val="20"/>
        </w:rPr>
        <w:t>. FAO, Roma</w:t>
      </w:r>
    </w:p>
    <w:p w14:paraId="2143ABED" w14:textId="1447C78C" w:rsidR="00DF6579" w:rsidRPr="00151C44" w:rsidRDefault="00DF6579" w:rsidP="00080C6C">
      <w:pPr>
        <w:pStyle w:val="NormalWeb"/>
        <w:spacing w:before="120" w:beforeAutospacing="0" w:after="120" w:afterAutospacing="0" w:line="240" w:lineRule="atLeast"/>
        <w:ind w:left="709" w:hanging="709"/>
        <w:jc w:val="both"/>
        <w:rPr>
          <w:sz w:val="20"/>
        </w:rPr>
      </w:pPr>
      <w:r w:rsidRPr="00DF6579">
        <w:rPr>
          <w:sz w:val="20"/>
        </w:rPr>
        <w:t>García, F., Sánchez, V., &amp; López, A. (2018</w:t>
      </w:r>
      <w:r w:rsidRPr="00DF6579">
        <w:rPr>
          <w:i/>
          <w:sz w:val="20"/>
        </w:rPr>
        <w:t>). Impacto de la estacionalidad climática en la calidad nutricional de pastos tropicales</w:t>
      </w:r>
      <w:r w:rsidRPr="00DF6579">
        <w:rPr>
          <w:sz w:val="20"/>
        </w:rPr>
        <w:t>. Ciencia y Tecnología Agropecuaria, 8(2), 78-89.</w:t>
      </w:r>
    </w:p>
    <w:p w14:paraId="6AA7D2C1" w14:textId="20BF0ACC" w:rsidR="00151C44" w:rsidRDefault="00151C44" w:rsidP="00080C6C">
      <w:pPr>
        <w:pStyle w:val="NormalWeb"/>
        <w:spacing w:before="120" w:beforeAutospacing="0" w:after="120" w:afterAutospacing="0" w:line="240" w:lineRule="atLeast"/>
        <w:ind w:left="709" w:hanging="709"/>
        <w:jc w:val="both"/>
        <w:rPr>
          <w:sz w:val="20"/>
        </w:rPr>
      </w:pPr>
      <w:proofErr w:type="spellStart"/>
      <w:r w:rsidRPr="00151C44">
        <w:rPr>
          <w:sz w:val="20"/>
        </w:rPr>
        <w:t>Girma</w:t>
      </w:r>
      <w:proofErr w:type="spellEnd"/>
      <w:r w:rsidRPr="00151C44">
        <w:rPr>
          <w:sz w:val="20"/>
        </w:rPr>
        <w:t xml:space="preserve">, F., &amp; </w:t>
      </w:r>
      <w:proofErr w:type="spellStart"/>
      <w:r w:rsidRPr="00151C44">
        <w:rPr>
          <w:sz w:val="20"/>
        </w:rPr>
        <w:t>Gebremariam</w:t>
      </w:r>
      <w:proofErr w:type="spellEnd"/>
      <w:r w:rsidRPr="00151C44">
        <w:rPr>
          <w:sz w:val="20"/>
        </w:rPr>
        <w:t xml:space="preserve">, B. (2018). </w:t>
      </w:r>
      <w:proofErr w:type="spellStart"/>
      <w:r w:rsidRPr="00080C6C">
        <w:rPr>
          <w:i/>
          <w:iCs/>
          <w:sz w:val="20"/>
        </w:rPr>
        <w:t>Review</w:t>
      </w:r>
      <w:proofErr w:type="spellEnd"/>
      <w:r w:rsidRPr="00080C6C">
        <w:rPr>
          <w:i/>
          <w:iCs/>
          <w:sz w:val="20"/>
        </w:rPr>
        <w:t xml:space="preserve"> </w:t>
      </w:r>
      <w:proofErr w:type="spellStart"/>
      <w:r w:rsidRPr="00080C6C">
        <w:rPr>
          <w:i/>
          <w:iCs/>
          <w:sz w:val="20"/>
        </w:rPr>
        <w:t>on</w:t>
      </w:r>
      <w:proofErr w:type="spellEnd"/>
      <w:r w:rsidRPr="00080C6C">
        <w:rPr>
          <w:i/>
          <w:iCs/>
          <w:sz w:val="20"/>
        </w:rPr>
        <w:t xml:space="preserve"> </w:t>
      </w:r>
      <w:proofErr w:type="spellStart"/>
      <w:r w:rsidRPr="00080C6C">
        <w:rPr>
          <w:i/>
          <w:iCs/>
          <w:sz w:val="20"/>
        </w:rPr>
        <w:t>hydroponic</w:t>
      </w:r>
      <w:proofErr w:type="spellEnd"/>
      <w:r w:rsidRPr="00080C6C">
        <w:rPr>
          <w:i/>
          <w:iCs/>
          <w:sz w:val="20"/>
        </w:rPr>
        <w:t xml:space="preserve"> </w:t>
      </w:r>
      <w:proofErr w:type="spellStart"/>
      <w:r w:rsidRPr="00080C6C">
        <w:rPr>
          <w:i/>
          <w:iCs/>
          <w:sz w:val="20"/>
        </w:rPr>
        <w:t>feed</w:t>
      </w:r>
      <w:proofErr w:type="spellEnd"/>
      <w:r w:rsidRPr="00080C6C">
        <w:rPr>
          <w:i/>
          <w:iCs/>
          <w:sz w:val="20"/>
        </w:rPr>
        <w:t xml:space="preserve"> </w:t>
      </w:r>
      <w:proofErr w:type="spellStart"/>
      <w:r w:rsidRPr="00080C6C">
        <w:rPr>
          <w:i/>
          <w:iCs/>
          <w:sz w:val="20"/>
        </w:rPr>
        <w:t>value</w:t>
      </w:r>
      <w:proofErr w:type="spellEnd"/>
      <w:r w:rsidRPr="00080C6C">
        <w:rPr>
          <w:i/>
          <w:iCs/>
          <w:sz w:val="20"/>
        </w:rPr>
        <w:t xml:space="preserve"> </w:t>
      </w:r>
      <w:proofErr w:type="spellStart"/>
      <w:r w:rsidRPr="00080C6C">
        <w:rPr>
          <w:i/>
          <w:iCs/>
          <w:sz w:val="20"/>
        </w:rPr>
        <w:t>to</w:t>
      </w:r>
      <w:proofErr w:type="spellEnd"/>
      <w:r w:rsidRPr="00080C6C">
        <w:rPr>
          <w:i/>
          <w:iCs/>
          <w:sz w:val="20"/>
        </w:rPr>
        <w:t xml:space="preserve"> </w:t>
      </w:r>
      <w:proofErr w:type="spellStart"/>
      <w:r w:rsidRPr="00080C6C">
        <w:rPr>
          <w:i/>
          <w:iCs/>
          <w:sz w:val="20"/>
        </w:rPr>
        <w:t>livestock</w:t>
      </w:r>
      <w:proofErr w:type="spellEnd"/>
      <w:r w:rsidRPr="00080C6C">
        <w:rPr>
          <w:i/>
          <w:iCs/>
          <w:sz w:val="20"/>
        </w:rPr>
        <w:t xml:space="preserve"> </w:t>
      </w:r>
      <w:proofErr w:type="spellStart"/>
      <w:r w:rsidRPr="00080C6C">
        <w:rPr>
          <w:i/>
          <w:iCs/>
          <w:sz w:val="20"/>
        </w:rPr>
        <w:t>production</w:t>
      </w:r>
      <w:proofErr w:type="spellEnd"/>
      <w:r w:rsidRPr="00151C44">
        <w:rPr>
          <w:sz w:val="20"/>
        </w:rPr>
        <w:t xml:space="preserve">. </w:t>
      </w:r>
      <w:proofErr w:type="spellStart"/>
      <w:r w:rsidRPr="00151C44">
        <w:rPr>
          <w:sz w:val="20"/>
        </w:rPr>
        <w:t>Journal</w:t>
      </w:r>
      <w:proofErr w:type="spellEnd"/>
      <w:r w:rsidRPr="00151C44">
        <w:rPr>
          <w:sz w:val="20"/>
        </w:rPr>
        <w:t xml:space="preserve"> </w:t>
      </w:r>
      <w:proofErr w:type="spellStart"/>
      <w:r w:rsidRPr="00151C44">
        <w:rPr>
          <w:sz w:val="20"/>
        </w:rPr>
        <w:t>of</w:t>
      </w:r>
      <w:proofErr w:type="spellEnd"/>
      <w:r w:rsidRPr="00151C44">
        <w:rPr>
          <w:sz w:val="20"/>
        </w:rPr>
        <w:t xml:space="preserve"> </w:t>
      </w:r>
      <w:proofErr w:type="spellStart"/>
      <w:r w:rsidRPr="00151C44">
        <w:rPr>
          <w:sz w:val="20"/>
        </w:rPr>
        <w:t>Scientific</w:t>
      </w:r>
      <w:proofErr w:type="spellEnd"/>
      <w:r w:rsidRPr="00151C44">
        <w:rPr>
          <w:sz w:val="20"/>
        </w:rPr>
        <w:t xml:space="preserve"> and </w:t>
      </w:r>
      <w:proofErr w:type="spellStart"/>
      <w:r w:rsidRPr="00151C44">
        <w:rPr>
          <w:sz w:val="20"/>
        </w:rPr>
        <w:t>Innovative</w:t>
      </w:r>
      <w:proofErr w:type="spellEnd"/>
      <w:r w:rsidRPr="00151C44">
        <w:rPr>
          <w:sz w:val="20"/>
        </w:rPr>
        <w:t xml:space="preserve"> </w:t>
      </w:r>
      <w:proofErr w:type="spellStart"/>
      <w:r w:rsidRPr="00151C44">
        <w:rPr>
          <w:sz w:val="20"/>
        </w:rPr>
        <w:t>Research</w:t>
      </w:r>
      <w:proofErr w:type="spellEnd"/>
      <w:r w:rsidRPr="00151C44">
        <w:rPr>
          <w:sz w:val="20"/>
        </w:rPr>
        <w:t>, 7(4), 106-109.</w:t>
      </w:r>
    </w:p>
    <w:p w14:paraId="5C0DEBC8" w14:textId="0B38E46F" w:rsidR="00DF6579" w:rsidRDefault="00DF6579" w:rsidP="00080C6C">
      <w:pPr>
        <w:pStyle w:val="NormalWeb"/>
        <w:spacing w:before="120" w:beforeAutospacing="0" w:after="120" w:afterAutospacing="0" w:line="240" w:lineRule="atLeast"/>
        <w:ind w:left="709" w:hanging="709"/>
        <w:jc w:val="both"/>
        <w:rPr>
          <w:sz w:val="20"/>
        </w:rPr>
      </w:pPr>
      <w:r w:rsidRPr="00DF6579">
        <w:rPr>
          <w:sz w:val="20"/>
        </w:rPr>
        <w:t xml:space="preserve">Herrera, D., Morales, J., &amp; Pérez, C. (2021). </w:t>
      </w:r>
      <w:r w:rsidRPr="00DF6579">
        <w:rPr>
          <w:i/>
          <w:sz w:val="20"/>
        </w:rPr>
        <w:t>Efectos de la sequía en la productividad y calidad forrajera en la ganadería de la Costa ecuatoriana</w:t>
      </w:r>
      <w:r w:rsidRPr="00DF6579">
        <w:rPr>
          <w:sz w:val="20"/>
        </w:rPr>
        <w:t>. Revista Científica Agroecológica, 11(1), 34-47.</w:t>
      </w:r>
    </w:p>
    <w:p w14:paraId="3065B998" w14:textId="7EA3BAE7" w:rsidR="00DF6579" w:rsidRPr="00151C44" w:rsidRDefault="00DF6579" w:rsidP="00080C6C">
      <w:pPr>
        <w:pStyle w:val="NormalWeb"/>
        <w:spacing w:before="120" w:beforeAutospacing="0" w:after="120" w:afterAutospacing="0" w:line="240" w:lineRule="atLeast"/>
        <w:ind w:left="709" w:hanging="709"/>
        <w:jc w:val="both"/>
        <w:rPr>
          <w:sz w:val="20"/>
        </w:rPr>
      </w:pPr>
      <w:r w:rsidRPr="00DF6579">
        <w:rPr>
          <w:sz w:val="20"/>
        </w:rPr>
        <w:t xml:space="preserve">Lucas López, J. E. (2022). </w:t>
      </w:r>
      <w:r w:rsidRPr="00DF6579">
        <w:rPr>
          <w:i/>
          <w:sz w:val="20"/>
        </w:rPr>
        <w:t xml:space="preserve">Estrategias productivas con </w:t>
      </w:r>
      <w:proofErr w:type="spellStart"/>
      <w:r w:rsidRPr="00DF6579">
        <w:rPr>
          <w:i/>
          <w:sz w:val="20"/>
        </w:rPr>
        <w:t>Panicum</w:t>
      </w:r>
      <w:proofErr w:type="spellEnd"/>
      <w:r w:rsidRPr="00DF6579">
        <w:rPr>
          <w:i/>
          <w:sz w:val="20"/>
        </w:rPr>
        <w:t xml:space="preserve"> </w:t>
      </w:r>
      <w:proofErr w:type="spellStart"/>
      <w:r w:rsidRPr="00DF6579">
        <w:rPr>
          <w:i/>
          <w:sz w:val="20"/>
        </w:rPr>
        <w:t>maximum</w:t>
      </w:r>
      <w:proofErr w:type="spellEnd"/>
      <w:r w:rsidRPr="00DF6579">
        <w:rPr>
          <w:i/>
          <w:sz w:val="20"/>
        </w:rPr>
        <w:t xml:space="preserve"> en ganadería ecuatoriana</w:t>
      </w:r>
      <w:r w:rsidRPr="00DF6579">
        <w:rPr>
          <w:sz w:val="20"/>
        </w:rPr>
        <w:t xml:space="preserve"> [Tesis de maestría, Universidad Agraria del Ecuador].</w:t>
      </w:r>
    </w:p>
    <w:p w14:paraId="03775B1F" w14:textId="77777777" w:rsidR="00151C44" w:rsidRPr="00151C44" w:rsidRDefault="00151C44" w:rsidP="00080C6C">
      <w:pPr>
        <w:pStyle w:val="NormalWeb"/>
        <w:spacing w:before="120" w:beforeAutospacing="0" w:after="120" w:afterAutospacing="0" w:line="240" w:lineRule="atLeast"/>
        <w:ind w:left="709" w:hanging="709"/>
        <w:jc w:val="both"/>
        <w:rPr>
          <w:sz w:val="20"/>
        </w:rPr>
      </w:pPr>
      <w:r w:rsidRPr="00151C44">
        <w:rPr>
          <w:sz w:val="20"/>
        </w:rPr>
        <w:t xml:space="preserve">Maldonado, R., </w:t>
      </w:r>
      <w:proofErr w:type="spellStart"/>
      <w:r w:rsidRPr="00151C44">
        <w:rPr>
          <w:sz w:val="20"/>
        </w:rPr>
        <w:t>Alvarez</w:t>
      </w:r>
      <w:proofErr w:type="spellEnd"/>
      <w:r w:rsidRPr="00151C44">
        <w:rPr>
          <w:sz w:val="20"/>
        </w:rPr>
        <w:t xml:space="preserve">, M., &amp; Acevedo, D. (2013). Maldonado Torres, R., Álvarez Sánchez, M., Acevedo, D. C., &amp; Ríos Sánchez, E. (2013). </w:t>
      </w:r>
      <w:r w:rsidRPr="00080C6C">
        <w:rPr>
          <w:i/>
          <w:iCs/>
          <w:sz w:val="20"/>
        </w:rPr>
        <w:t>Nutrición mineral de forraje verde hidropónico</w:t>
      </w:r>
      <w:r w:rsidRPr="00151C44">
        <w:rPr>
          <w:sz w:val="20"/>
        </w:rPr>
        <w:t>. Revista Chapingo. Serie horticultura, 19(2), 211-223. Revista Chapingo, 211-223.</w:t>
      </w:r>
    </w:p>
    <w:p w14:paraId="3D66269C" w14:textId="77777777" w:rsidR="00151C44" w:rsidRPr="00151C44" w:rsidRDefault="00151C44" w:rsidP="00080C6C">
      <w:pPr>
        <w:pStyle w:val="NormalWeb"/>
        <w:spacing w:before="120" w:beforeAutospacing="0" w:after="120" w:afterAutospacing="0" w:line="240" w:lineRule="atLeast"/>
        <w:ind w:left="709" w:hanging="709"/>
        <w:jc w:val="both"/>
        <w:rPr>
          <w:sz w:val="20"/>
        </w:rPr>
      </w:pPr>
      <w:r w:rsidRPr="00151C44">
        <w:rPr>
          <w:sz w:val="20"/>
        </w:rPr>
        <w:t xml:space="preserve">Mejía, D., &amp; Reyes, A. (2020). </w:t>
      </w:r>
      <w:r w:rsidRPr="00080C6C">
        <w:rPr>
          <w:i/>
          <w:iCs/>
          <w:sz w:val="20"/>
        </w:rPr>
        <w:t>Exploración para la producción de forraje verde hidropónico de maíz y sorgo para la alimentación de ganado lechero: Revisión de Literatura.</w:t>
      </w:r>
      <w:r w:rsidRPr="00151C44">
        <w:rPr>
          <w:sz w:val="20"/>
        </w:rPr>
        <w:t xml:space="preserve"> Escuela Agrícola Panamericana.</w:t>
      </w:r>
    </w:p>
    <w:p w14:paraId="530485CB" w14:textId="286C48F5" w:rsidR="00151C44" w:rsidRDefault="00151C44" w:rsidP="00080C6C">
      <w:pPr>
        <w:pStyle w:val="NormalWeb"/>
        <w:spacing w:before="120" w:beforeAutospacing="0" w:after="120" w:afterAutospacing="0" w:line="240" w:lineRule="atLeast"/>
        <w:ind w:left="709" w:hanging="709"/>
        <w:jc w:val="both"/>
        <w:rPr>
          <w:sz w:val="20"/>
        </w:rPr>
      </w:pPr>
      <w:r w:rsidRPr="00151C44">
        <w:rPr>
          <w:sz w:val="20"/>
        </w:rPr>
        <w:lastRenderedPageBreak/>
        <w:t>Ram</w:t>
      </w:r>
      <w:r w:rsidR="00080C6C">
        <w:rPr>
          <w:sz w:val="20"/>
        </w:rPr>
        <w:t>ír</w:t>
      </w:r>
      <w:r w:rsidRPr="00151C44">
        <w:rPr>
          <w:sz w:val="20"/>
        </w:rPr>
        <w:t xml:space="preserve">ez, C., &amp; Soto, F. (2017). </w:t>
      </w:r>
      <w:r w:rsidRPr="00080C6C">
        <w:rPr>
          <w:i/>
          <w:iCs/>
          <w:sz w:val="20"/>
        </w:rPr>
        <w:t>Efecto de la nutrición mineral sobre la producción de forraje verde hidropónico de maíz.</w:t>
      </w:r>
      <w:r w:rsidRPr="00151C44">
        <w:rPr>
          <w:sz w:val="20"/>
        </w:rPr>
        <w:t xml:space="preserve"> Agronomía Costarricense, 41(2). doi:10.15517/</w:t>
      </w:r>
      <w:proofErr w:type="gramStart"/>
      <w:r w:rsidRPr="00151C44">
        <w:rPr>
          <w:sz w:val="20"/>
        </w:rPr>
        <w:t>rac.v</w:t>
      </w:r>
      <w:proofErr w:type="gramEnd"/>
      <w:r w:rsidRPr="00151C44">
        <w:rPr>
          <w:sz w:val="20"/>
        </w:rPr>
        <w:t>41i2.31301</w:t>
      </w:r>
    </w:p>
    <w:p w14:paraId="5D37A283" w14:textId="2E427341" w:rsidR="00A01CA9" w:rsidRPr="00151C44" w:rsidRDefault="00A01CA9" w:rsidP="00080C6C">
      <w:pPr>
        <w:pStyle w:val="NormalWeb"/>
        <w:spacing w:before="120" w:beforeAutospacing="0" w:after="120" w:afterAutospacing="0" w:line="240" w:lineRule="atLeast"/>
        <w:ind w:left="709" w:hanging="709"/>
        <w:jc w:val="both"/>
        <w:rPr>
          <w:sz w:val="20"/>
        </w:rPr>
      </w:pPr>
      <w:r w:rsidRPr="00A01CA9">
        <w:rPr>
          <w:sz w:val="20"/>
        </w:rPr>
        <w:t xml:space="preserve">Rendón, J., Martínez, L., &amp; Gómez, R. (2020). </w:t>
      </w:r>
      <w:r w:rsidRPr="00A01CA9">
        <w:rPr>
          <w:i/>
          <w:sz w:val="20"/>
        </w:rPr>
        <w:t>Producción y calidad de pastos tropicales en sistemas ganaderos costeros</w:t>
      </w:r>
      <w:r w:rsidRPr="00A01CA9">
        <w:rPr>
          <w:sz w:val="20"/>
        </w:rPr>
        <w:t>. Revista de Agricultura Tropical, 15(3), 112-125.</w:t>
      </w:r>
    </w:p>
    <w:p w14:paraId="26BCBFD2" w14:textId="77777777" w:rsidR="00151C44" w:rsidRPr="00151C44" w:rsidRDefault="00151C44" w:rsidP="00080C6C">
      <w:pPr>
        <w:pStyle w:val="NormalWeb"/>
        <w:spacing w:before="120" w:beforeAutospacing="0" w:after="120" w:afterAutospacing="0" w:line="240" w:lineRule="atLeast"/>
        <w:ind w:left="709" w:hanging="709"/>
        <w:jc w:val="both"/>
        <w:rPr>
          <w:sz w:val="20"/>
        </w:rPr>
      </w:pPr>
      <w:r w:rsidRPr="00151C44">
        <w:rPr>
          <w:sz w:val="20"/>
        </w:rPr>
        <w:t xml:space="preserve">Rodríguez-Sánchez, A. C. 2003. </w:t>
      </w:r>
      <w:r w:rsidRPr="00080C6C">
        <w:rPr>
          <w:i/>
          <w:iCs/>
          <w:sz w:val="20"/>
        </w:rPr>
        <w:t>Como producir con facilidad, rapidez y óptimos resultados forraje verde hidropónico</w:t>
      </w:r>
      <w:r w:rsidRPr="00151C44">
        <w:rPr>
          <w:sz w:val="20"/>
        </w:rPr>
        <w:t>. Ed. Diana. México, D. F.</w:t>
      </w:r>
    </w:p>
    <w:p w14:paraId="4F172C7E" w14:textId="77777777" w:rsidR="00151C44" w:rsidRPr="00151C44" w:rsidRDefault="00151C44" w:rsidP="00080C6C">
      <w:pPr>
        <w:pStyle w:val="NormalWeb"/>
        <w:spacing w:before="120" w:beforeAutospacing="0" w:after="120" w:afterAutospacing="0" w:line="240" w:lineRule="atLeast"/>
        <w:ind w:left="709" w:hanging="709"/>
        <w:jc w:val="both"/>
        <w:rPr>
          <w:sz w:val="20"/>
        </w:rPr>
      </w:pPr>
      <w:r w:rsidRPr="00151C44">
        <w:rPr>
          <w:sz w:val="20"/>
        </w:rPr>
        <w:t xml:space="preserve">Salas-Pérez, Lilia, Preciado-Rangel, Pablo, Esparza-Rivera, Juan Ramón, Álvarez-Reyna, Vicente de Paul, Palomo-Gil, Arturo, Rodríguez-Dimas, Norma, &amp; Márquez-Hernández, Cándido. (2010). </w:t>
      </w:r>
      <w:r w:rsidRPr="00080C6C">
        <w:rPr>
          <w:i/>
          <w:iCs/>
          <w:sz w:val="20"/>
        </w:rPr>
        <w:t>Rendimiento y calidad de forraje hidropónico producido bajo fertilización orgánica</w:t>
      </w:r>
      <w:r w:rsidRPr="00151C44">
        <w:rPr>
          <w:sz w:val="20"/>
        </w:rPr>
        <w:t>. Terra Latinoamericana, 28(4), 355-360. Recuperado en 02 de junio de 2026, de http://www.scielo.org.mx/scielo.php?script=sci_arttext&amp;pid=S0187-57792010000400007&amp;lng=es&amp;tlng=es.</w:t>
      </w:r>
    </w:p>
    <w:p w14:paraId="34880ECB" w14:textId="464C5649" w:rsidR="00151C44" w:rsidRDefault="00151C44" w:rsidP="00080C6C">
      <w:pPr>
        <w:pStyle w:val="NormalWeb"/>
        <w:spacing w:before="120" w:beforeAutospacing="0" w:after="120" w:afterAutospacing="0" w:line="240" w:lineRule="atLeast"/>
        <w:ind w:left="709" w:hanging="709"/>
        <w:jc w:val="both"/>
        <w:rPr>
          <w:sz w:val="20"/>
        </w:rPr>
      </w:pPr>
      <w:r w:rsidRPr="00151C44">
        <w:rPr>
          <w:sz w:val="20"/>
        </w:rPr>
        <w:t xml:space="preserve">Soto, F., &amp; Ramírez, C. (2018). </w:t>
      </w:r>
      <w:r w:rsidRPr="00080C6C">
        <w:rPr>
          <w:i/>
          <w:iCs/>
          <w:sz w:val="20"/>
        </w:rPr>
        <w:t>Efecto de la nutrición mineral en el rendimiento y las características bromatológicas del forraje verde hidropónico de maíz</w:t>
      </w:r>
      <w:r w:rsidRPr="00151C44">
        <w:rPr>
          <w:sz w:val="20"/>
        </w:rPr>
        <w:t>. Pastos y Forrajes, 41(2), 106-113.</w:t>
      </w:r>
    </w:p>
    <w:p w14:paraId="799707E8" w14:textId="4EE3437F" w:rsidR="00A01CA9" w:rsidRPr="00151C44" w:rsidRDefault="00A01CA9" w:rsidP="00080C6C">
      <w:pPr>
        <w:pStyle w:val="NormalWeb"/>
        <w:spacing w:before="120" w:beforeAutospacing="0" w:after="120" w:afterAutospacing="0" w:line="240" w:lineRule="atLeast"/>
        <w:ind w:left="709" w:hanging="709"/>
        <w:jc w:val="both"/>
        <w:rPr>
          <w:sz w:val="20"/>
        </w:rPr>
      </w:pPr>
      <w:r w:rsidRPr="00A01CA9">
        <w:rPr>
          <w:sz w:val="20"/>
        </w:rPr>
        <w:t xml:space="preserve">Torres, M., &amp; Castro, P. (2019). </w:t>
      </w:r>
      <w:r w:rsidRPr="00A01CA9">
        <w:rPr>
          <w:i/>
          <w:sz w:val="20"/>
        </w:rPr>
        <w:t>Manejo sostenible de pastos en la región Costa del Ecuador</w:t>
      </w:r>
      <w:r w:rsidRPr="00A01CA9">
        <w:rPr>
          <w:sz w:val="20"/>
        </w:rPr>
        <w:t>. Revista Ecuatoriana de Agropecuaria, 22(1), 45-59.</w:t>
      </w:r>
    </w:p>
    <w:p w14:paraId="7371EFF4" w14:textId="08B86160" w:rsidR="00151C44" w:rsidRPr="00151C44" w:rsidRDefault="00151C44" w:rsidP="00080C6C">
      <w:pPr>
        <w:pStyle w:val="NormalWeb"/>
        <w:spacing w:before="120" w:beforeAutospacing="0" w:after="120" w:afterAutospacing="0" w:line="240" w:lineRule="atLeast"/>
        <w:ind w:left="709" w:hanging="709"/>
        <w:jc w:val="both"/>
        <w:rPr>
          <w:sz w:val="20"/>
        </w:rPr>
      </w:pPr>
      <w:proofErr w:type="spellStart"/>
      <w:r w:rsidRPr="00151C44">
        <w:rPr>
          <w:sz w:val="20"/>
        </w:rPr>
        <w:t>Trevizan</w:t>
      </w:r>
      <w:proofErr w:type="spellEnd"/>
      <w:r w:rsidRPr="00151C44">
        <w:rPr>
          <w:sz w:val="20"/>
        </w:rPr>
        <w:t xml:space="preserve">, J., &amp; </w:t>
      </w:r>
      <w:proofErr w:type="spellStart"/>
      <w:r w:rsidRPr="00151C44">
        <w:rPr>
          <w:sz w:val="20"/>
        </w:rPr>
        <w:t>Challapa</w:t>
      </w:r>
      <w:proofErr w:type="spellEnd"/>
      <w:r w:rsidRPr="00151C44">
        <w:rPr>
          <w:sz w:val="20"/>
        </w:rPr>
        <w:t xml:space="preserve">, G. (2020). </w:t>
      </w:r>
      <w:r w:rsidRPr="00080C6C">
        <w:rPr>
          <w:i/>
          <w:iCs/>
          <w:sz w:val="20"/>
        </w:rPr>
        <w:t xml:space="preserve">Comparación del rendimiento de forraje verde hidropónico con maíz </w:t>
      </w:r>
      <w:proofErr w:type="spellStart"/>
      <w:r w:rsidRPr="00080C6C">
        <w:rPr>
          <w:i/>
          <w:iCs/>
          <w:sz w:val="20"/>
        </w:rPr>
        <w:t>lluteño</w:t>
      </w:r>
      <w:proofErr w:type="spellEnd"/>
      <w:r w:rsidRPr="00080C6C">
        <w:rPr>
          <w:i/>
          <w:iCs/>
          <w:sz w:val="20"/>
        </w:rPr>
        <w:t xml:space="preserve"> y maíz comercial, utilizando cuatro calidades de agua.</w:t>
      </w:r>
      <w:r w:rsidRPr="00151C44">
        <w:rPr>
          <w:sz w:val="20"/>
        </w:rPr>
        <w:t xml:space="preserve"> </w:t>
      </w:r>
      <w:proofErr w:type="spellStart"/>
      <w:r w:rsidRPr="00151C44">
        <w:rPr>
          <w:sz w:val="20"/>
        </w:rPr>
        <w:t>Idesia</w:t>
      </w:r>
      <w:proofErr w:type="spellEnd"/>
      <w:r w:rsidRPr="00151C44">
        <w:rPr>
          <w:sz w:val="20"/>
        </w:rPr>
        <w:t xml:space="preserve"> (Arica), 38(3), 113-122.</w:t>
      </w:r>
    </w:p>
    <w:p w14:paraId="728FC47A" w14:textId="35BF3C89" w:rsidR="000F753C" w:rsidRPr="000F753C" w:rsidRDefault="000F753C" w:rsidP="000F753C">
      <w:pPr>
        <w:pStyle w:val="NormalWeb"/>
        <w:spacing w:before="120" w:beforeAutospacing="0" w:after="120" w:afterAutospacing="0" w:line="240" w:lineRule="atLeast"/>
        <w:ind w:left="709" w:hanging="709"/>
        <w:rPr>
          <w:sz w:val="20"/>
        </w:rPr>
      </w:pPr>
      <w:r w:rsidRPr="000F753C">
        <w:rPr>
          <w:sz w:val="20"/>
        </w:rPr>
        <w:t xml:space="preserve"> </w:t>
      </w:r>
    </w:p>
    <w:sectPr w:rsidR="000F753C" w:rsidRPr="000F753C"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5CDE1" w14:textId="77777777" w:rsidR="00AD230B" w:rsidRDefault="00AD230B" w:rsidP="00EB0247">
      <w:pPr>
        <w:spacing w:after="0" w:line="240" w:lineRule="auto"/>
      </w:pPr>
      <w:r>
        <w:separator/>
      </w:r>
    </w:p>
  </w:endnote>
  <w:endnote w:type="continuationSeparator" w:id="0">
    <w:p w14:paraId="0BF16A7E" w14:textId="77777777" w:rsidR="00AD230B" w:rsidRDefault="00AD230B"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B248B" w14:textId="77777777" w:rsidR="00AD230B" w:rsidRDefault="00AD230B" w:rsidP="00EB0247">
      <w:pPr>
        <w:spacing w:after="0" w:line="240" w:lineRule="auto"/>
      </w:pPr>
      <w:r>
        <w:separator/>
      </w:r>
    </w:p>
  </w:footnote>
  <w:footnote w:type="continuationSeparator" w:id="0">
    <w:p w14:paraId="079C9DBC" w14:textId="77777777" w:rsidR="00AD230B" w:rsidRDefault="00AD230B"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235A0"/>
    <w:rsid w:val="00033E3E"/>
    <w:rsid w:val="000551D7"/>
    <w:rsid w:val="00063421"/>
    <w:rsid w:val="00080C6C"/>
    <w:rsid w:val="00097EEF"/>
    <w:rsid w:val="000C5EDB"/>
    <w:rsid w:val="000F753C"/>
    <w:rsid w:val="00103193"/>
    <w:rsid w:val="001348A0"/>
    <w:rsid w:val="00140844"/>
    <w:rsid w:val="00144EAC"/>
    <w:rsid w:val="001468AC"/>
    <w:rsid w:val="0015066B"/>
    <w:rsid w:val="00151C44"/>
    <w:rsid w:val="00156F2B"/>
    <w:rsid w:val="00182667"/>
    <w:rsid w:val="00185A00"/>
    <w:rsid w:val="0018654D"/>
    <w:rsid w:val="001950D8"/>
    <w:rsid w:val="00197D57"/>
    <w:rsid w:val="001A7AD8"/>
    <w:rsid w:val="001E734E"/>
    <w:rsid w:val="001E767E"/>
    <w:rsid w:val="001F2A2C"/>
    <w:rsid w:val="001F4F45"/>
    <w:rsid w:val="00233FC1"/>
    <w:rsid w:val="00242EFB"/>
    <w:rsid w:val="002433EC"/>
    <w:rsid w:val="00254F0F"/>
    <w:rsid w:val="00280126"/>
    <w:rsid w:val="00281564"/>
    <w:rsid w:val="00285B53"/>
    <w:rsid w:val="002A43CD"/>
    <w:rsid w:val="002B0C44"/>
    <w:rsid w:val="002B5CF8"/>
    <w:rsid w:val="002C5703"/>
    <w:rsid w:val="002D23FB"/>
    <w:rsid w:val="002D268C"/>
    <w:rsid w:val="002F3733"/>
    <w:rsid w:val="003512A0"/>
    <w:rsid w:val="00375999"/>
    <w:rsid w:val="0039591A"/>
    <w:rsid w:val="003B5EA4"/>
    <w:rsid w:val="003C4D9F"/>
    <w:rsid w:val="003E66FB"/>
    <w:rsid w:val="00422CDA"/>
    <w:rsid w:val="004307D4"/>
    <w:rsid w:val="00437ED3"/>
    <w:rsid w:val="0044345A"/>
    <w:rsid w:val="00477173"/>
    <w:rsid w:val="004819D7"/>
    <w:rsid w:val="004842F0"/>
    <w:rsid w:val="00484413"/>
    <w:rsid w:val="004933B5"/>
    <w:rsid w:val="00493A17"/>
    <w:rsid w:val="004940A7"/>
    <w:rsid w:val="004C0202"/>
    <w:rsid w:val="004D0180"/>
    <w:rsid w:val="005263F6"/>
    <w:rsid w:val="005335DF"/>
    <w:rsid w:val="005417EB"/>
    <w:rsid w:val="005430EA"/>
    <w:rsid w:val="00584BB4"/>
    <w:rsid w:val="005A43E3"/>
    <w:rsid w:val="005A4AFE"/>
    <w:rsid w:val="005A6174"/>
    <w:rsid w:val="005B47AD"/>
    <w:rsid w:val="005C4AF5"/>
    <w:rsid w:val="005F466B"/>
    <w:rsid w:val="005F589A"/>
    <w:rsid w:val="00607EE3"/>
    <w:rsid w:val="006131F7"/>
    <w:rsid w:val="006468F2"/>
    <w:rsid w:val="00661FD5"/>
    <w:rsid w:val="00675757"/>
    <w:rsid w:val="00680332"/>
    <w:rsid w:val="00681364"/>
    <w:rsid w:val="0068745E"/>
    <w:rsid w:val="006A11B3"/>
    <w:rsid w:val="006B7745"/>
    <w:rsid w:val="006C11FB"/>
    <w:rsid w:val="00706A03"/>
    <w:rsid w:val="00714CBD"/>
    <w:rsid w:val="00721EBE"/>
    <w:rsid w:val="00742AC5"/>
    <w:rsid w:val="007432AF"/>
    <w:rsid w:val="007701F1"/>
    <w:rsid w:val="00792960"/>
    <w:rsid w:val="00795350"/>
    <w:rsid w:val="007A0F17"/>
    <w:rsid w:val="007E4E94"/>
    <w:rsid w:val="007F0944"/>
    <w:rsid w:val="0081685F"/>
    <w:rsid w:val="008238DE"/>
    <w:rsid w:val="00863A4D"/>
    <w:rsid w:val="008A4085"/>
    <w:rsid w:val="008A483F"/>
    <w:rsid w:val="008B6A98"/>
    <w:rsid w:val="008C0E24"/>
    <w:rsid w:val="008C1056"/>
    <w:rsid w:val="008C2B2C"/>
    <w:rsid w:val="008D7DBD"/>
    <w:rsid w:val="008E4F4B"/>
    <w:rsid w:val="008F1330"/>
    <w:rsid w:val="008F3F8E"/>
    <w:rsid w:val="0091337D"/>
    <w:rsid w:val="009171C1"/>
    <w:rsid w:val="00920563"/>
    <w:rsid w:val="00925813"/>
    <w:rsid w:val="0093222B"/>
    <w:rsid w:val="0093429F"/>
    <w:rsid w:val="009477E3"/>
    <w:rsid w:val="00962592"/>
    <w:rsid w:val="009769E5"/>
    <w:rsid w:val="009847F6"/>
    <w:rsid w:val="009A336B"/>
    <w:rsid w:val="009B23F5"/>
    <w:rsid w:val="009C0DFA"/>
    <w:rsid w:val="009C304F"/>
    <w:rsid w:val="009C657C"/>
    <w:rsid w:val="009D0814"/>
    <w:rsid w:val="009D2DC8"/>
    <w:rsid w:val="009D2E06"/>
    <w:rsid w:val="009D4514"/>
    <w:rsid w:val="009E664A"/>
    <w:rsid w:val="009F5F74"/>
    <w:rsid w:val="00A01CA9"/>
    <w:rsid w:val="00A206F1"/>
    <w:rsid w:val="00A2369F"/>
    <w:rsid w:val="00A34A3F"/>
    <w:rsid w:val="00A524B3"/>
    <w:rsid w:val="00A8553F"/>
    <w:rsid w:val="00AC372D"/>
    <w:rsid w:val="00AD230B"/>
    <w:rsid w:val="00AD4DE4"/>
    <w:rsid w:val="00B0717D"/>
    <w:rsid w:val="00B50C02"/>
    <w:rsid w:val="00B57A4E"/>
    <w:rsid w:val="00B60DF4"/>
    <w:rsid w:val="00BA4EA8"/>
    <w:rsid w:val="00BA4FD5"/>
    <w:rsid w:val="00BB38AC"/>
    <w:rsid w:val="00BC22FD"/>
    <w:rsid w:val="00BD7178"/>
    <w:rsid w:val="00BE3D2B"/>
    <w:rsid w:val="00BE5F2C"/>
    <w:rsid w:val="00BF45D1"/>
    <w:rsid w:val="00BF50C0"/>
    <w:rsid w:val="00C21575"/>
    <w:rsid w:val="00C21F8C"/>
    <w:rsid w:val="00C302E3"/>
    <w:rsid w:val="00C30BA1"/>
    <w:rsid w:val="00C405DD"/>
    <w:rsid w:val="00C45F7D"/>
    <w:rsid w:val="00C716BA"/>
    <w:rsid w:val="00C857D4"/>
    <w:rsid w:val="00C930F7"/>
    <w:rsid w:val="00CA0400"/>
    <w:rsid w:val="00CC05BB"/>
    <w:rsid w:val="00CC152D"/>
    <w:rsid w:val="00CD0091"/>
    <w:rsid w:val="00CE0F4B"/>
    <w:rsid w:val="00CF010F"/>
    <w:rsid w:val="00D0381D"/>
    <w:rsid w:val="00D05D1F"/>
    <w:rsid w:val="00D343BA"/>
    <w:rsid w:val="00D36F76"/>
    <w:rsid w:val="00D47BD3"/>
    <w:rsid w:val="00D51DFA"/>
    <w:rsid w:val="00D86CAA"/>
    <w:rsid w:val="00DA0BED"/>
    <w:rsid w:val="00DA3CD7"/>
    <w:rsid w:val="00DC3839"/>
    <w:rsid w:val="00DC4E1C"/>
    <w:rsid w:val="00DC5E7D"/>
    <w:rsid w:val="00DD2AA9"/>
    <w:rsid w:val="00DE0B74"/>
    <w:rsid w:val="00DF1B76"/>
    <w:rsid w:val="00DF6579"/>
    <w:rsid w:val="00E04357"/>
    <w:rsid w:val="00E05E1A"/>
    <w:rsid w:val="00E06000"/>
    <w:rsid w:val="00E5245B"/>
    <w:rsid w:val="00E649D6"/>
    <w:rsid w:val="00EB0247"/>
    <w:rsid w:val="00EC01A5"/>
    <w:rsid w:val="00EC370B"/>
    <w:rsid w:val="00ED75C2"/>
    <w:rsid w:val="00EE5D52"/>
    <w:rsid w:val="00F34383"/>
    <w:rsid w:val="00F36CDA"/>
    <w:rsid w:val="00F60611"/>
    <w:rsid w:val="00F6387D"/>
    <w:rsid w:val="00F63B01"/>
    <w:rsid w:val="00F66726"/>
    <w:rsid w:val="00F93E91"/>
    <w:rsid w:val="00FA51E8"/>
    <w:rsid w:val="00FA7CDE"/>
    <w:rsid w:val="00FC71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4" w:qFormat="1"/>
    <w:lsdException w:name="heading 2" w:locked="0" w:semiHidden="1" w:uiPriority="5" w:unhideWhenUsed="1" w:qFormat="1"/>
    <w:lsdException w:name="heading 3" w:locked="0" w:semiHidden="1" w:uiPriority="6"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Descripcin">
    <w:name w:val="caption"/>
    <w:basedOn w:val="Normal"/>
    <w:next w:val="Normal"/>
    <w:uiPriority w:val="35"/>
    <w:unhideWhenUsed/>
    <w:qFormat/>
    <w:locked/>
    <w:rsid w:val="0081685F"/>
    <w:pPr>
      <w:suppressAutoHyphens/>
      <w:spacing w:before="120" w:line="360" w:lineRule="auto"/>
    </w:pPr>
    <w:rPr>
      <w:rFonts w:asciiTheme="minorHAnsi" w:eastAsia="Times New Roman" w:hAnsiTheme="minorHAnsi" w:cs="Times New Roman"/>
      <w:b/>
      <w:bCs/>
      <w:spacing w:val="0"/>
      <w:sz w:val="20"/>
      <w:szCs w:val="20"/>
      <w:lang w:eastAsia="es-ES"/>
      <w14:numForm w14:val="default"/>
    </w:rPr>
  </w:style>
  <w:style w:type="paragraph" w:styleId="NormalWeb">
    <w:name w:val="Normal (Web)"/>
    <w:basedOn w:val="Normal"/>
    <w:uiPriority w:val="99"/>
    <w:unhideWhenUsed/>
    <w:rsid w:val="000F753C"/>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customStyle="1" w:styleId="mord">
    <w:name w:val="mord"/>
    <w:basedOn w:val="Fuentedeprrafopredeter"/>
    <w:rsid w:val="0015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08332">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17572864">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21064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97649-5D5D-4F5F-8581-E5A278E9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111</TotalTime>
  <Pages>14</Pages>
  <Words>3721</Words>
  <Characters>20468</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Inga PAOLA PINCAY F</cp:lastModifiedBy>
  <cp:revision>22</cp:revision>
  <dcterms:created xsi:type="dcterms:W3CDTF">2026-09-07T01:00:00Z</dcterms:created>
  <dcterms:modified xsi:type="dcterms:W3CDTF">2026-09-07T03:32:00Z</dcterms:modified>
  <cp:category>Categoria</cp:category>
  <cp:contentStatus>Estado</cp:contentStatus>
</cp:coreProperties>
</file>