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6A307BBB" w:rsidR="001348A0" w:rsidRPr="00D66915" w:rsidRDefault="001348A0" w:rsidP="001348A0">
      <w:pPr>
        <w:pStyle w:val="Captulo"/>
        <w:rPr>
          <w:color w:val="auto"/>
        </w:rPr>
      </w:pPr>
      <w:r w:rsidRPr="00D66915">
        <w:rPr>
          <w:color w:val="auto"/>
        </w:rPr>
        <w:t>Capítulo XXX</w:t>
      </w:r>
    </w:p>
    <w:p w14:paraId="53F485B9" w14:textId="6EECEE70" w:rsidR="0015066B" w:rsidRPr="00D66915" w:rsidRDefault="004057AB" w:rsidP="0015066B">
      <w:pPr>
        <w:pStyle w:val="TtCap"/>
        <w:rPr>
          <w:color w:val="auto"/>
        </w:rPr>
      </w:pPr>
      <w:r w:rsidRPr="004057AB">
        <w:rPr>
          <w:color w:val="auto"/>
        </w:rPr>
        <w:t>Criterios del consentimiento en la filiación por técnicas de reproducción humana asistida: un vacío legal ecuatoriano</w:t>
      </w:r>
    </w:p>
    <w:p w14:paraId="4645F320" w14:textId="56A54680" w:rsidR="0015066B" w:rsidRPr="00D66915" w:rsidRDefault="009E3A08" w:rsidP="0015066B">
      <w:pPr>
        <w:pStyle w:val="Autor"/>
        <w:rPr>
          <w:color w:val="auto"/>
        </w:rPr>
      </w:pPr>
      <w:r w:rsidRPr="00D66915">
        <w:rPr>
          <w:color w:val="auto"/>
        </w:rPr>
        <w:t xml:space="preserve">Maricruz molineros </w:t>
      </w:r>
      <w:proofErr w:type="spellStart"/>
      <w:r w:rsidRPr="00D66915">
        <w:rPr>
          <w:color w:val="auto"/>
        </w:rPr>
        <w:t>toaza</w:t>
      </w:r>
      <w:proofErr w:type="spellEnd"/>
    </w:p>
    <w:p w14:paraId="69FA3E26" w14:textId="6FC861B5" w:rsidR="0015066B" w:rsidRPr="00D66915" w:rsidRDefault="009E3A08" w:rsidP="0015066B">
      <w:pPr>
        <w:pStyle w:val="Adscripcin"/>
        <w:rPr>
          <w:color w:val="auto"/>
        </w:rPr>
      </w:pPr>
      <w:r w:rsidRPr="00D66915">
        <w:rPr>
          <w:color w:val="auto"/>
        </w:rPr>
        <w:t>Universidad Católica de Santiago de Guayaquil</w:t>
      </w:r>
    </w:p>
    <w:p w14:paraId="7FB42A6F" w14:textId="69A86117" w:rsidR="009C0DFA" w:rsidRPr="00D66915" w:rsidRDefault="00721EBE" w:rsidP="00C45F7D">
      <w:pPr>
        <w:pStyle w:val="Ttulo1"/>
      </w:pPr>
      <w:r w:rsidRPr="00D66915">
        <w:t xml:space="preserve">1. </w:t>
      </w:r>
      <w:r w:rsidR="0015066B" w:rsidRPr="00D66915">
        <w:t>Introducción</w:t>
      </w:r>
    </w:p>
    <w:p w14:paraId="3FCB0FE7" w14:textId="3C4F4EDB" w:rsidR="0033760F" w:rsidRDefault="0033760F" w:rsidP="0033760F">
      <w:r>
        <w:t xml:space="preserve">La familia como núcleo fundamental de la sociedad está protegida desde la norma suprema, se atribuye este deber jurídico al Estado, para precautelar la filiación como vínculo transcendental que determina la paternidad y maternidad en relación con los hijos. Por ello, se reconocen como derechos fundamentales la libertad a la vida reproductiva, y a decidir cuándo y cuántos hijos tener, siendo este último el que sustenta la procreación como derecho (Asamblea Nacional Constituyente, 2008). En este contexto, las personas y parejas que no pueden procrear de forma natural pueden recurrir a las técnicas de reproducción humana asistida (TRHA) o adopción para conseguir su paternidad o maternidad. </w:t>
      </w:r>
    </w:p>
    <w:p w14:paraId="6C2DD57A" w14:textId="3812FDE9" w:rsidR="0033760F" w:rsidRDefault="0033760F" w:rsidP="0033760F">
      <w:r>
        <w:t xml:space="preserve">La Organización Mundial de la Salud (OMS) en su informe muestra que los problemas de infertilidad de las personas a nivel mundial son del 17,5 %, por ello, considera urgente otorgar acceso médico y procedimientos adecuados que garanticen las mejores condiciones para tener hijos a las familias (2023). Así, las TRHA constituyen una alternativa viable que las clínicas de fertilidad otorgan a las personas, sujetándose solo a protocolos clínicos al margen del ordenamiento jurídico. Precisamente, el vacío normativo deja en la informalidad la aplicación de las TRHA, en especial la forma de prestar el consentimiento, ocasionando inseguridad jurídica en los efectos de esta modalidad filial. Tal problema, afecta derechos de los intervinientes, en especial el derecho a la identidad y conocer el origen de los hijos procreados con estas técnicas, porque permite la impugnación de la paternidad y maternidad por vicios </w:t>
      </w:r>
      <w:r>
        <w:lastRenderedPageBreak/>
        <w:t xml:space="preserve">en el consentimiento y falta de vínculo biológico con los progenitores ante la falta de regulación jurídica.  </w:t>
      </w:r>
    </w:p>
    <w:p w14:paraId="11A56037" w14:textId="1C131811" w:rsidR="009E3A08" w:rsidRPr="00043681" w:rsidRDefault="0033760F" w:rsidP="0033760F">
      <w:r>
        <w:t>La investigación tiene como objetivo analizar los requisitos y formalidades necesarios del consentimiento de las parejas unidas por matrimonio o unión de hecho al recurrir a las TRHA y, examinar si las presunciones de paternidad son aplicables en estos casos. Esto a partir de un enfoque investigativo cualitativo, empleando el análisis y comparación de la información recogida, en especial, el ordenamiento jurídico ecuatoriano, el derecho comparado de países sudamericanos, la doctrina especializada en Derecho de Familia y, la jurisprudencia nacional e internacional más relevante. Esta exploración permitirá identificar estos criterios necesarios para la validez del consentimiento de las parejas y provocar los efectos jurídicos de la filiación de los hijos por TRHA</w:t>
      </w:r>
      <w:r w:rsidR="009E3A08" w:rsidRPr="00043681">
        <w:t xml:space="preserve">. </w:t>
      </w:r>
    </w:p>
    <w:p w14:paraId="5D8DC444" w14:textId="73CC29D6" w:rsidR="00607EE3" w:rsidRPr="00B40A31" w:rsidRDefault="00607EE3" w:rsidP="00B40A31">
      <w:pPr>
        <w:pStyle w:val="Ttulo1"/>
      </w:pPr>
      <w:r w:rsidRPr="00B40A31">
        <w:t>2. Objetivos</w:t>
      </w:r>
    </w:p>
    <w:p w14:paraId="7A6DDB25" w14:textId="7A1E9A14" w:rsidR="00607EE3" w:rsidRPr="00B40A31" w:rsidRDefault="00607EE3" w:rsidP="00B40A31">
      <w:pPr>
        <w:pStyle w:val="Ttulo2"/>
      </w:pPr>
      <w:r w:rsidRPr="00B40A31">
        <w:t xml:space="preserve">2.1. </w:t>
      </w:r>
      <w:r w:rsidR="00043681" w:rsidRPr="00B40A31">
        <w:t xml:space="preserve">Objetivo general </w:t>
      </w:r>
    </w:p>
    <w:p w14:paraId="516CD075" w14:textId="7589180E" w:rsidR="00280126" w:rsidRDefault="00043681" w:rsidP="00043681">
      <w:pPr>
        <w:pStyle w:val="Listado"/>
      </w:pPr>
      <w:r>
        <w:t>Analizar los requisitos necesarios para la validez del consentimiento de la pareja, unida por matrimonio o unión de hecho reconocida legalmente, en la aplicación de las técnicas de reproducción humana asistida que determina la filiación con los hijos.</w:t>
      </w:r>
    </w:p>
    <w:p w14:paraId="54B3FF41" w14:textId="06178344" w:rsidR="00607EE3" w:rsidRPr="00B40A31" w:rsidRDefault="00607EE3" w:rsidP="00B40A31">
      <w:pPr>
        <w:pStyle w:val="Ttulo2"/>
      </w:pPr>
      <w:r w:rsidRPr="00B40A31">
        <w:t xml:space="preserve">2.2. </w:t>
      </w:r>
      <w:r w:rsidR="00043681" w:rsidRPr="00B40A31">
        <w:t xml:space="preserve">OBJETIVOS ESPECÍFICOS </w:t>
      </w:r>
    </w:p>
    <w:p w14:paraId="00CE03FD" w14:textId="77F8DDF8" w:rsidR="00607EE3" w:rsidRPr="00C302E3" w:rsidRDefault="00A63F8F" w:rsidP="002A43CD">
      <w:pPr>
        <w:pStyle w:val="Listadoajustado"/>
      </w:pPr>
      <w:r>
        <w:t xml:space="preserve">Examinar los derechos involucrados de cada familia a decidir libremente el tipo de familia y los </w:t>
      </w:r>
      <w:r w:rsidR="00AD031F">
        <w:t>hijos</w:t>
      </w:r>
      <w:r>
        <w:t xml:space="preserve"> que desean tener</w:t>
      </w:r>
      <w:r w:rsidR="00AD031F">
        <w:t xml:space="preserve"> en su proyecto de vida. </w:t>
      </w:r>
    </w:p>
    <w:p w14:paraId="5554580B" w14:textId="17B81E41" w:rsidR="00607EE3" w:rsidRDefault="00AD031F" w:rsidP="00A63F8F">
      <w:pPr>
        <w:pStyle w:val="Listadoajustado"/>
      </w:pPr>
      <w:r>
        <w:t xml:space="preserve">Identificar </w:t>
      </w:r>
      <w:r w:rsidR="00A63F8F">
        <w:t xml:space="preserve">en el </w:t>
      </w:r>
      <w:r>
        <w:t xml:space="preserve">ordenamiento jurídico ecuatoriano y otros países </w:t>
      </w:r>
      <w:r w:rsidR="00A63F8F">
        <w:t>los requisitos para otorgar el consentimiento en la aplicación de procedimientos de TRHA.</w:t>
      </w:r>
      <w:r>
        <w:t xml:space="preserve"> </w:t>
      </w:r>
    </w:p>
    <w:p w14:paraId="54B98809" w14:textId="5FA83163" w:rsidR="00607EE3" w:rsidRPr="00C302E3" w:rsidRDefault="00AD031F" w:rsidP="002A43CD">
      <w:pPr>
        <w:pStyle w:val="Listadoajustado"/>
      </w:pPr>
      <w:r>
        <w:t xml:space="preserve">Determinar </w:t>
      </w:r>
      <w:r w:rsidR="00A63F8F">
        <w:t xml:space="preserve">las reglas jurisprudenciales que se aplican en Ecuador como mecanismo para </w:t>
      </w:r>
      <w:r w:rsidR="00D66915">
        <w:t>suplir la</w:t>
      </w:r>
      <w:r w:rsidR="00A63F8F">
        <w:t xml:space="preserve"> ausencia de norma que regula el consentimiento en las TRHA.</w:t>
      </w:r>
    </w:p>
    <w:p w14:paraId="2708A763" w14:textId="4D768474" w:rsidR="005A43E3" w:rsidRPr="00B40A31" w:rsidRDefault="005A43E3" w:rsidP="00B40A31">
      <w:pPr>
        <w:pStyle w:val="Ttulo1"/>
      </w:pPr>
      <w:r w:rsidRPr="00B40A31">
        <w:lastRenderedPageBreak/>
        <w:t>3. Metodología</w:t>
      </w:r>
    </w:p>
    <w:p w14:paraId="0BABB126" w14:textId="39BBDCB5" w:rsidR="00C21A88" w:rsidRPr="00C21A88" w:rsidRDefault="00C21A88" w:rsidP="00C21A88">
      <w:pPr>
        <w:spacing w:before="315" w:after="105"/>
        <w:rPr>
          <w:rFonts w:eastAsia="inter" w:cs="Times New Roman"/>
          <w:color w:val="000000"/>
          <w:szCs w:val="23"/>
        </w:rPr>
      </w:pPr>
      <w:r w:rsidRPr="00C21A88">
        <w:rPr>
          <w:rFonts w:eastAsia="inter" w:cs="Times New Roman"/>
          <w:color w:val="000000"/>
          <w:szCs w:val="23"/>
        </w:rPr>
        <w:t>La investigación jurídica se desarrolló bajo un enfoque cualitativo y alcanzó un nivel descriptivo, complementado con un análisis dogmático y comparado. Se emplearon los métodos deductivo, analítico y sintético para examinar las teorías, normativas y jurisprudencia relacionadas con los requisitos de validez del consentimiento de la pareja en la aplicación de TRHA y su impacto en la determinación de la filiación. La investigación se enmarca en los derechos humanos, articulando el Derecho Constitucional con el Derecho de Familia.</w:t>
      </w:r>
    </w:p>
    <w:p w14:paraId="275EB8E6" w14:textId="462100DF" w:rsidR="00C21A88" w:rsidRPr="00C21A88" w:rsidRDefault="00C21A88" w:rsidP="00C21A88">
      <w:pPr>
        <w:spacing w:before="315" w:after="105"/>
        <w:rPr>
          <w:rFonts w:eastAsia="inter" w:cs="Times New Roman"/>
          <w:color w:val="000000"/>
          <w:szCs w:val="23"/>
        </w:rPr>
      </w:pPr>
      <w:r w:rsidRPr="00C21A88">
        <w:rPr>
          <w:rFonts w:eastAsia="inter" w:cs="Times New Roman"/>
          <w:color w:val="000000"/>
          <w:szCs w:val="23"/>
        </w:rPr>
        <w:t>El universo de estudio comprende los aportes doctrinales, el ordenamiento jurídico ecuatoriano, la legislación comparada de Argentina, Uruguay, Cuba y España, así como la jurisprudencia ecuatoriana. Este marco permitió analizar los requisitos de validez del consentimiento y plantear una alternativa frente al vacío legal existente en Ecuador. Debido a la escasa jurisprudencia, se seleccionó una muestra intencional de fallos de la Corte Nacional de Justicia y la Corte Constitucional del Ecuador. Para la recolección de datos, se emplearon el análisis documental y la revisión bibliográfica sistemática.</w:t>
      </w:r>
    </w:p>
    <w:p w14:paraId="1C334B49" w14:textId="6F3B044D" w:rsidR="00C21A88" w:rsidRPr="00C21A88" w:rsidRDefault="00C21A88" w:rsidP="00C21A88">
      <w:pPr>
        <w:spacing w:before="315" w:after="105"/>
        <w:rPr>
          <w:rFonts w:eastAsia="inter" w:cs="Times New Roman"/>
          <w:color w:val="000000"/>
          <w:szCs w:val="23"/>
        </w:rPr>
      </w:pPr>
      <w:r w:rsidRPr="00C21A88">
        <w:rPr>
          <w:rFonts w:eastAsia="inter" w:cs="Times New Roman"/>
          <w:color w:val="000000"/>
          <w:szCs w:val="23"/>
        </w:rPr>
        <w:t>La hipótesis principal sostiene que la ausencia de una normativa que regule el consentimiento de la pareja en la aplicación de las TRHA en Ecuador afecta la determinación de la filiación y el interés superior del niño. En consecuencia, la investigación busca identificar los requisitos del consentimiento necesarios para que la filiación produzca plenos efectos jurídicos entre padres e hijos. Las categorías de análisis permiten evaluar cómo la existencia o inexistencia de regulación impacta en los derechos y obligaciones derivados de la filiación por TRHA, considerando que los niños, niñas y adolescentes son sujetos de atención prioritaria.</w:t>
      </w:r>
    </w:p>
    <w:p w14:paraId="0501E1F8" w14:textId="485F22C0" w:rsidR="009F130B" w:rsidRPr="009F130B" w:rsidRDefault="00C21A88" w:rsidP="00C21A88">
      <w:pPr>
        <w:spacing w:before="315" w:after="105"/>
        <w:rPr>
          <w:rFonts w:eastAsia="inter" w:cs="Times New Roman"/>
          <w:color w:val="000000"/>
          <w:szCs w:val="23"/>
        </w:rPr>
      </w:pPr>
      <w:r w:rsidRPr="00C21A88">
        <w:rPr>
          <w:rFonts w:eastAsia="inter" w:cs="Times New Roman"/>
          <w:color w:val="000000"/>
          <w:szCs w:val="23"/>
        </w:rPr>
        <w:t>El instrumento central fue una matriz de análisis jurídico, que permitió sistematizar los requisitos del consentimiento en las TRHA y facilitar su interpretación y cotejo normativo en los ámbitos nacional e internacional.</w:t>
      </w:r>
    </w:p>
    <w:p w14:paraId="31F546C6" w14:textId="592F0474" w:rsidR="00D0381D" w:rsidRDefault="00D0381D" w:rsidP="00D0381D">
      <w:pPr>
        <w:pStyle w:val="Figuras"/>
      </w:pPr>
      <w:r w:rsidRPr="00E649D6">
        <w:rPr>
          <w:rStyle w:val="negrita"/>
          <w:i w:val="0"/>
          <w:iCs/>
        </w:rPr>
        <w:lastRenderedPageBreak/>
        <w:t>TABLA 1</w:t>
      </w:r>
      <w:r>
        <w:t xml:space="preserve">. </w:t>
      </w:r>
      <w:r w:rsidR="0057579C">
        <w:t>Matriz de comparación normativa de requisitos del consentimiento en la aplicación de TRHA.</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5"/>
        <w:gridCol w:w="1058"/>
        <w:gridCol w:w="964"/>
        <w:gridCol w:w="1021"/>
        <w:gridCol w:w="1134"/>
        <w:gridCol w:w="1134"/>
      </w:tblGrid>
      <w:tr w:rsidR="0057579C" w:rsidRPr="0057579C" w14:paraId="780A4255" w14:textId="77777777" w:rsidTr="00D66915">
        <w:trPr>
          <w:trHeight w:val="185"/>
          <w:jc w:val="center"/>
        </w:trPr>
        <w:tc>
          <w:tcPr>
            <w:tcW w:w="1205" w:type="dxa"/>
            <w:noWrap/>
            <w:vAlign w:val="center"/>
            <w:hideMark/>
          </w:tcPr>
          <w:p w14:paraId="6D967A8B" w14:textId="54D94899" w:rsidR="0057579C" w:rsidRPr="00657BB8" w:rsidRDefault="0057579C"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Criterios y Subcriterios observados</w:t>
            </w:r>
          </w:p>
        </w:tc>
        <w:tc>
          <w:tcPr>
            <w:tcW w:w="1058" w:type="dxa"/>
            <w:noWrap/>
            <w:vAlign w:val="center"/>
            <w:hideMark/>
          </w:tcPr>
          <w:p w14:paraId="40E81876" w14:textId="2EC2FC89" w:rsidR="0057579C" w:rsidRPr="00657BB8" w:rsidRDefault="0057579C"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 xml:space="preserve">Ecuador </w:t>
            </w:r>
            <w:r w:rsidR="00657BB8">
              <w:rPr>
                <w:rFonts w:ascii="Arial Narrow" w:eastAsia="Times New Roman" w:hAnsi="Arial Narrow" w:cs="Times New Roman"/>
                <w:b/>
                <w:bCs/>
                <w:color w:val="000000"/>
                <w:sz w:val="16"/>
                <w:szCs w:val="16"/>
                <w:lang w:val="es-ES_tradnl" w:eastAsia="es-ES"/>
              </w:rPr>
              <w:t>(CRE y CC)</w:t>
            </w:r>
          </w:p>
        </w:tc>
        <w:tc>
          <w:tcPr>
            <w:tcW w:w="964" w:type="dxa"/>
            <w:vAlign w:val="center"/>
          </w:tcPr>
          <w:p w14:paraId="737990E9" w14:textId="0419CE0F" w:rsidR="0057579C" w:rsidRPr="00657BB8" w:rsidRDefault="0057579C"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Argentina</w:t>
            </w:r>
            <w:r w:rsidR="008456D6" w:rsidRPr="00657BB8">
              <w:rPr>
                <w:rFonts w:ascii="Arial Narrow" w:eastAsia="Times New Roman" w:hAnsi="Arial Narrow" w:cs="Times New Roman"/>
                <w:b/>
                <w:bCs/>
                <w:color w:val="000000"/>
                <w:sz w:val="16"/>
                <w:szCs w:val="16"/>
                <w:lang w:val="es-ES_tradnl" w:eastAsia="es-ES"/>
              </w:rPr>
              <w:t xml:space="preserve"> (Ley</w:t>
            </w:r>
            <w:r w:rsidR="002F5B4B" w:rsidRPr="00657BB8">
              <w:rPr>
                <w:rFonts w:ascii="Arial Narrow" w:eastAsia="Times New Roman" w:hAnsi="Arial Narrow" w:cs="Times New Roman"/>
                <w:b/>
                <w:bCs/>
                <w:color w:val="000000"/>
                <w:sz w:val="16"/>
                <w:szCs w:val="16"/>
                <w:lang w:val="es-ES_tradnl" w:eastAsia="es-ES"/>
              </w:rPr>
              <w:t>26.862 CCyCN</w:t>
            </w:r>
            <w:r w:rsidR="008456D6" w:rsidRPr="00657BB8">
              <w:rPr>
                <w:rFonts w:ascii="Arial Narrow" w:eastAsia="Times New Roman" w:hAnsi="Arial Narrow" w:cs="Times New Roman"/>
                <w:b/>
                <w:bCs/>
                <w:color w:val="000000"/>
                <w:sz w:val="16"/>
                <w:szCs w:val="16"/>
                <w:lang w:val="es-ES_tradnl" w:eastAsia="es-ES"/>
              </w:rPr>
              <w:t>)</w:t>
            </w:r>
          </w:p>
        </w:tc>
        <w:tc>
          <w:tcPr>
            <w:tcW w:w="1021" w:type="dxa"/>
            <w:vAlign w:val="center"/>
          </w:tcPr>
          <w:p w14:paraId="758449DF" w14:textId="2BF5CDE9" w:rsidR="0057579C" w:rsidRPr="00657BB8" w:rsidRDefault="0057579C"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Uruguay</w:t>
            </w:r>
            <w:r w:rsidR="002F5B4B" w:rsidRPr="00657BB8">
              <w:rPr>
                <w:rFonts w:ascii="Arial Narrow" w:eastAsia="Times New Roman" w:hAnsi="Arial Narrow" w:cs="Times New Roman"/>
                <w:b/>
                <w:bCs/>
                <w:color w:val="000000"/>
                <w:sz w:val="16"/>
                <w:szCs w:val="16"/>
                <w:lang w:val="es-ES_tradnl" w:eastAsia="es-ES"/>
              </w:rPr>
              <w:t xml:space="preserve"> (Ley 19.167)</w:t>
            </w:r>
          </w:p>
        </w:tc>
        <w:tc>
          <w:tcPr>
            <w:tcW w:w="1134" w:type="dxa"/>
            <w:vAlign w:val="center"/>
          </w:tcPr>
          <w:p w14:paraId="7F2B0CDE" w14:textId="50A52961" w:rsidR="0057579C" w:rsidRPr="00657BB8" w:rsidRDefault="0057579C"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Cuba</w:t>
            </w:r>
            <w:r w:rsidR="002F5B4B" w:rsidRPr="00657BB8">
              <w:rPr>
                <w:rFonts w:ascii="Arial Narrow" w:eastAsia="Times New Roman" w:hAnsi="Arial Narrow" w:cs="Times New Roman"/>
                <w:b/>
                <w:bCs/>
                <w:color w:val="000000"/>
                <w:sz w:val="16"/>
                <w:szCs w:val="16"/>
                <w:lang w:val="es-ES_tradnl" w:eastAsia="es-ES"/>
              </w:rPr>
              <w:t xml:space="preserve"> (Código de Familias; Res.1151)</w:t>
            </w:r>
          </w:p>
        </w:tc>
        <w:tc>
          <w:tcPr>
            <w:tcW w:w="1134" w:type="dxa"/>
            <w:noWrap/>
            <w:vAlign w:val="center"/>
            <w:hideMark/>
          </w:tcPr>
          <w:p w14:paraId="22FF4B59" w14:textId="095EDD47" w:rsidR="0057579C" w:rsidRPr="00657BB8" w:rsidRDefault="0057579C"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España</w:t>
            </w:r>
            <w:r w:rsidR="002F5B4B" w:rsidRPr="00657BB8">
              <w:rPr>
                <w:rFonts w:ascii="Arial Narrow" w:eastAsia="Times New Roman" w:hAnsi="Arial Narrow" w:cs="Times New Roman"/>
                <w:b/>
                <w:bCs/>
                <w:color w:val="000000"/>
                <w:sz w:val="16"/>
                <w:szCs w:val="16"/>
                <w:lang w:val="es-ES_tradnl" w:eastAsia="es-ES"/>
              </w:rPr>
              <w:t xml:space="preserve"> (Ley 14/2006; Ley 3/2007)</w:t>
            </w:r>
          </w:p>
        </w:tc>
      </w:tr>
      <w:tr w:rsidR="0057579C" w:rsidRPr="009E664A" w14:paraId="2F400310" w14:textId="77777777" w:rsidTr="00D66915">
        <w:trPr>
          <w:trHeight w:val="1035"/>
          <w:jc w:val="center"/>
        </w:trPr>
        <w:tc>
          <w:tcPr>
            <w:tcW w:w="1205" w:type="dxa"/>
            <w:noWrap/>
            <w:vAlign w:val="center"/>
          </w:tcPr>
          <w:p w14:paraId="485E7222" w14:textId="0D4CC2C9" w:rsidR="00747BD2" w:rsidRPr="00657BB8" w:rsidRDefault="00747BD2"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Reconocimiento legal Filiación por TRHA</w:t>
            </w:r>
            <w:r w:rsidR="002F5B4B" w:rsidRPr="00657BB8">
              <w:rPr>
                <w:rFonts w:ascii="Arial Narrow" w:eastAsia="Times New Roman" w:hAnsi="Arial Narrow" w:cs="Times New Roman"/>
                <w:b/>
                <w:bCs/>
                <w:color w:val="000000"/>
                <w:sz w:val="16"/>
                <w:szCs w:val="16"/>
                <w:lang w:val="es-ES_tradnl" w:eastAsia="es-ES"/>
              </w:rPr>
              <w:t xml:space="preserve"> (voluntad procreacional)</w:t>
            </w:r>
          </w:p>
        </w:tc>
        <w:tc>
          <w:tcPr>
            <w:tcW w:w="1058" w:type="dxa"/>
            <w:noWrap/>
            <w:vAlign w:val="center"/>
          </w:tcPr>
          <w:p w14:paraId="6A4D5B84" w14:textId="64F29E00" w:rsidR="00747BD2" w:rsidRPr="009E664A" w:rsidRDefault="00747BD2"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No, solo regula filiación biológica y adoptiva</w:t>
            </w:r>
            <w:r w:rsidR="00751CF2">
              <w:rPr>
                <w:rFonts w:ascii="Arial Narrow" w:eastAsia="Times New Roman" w:hAnsi="Arial Narrow" w:cs="Times New Roman"/>
                <w:color w:val="000000"/>
                <w:sz w:val="16"/>
                <w:szCs w:val="16"/>
                <w:lang w:val="es-ES_tradnl" w:eastAsia="es-ES"/>
              </w:rPr>
              <w:t>.</w:t>
            </w:r>
          </w:p>
        </w:tc>
        <w:tc>
          <w:tcPr>
            <w:tcW w:w="964" w:type="dxa"/>
            <w:vAlign w:val="center"/>
          </w:tcPr>
          <w:p w14:paraId="721088C8" w14:textId="127742C0" w:rsidR="00B40A31" w:rsidRPr="00B40A31" w:rsidRDefault="00747BD2" w:rsidP="00B40A31">
            <w:pPr>
              <w:jc w:val="left"/>
              <w:rPr>
                <w:rFonts w:ascii="Arial Narrow" w:eastAsia="Times New Roman" w:hAnsi="Arial Narrow" w:cs="Times New Roman"/>
                <w:sz w:val="16"/>
                <w:szCs w:val="16"/>
                <w:lang w:val="es-ES_tradnl" w:eastAsia="es-ES"/>
              </w:rPr>
            </w:pPr>
            <w:r>
              <w:rPr>
                <w:rFonts w:ascii="Arial Narrow" w:eastAsia="Times New Roman" w:hAnsi="Arial Narrow" w:cs="Times New Roman"/>
                <w:sz w:val="16"/>
                <w:szCs w:val="16"/>
                <w:lang w:val="es-ES_tradnl" w:eastAsia="es-ES"/>
              </w:rPr>
              <w:t>Si, reconoce las TRHA como origen filial, con igual efecto.</w:t>
            </w:r>
          </w:p>
        </w:tc>
        <w:tc>
          <w:tcPr>
            <w:tcW w:w="1021" w:type="dxa"/>
            <w:vAlign w:val="center"/>
          </w:tcPr>
          <w:p w14:paraId="4537387C" w14:textId="32062CC2" w:rsidR="00747BD2" w:rsidRPr="00747BD2" w:rsidRDefault="00747BD2" w:rsidP="00B40A31">
            <w:pPr>
              <w:jc w:val="left"/>
              <w:rPr>
                <w:rFonts w:ascii="Arial Narrow" w:eastAsia="Times New Roman" w:hAnsi="Arial Narrow" w:cs="Times New Roman"/>
                <w:sz w:val="16"/>
                <w:szCs w:val="16"/>
                <w:lang w:val="es-ES_tradnl" w:eastAsia="es-ES"/>
              </w:rPr>
            </w:pPr>
            <w:r>
              <w:rPr>
                <w:rFonts w:ascii="Arial Narrow" w:eastAsia="Times New Roman" w:hAnsi="Arial Narrow" w:cs="Times New Roman"/>
                <w:sz w:val="16"/>
                <w:szCs w:val="16"/>
                <w:lang w:val="es-ES_tradnl" w:eastAsia="es-ES"/>
              </w:rPr>
              <w:t>Si, atribuye efecto filial a la voluntad procreacional.</w:t>
            </w:r>
          </w:p>
        </w:tc>
        <w:tc>
          <w:tcPr>
            <w:tcW w:w="1134" w:type="dxa"/>
            <w:vAlign w:val="center"/>
          </w:tcPr>
          <w:p w14:paraId="6C0A9065" w14:textId="127779E8" w:rsidR="0057579C" w:rsidRPr="009E664A" w:rsidRDefault="00747BD2"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Sí, incorpora filiación asistida por voluntad expresa.</w:t>
            </w:r>
          </w:p>
        </w:tc>
        <w:tc>
          <w:tcPr>
            <w:tcW w:w="1134" w:type="dxa"/>
            <w:noWrap/>
            <w:vAlign w:val="center"/>
          </w:tcPr>
          <w:p w14:paraId="34BCB6A3" w14:textId="3669A0DB" w:rsidR="00747BD2" w:rsidRPr="009E664A" w:rsidRDefault="00747BD2"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genera efectos filiales sin discriminación.</w:t>
            </w:r>
          </w:p>
        </w:tc>
      </w:tr>
      <w:tr w:rsidR="0057579C" w:rsidRPr="009E664A" w14:paraId="274CAD88" w14:textId="77777777" w:rsidTr="00D66915">
        <w:trPr>
          <w:trHeight w:val="185"/>
          <w:jc w:val="center"/>
        </w:trPr>
        <w:tc>
          <w:tcPr>
            <w:tcW w:w="1205" w:type="dxa"/>
            <w:noWrap/>
            <w:vAlign w:val="center"/>
          </w:tcPr>
          <w:p w14:paraId="41D80AEE" w14:textId="72333660" w:rsidR="0057579C" w:rsidRPr="00657BB8" w:rsidRDefault="002F5B4B"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Carácter previo, expreso, libre e informado del consentimiento</w:t>
            </w:r>
          </w:p>
        </w:tc>
        <w:tc>
          <w:tcPr>
            <w:tcW w:w="1058" w:type="dxa"/>
            <w:noWrap/>
            <w:vAlign w:val="center"/>
          </w:tcPr>
          <w:p w14:paraId="18281A77" w14:textId="050239BB" w:rsidR="0057579C" w:rsidRPr="0057579C" w:rsidRDefault="002F5B4B"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Solo consta en la planificación familiar, no en las TRHA</w:t>
            </w:r>
          </w:p>
        </w:tc>
        <w:tc>
          <w:tcPr>
            <w:tcW w:w="964" w:type="dxa"/>
            <w:vAlign w:val="center"/>
          </w:tcPr>
          <w:p w14:paraId="12E06D92" w14:textId="7C66D62D" w:rsidR="0057579C" w:rsidRPr="0057579C" w:rsidRDefault="002F5B4B"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como exigencia legal</w:t>
            </w:r>
          </w:p>
        </w:tc>
        <w:tc>
          <w:tcPr>
            <w:tcW w:w="1021" w:type="dxa"/>
            <w:vAlign w:val="center"/>
          </w:tcPr>
          <w:p w14:paraId="0586B9CB" w14:textId="2446CC96" w:rsidR="0057579C" w:rsidRPr="0057579C" w:rsidRDefault="002F5B4B"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constan como requisitos legales</w:t>
            </w:r>
          </w:p>
        </w:tc>
        <w:tc>
          <w:tcPr>
            <w:tcW w:w="1134" w:type="dxa"/>
            <w:vAlign w:val="center"/>
          </w:tcPr>
          <w:p w14:paraId="2D826164" w14:textId="1552CB1D" w:rsidR="0057579C" w:rsidRPr="0057579C" w:rsidRDefault="002F5B4B"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constan como requisitos.</w:t>
            </w:r>
          </w:p>
        </w:tc>
        <w:tc>
          <w:tcPr>
            <w:tcW w:w="1134" w:type="dxa"/>
            <w:noWrap/>
            <w:vAlign w:val="center"/>
          </w:tcPr>
          <w:p w14:paraId="558BFE14" w14:textId="31FABE7A" w:rsidR="0057579C" w:rsidRPr="0057579C" w:rsidRDefault="002F5B4B"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constan, además incorpora que debe ser consciente</w:t>
            </w:r>
          </w:p>
        </w:tc>
      </w:tr>
      <w:tr w:rsidR="0057579C" w:rsidRPr="009E664A" w14:paraId="122FE04D" w14:textId="77777777" w:rsidTr="00D66915">
        <w:trPr>
          <w:trHeight w:val="185"/>
          <w:jc w:val="center"/>
        </w:trPr>
        <w:tc>
          <w:tcPr>
            <w:tcW w:w="1205" w:type="dxa"/>
            <w:noWrap/>
            <w:vAlign w:val="center"/>
          </w:tcPr>
          <w:p w14:paraId="12521AB9" w14:textId="772C349A" w:rsidR="0057579C" w:rsidRPr="00657BB8" w:rsidRDefault="002F5B4B"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Formalidad por escrito</w:t>
            </w:r>
            <w:r w:rsidR="00657BB8" w:rsidRPr="00657BB8">
              <w:rPr>
                <w:rFonts w:ascii="Arial Narrow" w:eastAsia="Times New Roman" w:hAnsi="Arial Narrow" w:cs="Times New Roman"/>
                <w:b/>
                <w:bCs/>
                <w:color w:val="000000"/>
                <w:sz w:val="16"/>
                <w:szCs w:val="16"/>
                <w:lang w:val="es-ES_tradnl" w:eastAsia="es-ES"/>
              </w:rPr>
              <w:t>/ante notario</w:t>
            </w:r>
          </w:p>
        </w:tc>
        <w:tc>
          <w:tcPr>
            <w:tcW w:w="1058" w:type="dxa"/>
            <w:noWrap/>
            <w:vAlign w:val="center"/>
          </w:tcPr>
          <w:p w14:paraId="72D7F801" w14:textId="75EAF154" w:rsidR="0057579C" w:rsidRPr="0057579C" w:rsidRDefault="002F5B4B"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Sin ninguna formali</w:t>
            </w:r>
            <w:r w:rsidR="00657BB8">
              <w:rPr>
                <w:rFonts w:ascii="Arial Narrow" w:eastAsia="Times New Roman" w:hAnsi="Arial Narrow" w:cs="Times New Roman"/>
                <w:color w:val="000000"/>
                <w:sz w:val="16"/>
                <w:szCs w:val="16"/>
                <w:lang w:val="es-ES_tradnl" w:eastAsia="es-ES"/>
              </w:rPr>
              <w:t>dad, rigen protocolos médicos.</w:t>
            </w:r>
          </w:p>
        </w:tc>
        <w:tc>
          <w:tcPr>
            <w:tcW w:w="964" w:type="dxa"/>
            <w:vAlign w:val="center"/>
          </w:tcPr>
          <w:p w14:paraId="6EF7EB61" w14:textId="175BA78A"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solo por escrito</w:t>
            </w:r>
          </w:p>
        </w:tc>
        <w:tc>
          <w:tcPr>
            <w:tcW w:w="1021" w:type="dxa"/>
            <w:vAlign w:val="center"/>
          </w:tcPr>
          <w:p w14:paraId="370045FF" w14:textId="42E5CBD7"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Sí, expresamente por escrito</w:t>
            </w:r>
          </w:p>
        </w:tc>
        <w:tc>
          <w:tcPr>
            <w:tcW w:w="1134" w:type="dxa"/>
            <w:vAlign w:val="center"/>
          </w:tcPr>
          <w:p w14:paraId="7120339A" w14:textId="61B20C05"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formalidad ante notario público expresamente</w:t>
            </w:r>
          </w:p>
        </w:tc>
        <w:tc>
          <w:tcPr>
            <w:tcW w:w="1134" w:type="dxa"/>
            <w:noWrap/>
            <w:vAlign w:val="center"/>
          </w:tcPr>
          <w:p w14:paraId="62524588" w14:textId="76AE8147"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constancia por escrito.</w:t>
            </w:r>
          </w:p>
        </w:tc>
      </w:tr>
      <w:tr w:rsidR="0057579C" w:rsidRPr="009E664A" w14:paraId="0F8270FA" w14:textId="77777777" w:rsidTr="00D66915">
        <w:trPr>
          <w:trHeight w:val="185"/>
          <w:jc w:val="center"/>
        </w:trPr>
        <w:tc>
          <w:tcPr>
            <w:tcW w:w="1205" w:type="dxa"/>
            <w:noWrap/>
            <w:vAlign w:val="center"/>
          </w:tcPr>
          <w:p w14:paraId="4D36B009" w14:textId="32371C32" w:rsidR="0057579C" w:rsidRPr="00657BB8" w:rsidRDefault="002F5B4B"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Ratificación/renovación de la voluntad</w:t>
            </w:r>
          </w:p>
        </w:tc>
        <w:tc>
          <w:tcPr>
            <w:tcW w:w="1058" w:type="dxa"/>
            <w:noWrap/>
            <w:vAlign w:val="center"/>
          </w:tcPr>
          <w:p w14:paraId="460C20F0" w14:textId="4AA45711" w:rsidR="00657BB8"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No se regula</w:t>
            </w:r>
          </w:p>
        </w:tc>
        <w:tc>
          <w:tcPr>
            <w:tcW w:w="964" w:type="dxa"/>
            <w:vAlign w:val="center"/>
          </w:tcPr>
          <w:p w14:paraId="0872CA9D" w14:textId="654E4697"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debe renovarse cada vez que se usen los gametos.</w:t>
            </w:r>
          </w:p>
        </w:tc>
        <w:tc>
          <w:tcPr>
            <w:tcW w:w="1021" w:type="dxa"/>
            <w:vAlign w:val="center"/>
          </w:tcPr>
          <w:p w14:paraId="6EA05213" w14:textId="1F537A60"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ratificación expresa al momento de la fecundación.</w:t>
            </w:r>
          </w:p>
        </w:tc>
        <w:tc>
          <w:tcPr>
            <w:tcW w:w="1134" w:type="dxa"/>
            <w:vAlign w:val="center"/>
          </w:tcPr>
          <w:p w14:paraId="758264A7" w14:textId="7C4530B2"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No, considera el consentimiento inicial formalizado.</w:t>
            </w:r>
          </w:p>
        </w:tc>
        <w:tc>
          <w:tcPr>
            <w:tcW w:w="1134" w:type="dxa"/>
            <w:noWrap/>
            <w:vAlign w:val="center"/>
          </w:tcPr>
          <w:p w14:paraId="5A585E98" w14:textId="5D5B8D93"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No, considera la fase previa al uso de los gametos</w:t>
            </w:r>
          </w:p>
        </w:tc>
      </w:tr>
      <w:tr w:rsidR="0057579C" w:rsidRPr="009E664A" w14:paraId="2481D343" w14:textId="77777777" w:rsidTr="00D66915">
        <w:trPr>
          <w:trHeight w:val="185"/>
          <w:jc w:val="center"/>
        </w:trPr>
        <w:tc>
          <w:tcPr>
            <w:tcW w:w="1205" w:type="dxa"/>
            <w:noWrap/>
            <w:vAlign w:val="center"/>
          </w:tcPr>
          <w:p w14:paraId="5972CD03" w14:textId="7E63F2AE" w:rsidR="0057579C" w:rsidRPr="00657BB8" w:rsidRDefault="002F5B4B"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Posibilidad de revocación</w:t>
            </w:r>
          </w:p>
        </w:tc>
        <w:tc>
          <w:tcPr>
            <w:tcW w:w="1058" w:type="dxa"/>
            <w:noWrap/>
            <w:vAlign w:val="center"/>
          </w:tcPr>
          <w:p w14:paraId="242FD49E" w14:textId="4F16E375"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No regula</w:t>
            </w:r>
          </w:p>
        </w:tc>
        <w:tc>
          <w:tcPr>
            <w:tcW w:w="964" w:type="dxa"/>
            <w:vAlign w:val="center"/>
          </w:tcPr>
          <w:p w14:paraId="6D4814DB" w14:textId="71DE0153"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temporal antes del uso de gametos</w:t>
            </w:r>
          </w:p>
        </w:tc>
        <w:tc>
          <w:tcPr>
            <w:tcW w:w="1021" w:type="dxa"/>
            <w:vAlign w:val="center"/>
          </w:tcPr>
          <w:p w14:paraId="2FE91AC4" w14:textId="05D86884"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revocable en cualquier momento</w:t>
            </w:r>
          </w:p>
        </w:tc>
        <w:tc>
          <w:tcPr>
            <w:tcW w:w="1134" w:type="dxa"/>
            <w:vAlign w:val="center"/>
          </w:tcPr>
          <w:p w14:paraId="414D60CB" w14:textId="59FB38ED"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antes del uso de los gametos</w:t>
            </w:r>
          </w:p>
        </w:tc>
        <w:tc>
          <w:tcPr>
            <w:tcW w:w="1134" w:type="dxa"/>
            <w:noWrap/>
            <w:vAlign w:val="center"/>
          </w:tcPr>
          <w:p w14:paraId="59FC73C9" w14:textId="45E562CF" w:rsidR="0057579C" w:rsidRPr="0057579C" w:rsidRDefault="00657BB8"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 xml:space="preserve">Si, </w:t>
            </w:r>
            <w:r w:rsidR="00EC17FD">
              <w:rPr>
                <w:rFonts w:ascii="Arial Narrow" w:eastAsia="Times New Roman" w:hAnsi="Arial Narrow" w:cs="Times New Roman"/>
                <w:color w:val="000000"/>
                <w:sz w:val="16"/>
                <w:szCs w:val="16"/>
                <w:lang w:val="es-ES_tradnl" w:eastAsia="es-ES"/>
              </w:rPr>
              <w:t>se permite previo al uso de los gametos</w:t>
            </w:r>
          </w:p>
        </w:tc>
      </w:tr>
      <w:tr w:rsidR="00657BB8" w:rsidRPr="009E664A" w14:paraId="130BCEC5" w14:textId="77777777" w:rsidTr="00D66915">
        <w:trPr>
          <w:trHeight w:val="185"/>
          <w:jc w:val="center"/>
        </w:trPr>
        <w:tc>
          <w:tcPr>
            <w:tcW w:w="1205" w:type="dxa"/>
            <w:noWrap/>
            <w:vAlign w:val="center"/>
          </w:tcPr>
          <w:p w14:paraId="309BCB5F" w14:textId="3C20E110" w:rsidR="00657BB8" w:rsidRPr="00657BB8" w:rsidRDefault="00657BB8" w:rsidP="00B40A31">
            <w:pPr>
              <w:spacing w:after="0" w:line="240" w:lineRule="auto"/>
              <w:jc w:val="left"/>
              <w:rPr>
                <w:rFonts w:ascii="Arial Narrow" w:eastAsia="Times New Roman" w:hAnsi="Arial Narrow" w:cs="Times New Roman"/>
                <w:b/>
                <w:bCs/>
                <w:color w:val="000000"/>
                <w:sz w:val="16"/>
                <w:szCs w:val="16"/>
                <w:lang w:val="es-ES_tradnl" w:eastAsia="es-ES"/>
              </w:rPr>
            </w:pPr>
            <w:r>
              <w:rPr>
                <w:rFonts w:ascii="Arial Narrow" w:eastAsia="Times New Roman" w:hAnsi="Arial Narrow" w:cs="Times New Roman"/>
                <w:b/>
                <w:bCs/>
                <w:color w:val="000000"/>
                <w:sz w:val="16"/>
                <w:szCs w:val="16"/>
                <w:lang w:val="es-ES_tradnl" w:eastAsia="es-ES"/>
              </w:rPr>
              <w:t>Protección frente a la impugnación</w:t>
            </w:r>
          </w:p>
        </w:tc>
        <w:tc>
          <w:tcPr>
            <w:tcW w:w="1058" w:type="dxa"/>
            <w:noWrap/>
            <w:vAlign w:val="center"/>
          </w:tcPr>
          <w:p w14:paraId="63D5CB62" w14:textId="1ABAEF61" w:rsidR="00657BB8"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Parcial,</w:t>
            </w:r>
            <w:r w:rsidR="00C4054C">
              <w:rPr>
                <w:rFonts w:ascii="Arial Narrow" w:eastAsia="Times New Roman" w:hAnsi="Arial Narrow" w:cs="Times New Roman"/>
                <w:color w:val="000000"/>
                <w:sz w:val="16"/>
                <w:szCs w:val="16"/>
                <w:lang w:val="es-ES_tradnl" w:eastAsia="es-ES"/>
              </w:rPr>
              <w:t xml:space="preserve"> inseguridad jurídica,</w:t>
            </w:r>
            <w:r>
              <w:rPr>
                <w:rFonts w:ascii="Arial Narrow" w:eastAsia="Times New Roman" w:hAnsi="Arial Narrow" w:cs="Times New Roman"/>
                <w:color w:val="000000"/>
                <w:sz w:val="16"/>
                <w:szCs w:val="16"/>
                <w:lang w:val="es-ES_tradnl" w:eastAsia="es-ES"/>
              </w:rPr>
              <w:t xml:space="preserve"> aplica precedente jurisprudencial.</w:t>
            </w:r>
          </w:p>
        </w:tc>
        <w:tc>
          <w:tcPr>
            <w:tcW w:w="964" w:type="dxa"/>
            <w:vAlign w:val="center"/>
          </w:tcPr>
          <w:p w14:paraId="1BE86092" w14:textId="1383BF44" w:rsidR="00657BB8"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Prohíbe la impugnación si hubo consentimiento.</w:t>
            </w:r>
          </w:p>
        </w:tc>
        <w:tc>
          <w:tcPr>
            <w:tcW w:w="1021" w:type="dxa"/>
            <w:vAlign w:val="center"/>
          </w:tcPr>
          <w:p w14:paraId="3CCD7F15" w14:textId="331D4DBD" w:rsidR="00657BB8"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Prohíbe la impugnación por la pareja.</w:t>
            </w:r>
          </w:p>
        </w:tc>
        <w:tc>
          <w:tcPr>
            <w:tcW w:w="1134" w:type="dxa"/>
            <w:vAlign w:val="center"/>
          </w:tcPr>
          <w:p w14:paraId="32910B64" w14:textId="68D9CB4E" w:rsidR="00657BB8"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impide la acción de reclamación contra donantes.</w:t>
            </w:r>
          </w:p>
        </w:tc>
        <w:tc>
          <w:tcPr>
            <w:tcW w:w="1134" w:type="dxa"/>
            <w:noWrap/>
            <w:vAlign w:val="center"/>
          </w:tcPr>
          <w:p w14:paraId="016ECF1A" w14:textId="19A7F214" w:rsidR="00657BB8"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No procede la impugnación judicial</w:t>
            </w:r>
          </w:p>
        </w:tc>
      </w:tr>
      <w:tr w:rsidR="0057579C" w:rsidRPr="009E664A" w14:paraId="44710A65" w14:textId="77777777" w:rsidTr="00D66915">
        <w:trPr>
          <w:trHeight w:val="185"/>
          <w:jc w:val="center"/>
        </w:trPr>
        <w:tc>
          <w:tcPr>
            <w:tcW w:w="1205" w:type="dxa"/>
            <w:noWrap/>
            <w:vAlign w:val="center"/>
          </w:tcPr>
          <w:p w14:paraId="70CD22E4" w14:textId="46F6E592" w:rsidR="0057579C" w:rsidRPr="00657BB8" w:rsidRDefault="002F5B4B" w:rsidP="00B40A31">
            <w:pPr>
              <w:spacing w:after="0" w:line="240" w:lineRule="auto"/>
              <w:jc w:val="left"/>
              <w:rPr>
                <w:rFonts w:ascii="Arial Narrow" w:eastAsia="Times New Roman" w:hAnsi="Arial Narrow" w:cs="Times New Roman"/>
                <w:b/>
                <w:bCs/>
                <w:color w:val="000000"/>
                <w:sz w:val="16"/>
                <w:szCs w:val="16"/>
                <w:lang w:val="es-ES_tradnl" w:eastAsia="es-ES"/>
              </w:rPr>
            </w:pPr>
            <w:r w:rsidRPr="00657BB8">
              <w:rPr>
                <w:rFonts w:ascii="Arial Narrow" w:eastAsia="Times New Roman" w:hAnsi="Arial Narrow" w:cs="Times New Roman"/>
                <w:b/>
                <w:bCs/>
                <w:color w:val="000000"/>
                <w:sz w:val="16"/>
                <w:szCs w:val="16"/>
                <w:lang w:val="es-ES_tradnl" w:eastAsia="es-ES"/>
              </w:rPr>
              <w:t>Inaplicabilidad del examen de ADN</w:t>
            </w:r>
          </w:p>
        </w:tc>
        <w:tc>
          <w:tcPr>
            <w:tcW w:w="1058" w:type="dxa"/>
            <w:noWrap/>
            <w:vAlign w:val="center"/>
          </w:tcPr>
          <w:p w14:paraId="08C072FA" w14:textId="4A055F66" w:rsidR="0057579C"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Parcial,</w:t>
            </w:r>
            <w:r w:rsidR="00C4054C">
              <w:rPr>
                <w:rFonts w:ascii="Arial Narrow" w:eastAsia="Times New Roman" w:hAnsi="Arial Narrow" w:cs="Times New Roman"/>
                <w:color w:val="000000"/>
                <w:sz w:val="16"/>
                <w:szCs w:val="16"/>
                <w:lang w:val="es-ES_tradnl" w:eastAsia="es-ES"/>
              </w:rPr>
              <w:t xml:space="preserve"> inseguridad jurídica,</w:t>
            </w:r>
            <w:r>
              <w:rPr>
                <w:rFonts w:ascii="Arial Narrow" w:eastAsia="Times New Roman" w:hAnsi="Arial Narrow" w:cs="Times New Roman"/>
                <w:color w:val="000000"/>
                <w:sz w:val="16"/>
                <w:szCs w:val="16"/>
                <w:lang w:val="es-ES_tradnl" w:eastAsia="es-ES"/>
              </w:rPr>
              <w:t xml:space="preserve"> solo por precedente obligatorio de la CNJ en </w:t>
            </w:r>
            <w:proofErr w:type="spellStart"/>
            <w:r w:rsidR="00C4054C">
              <w:rPr>
                <w:rFonts w:ascii="Arial Narrow" w:eastAsia="Times New Roman" w:hAnsi="Arial Narrow" w:cs="Times New Roman"/>
                <w:color w:val="000000"/>
                <w:sz w:val="16"/>
                <w:szCs w:val="16"/>
                <w:lang w:val="es-ES_tradnl" w:eastAsia="es-ES"/>
              </w:rPr>
              <w:t>la</w:t>
            </w:r>
            <w:r>
              <w:rPr>
                <w:rFonts w:ascii="Arial Narrow" w:eastAsia="Times New Roman" w:hAnsi="Arial Narrow" w:cs="Times New Roman"/>
                <w:color w:val="000000"/>
                <w:sz w:val="16"/>
                <w:szCs w:val="16"/>
                <w:lang w:val="es-ES_tradnl" w:eastAsia="es-ES"/>
              </w:rPr>
              <w:t>nulidad</w:t>
            </w:r>
            <w:proofErr w:type="spellEnd"/>
            <w:r>
              <w:rPr>
                <w:rFonts w:ascii="Arial Narrow" w:eastAsia="Times New Roman" w:hAnsi="Arial Narrow" w:cs="Times New Roman"/>
                <w:color w:val="000000"/>
                <w:sz w:val="16"/>
                <w:szCs w:val="16"/>
                <w:lang w:val="es-ES_tradnl" w:eastAsia="es-ES"/>
              </w:rPr>
              <w:t xml:space="preserve"> del reconocimiento.</w:t>
            </w:r>
          </w:p>
        </w:tc>
        <w:tc>
          <w:tcPr>
            <w:tcW w:w="964" w:type="dxa"/>
            <w:vAlign w:val="center"/>
          </w:tcPr>
          <w:p w14:paraId="37C65073" w14:textId="5F7A9467" w:rsidR="0057579C"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no aplica presunciones consanguíneas</w:t>
            </w:r>
          </w:p>
        </w:tc>
        <w:tc>
          <w:tcPr>
            <w:tcW w:w="1021" w:type="dxa"/>
            <w:vAlign w:val="center"/>
          </w:tcPr>
          <w:p w14:paraId="5632E349" w14:textId="5F1EFDAA" w:rsidR="0057579C"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desvincula el nexo biológico con donantes</w:t>
            </w:r>
          </w:p>
        </w:tc>
        <w:tc>
          <w:tcPr>
            <w:tcW w:w="1134" w:type="dxa"/>
            <w:vAlign w:val="center"/>
          </w:tcPr>
          <w:p w14:paraId="693E79BE" w14:textId="39858DA4" w:rsidR="0057579C"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independiente de quien aporta los gametos.</w:t>
            </w:r>
          </w:p>
        </w:tc>
        <w:tc>
          <w:tcPr>
            <w:tcW w:w="1134" w:type="dxa"/>
            <w:noWrap/>
            <w:vAlign w:val="center"/>
          </w:tcPr>
          <w:p w14:paraId="66041DB2" w14:textId="74F6A89D" w:rsid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r>
              <w:rPr>
                <w:rFonts w:ascii="Arial Narrow" w:eastAsia="Times New Roman" w:hAnsi="Arial Narrow" w:cs="Times New Roman"/>
                <w:color w:val="000000"/>
                <w:sz w:val="16"/>
                <w:szCs w:val="16"/>
                <w:lang w:val="es-ES_tradnl" w:eastAsia="es-ES"/>
              </w:rPr>
              <w:t>Si, el donante no tiene vínculos biológicos ni derechos.</w:t>
            </w:r>
          </w:p>
          <w:p w14:paraId="5A0794E5" w14:textId="0F345741" w:rsidR="00EC17FD" w:rsidRPr="0057579C" w:rsidRDefault="00EC17FD" w:rsidP="00B40A31">
            <w:pPr>
              <w:spacing w:after="0" w:line="240" w:lineRule="auto"/>
              <w:jc w:val="left"/>
              <w:rPr>
                <w:rFonts w:ascii="Arial Narrow" w:eastAsia="Times New Roman" w:hAnsi="Arial Narrow" w:cs="Times New Roman"/>
                <w:color w:val="000000"/>
                <w:sz w:val="16"/>
                <w:szCs w:val="16"/>
                <w:lang w:val="es-ES_tradnl" w:eastAsia="es-ES"/>
              </w:rPr>
            </w:pPr>
          </w:p>
        </w:tc>
      </w:tr>
    </w:tbl>
    <w:p w14:paraId="5A54A854" w14:textId="19F5FB09" w:rsidR="00D0381D" w:rsidRDefault="00182667" w:rsidP="00C4054C">
      <w:pPr>
        <w:pStyle w:val="Fuente"/>
        <w:rPr>
          <w:lang w:eastAsia="es-ES"/>
        </w:rPr>
      </w:pPr>
      <w:r w:rsidRPr="003E66FB">
        <w:t xml:space="preserve">Fuente: </w:t>
      </w:r>
      <w:r>
        <w:t>elaboración propia</w:t>
      </w:r>
    </w:p>
    <w:p w14:paraId="1760C026" w14:textId="32871763" w:rsidR="004307D4" w:rsidRPr="00B40A31" w:rsidRDefault="00CE0F4B" w:rsidP="00B40A31">
      <w:pPr>
        <w:pStyle w:val="Ttulo1"/>
      </w:pPr>
      <w:r w:rsidRPr="00B40A31">
        <w:t>4</w:t>
      </w:r>
      <w:r w:rsidR="00721EBE" w:rsidRPr="00B40A31">
        <w:t xml:space="preserve">. </w:t>
      </w:r>
      <w:r w:rsidR="004307D4" w:rsidRPr="00B40A31">
        <w:t>resultados</w:t>
      </w:r>
    </w:p>
    <w:p w14:paraId="07D9CD90" w14:textId="77777777" w:rsidR="00C4054C" w:rsidRPr="00376793" w:rsidRDefault="00C4054C" w:rsidP="00B40A31">
      <w:pPr>
        <w:pStyle w:val="Ttulo2"/>
      </w:pPr>
      <w:r w:rsidRPr="00376793">
        <w:t>Fundamentos: protección a la familia, derechos reproductivos y derecho a la procreación</w:t>
      </w:r>
    </w:p>
    <w:p w14:paraId="32CEE0F2" w14:textId="087B10F7" w:rsidR="00C21A88" w:rsidRPr="00C21A88" w:rsidRDefault="00C21A88" w:rsidP="00C21A88">
      <w:pPr>
        <w:rPr>
          <w:rFonts w:cs="Times New Roman"/>
          <w:szCs w:val="23"/>
        </w:rPr>
      </w:pPr>
      <w:r w:rsidRPr="00C21A88">
        <w:rPr>
          <w:rFonts w:cs="Times New Roman"/>
          <w:szCs w:val="23"/>
        </w:rPr>
        <w:t xml:space="preserve">La familia “está integrada por personas que se hallan unidas por un afecto natural derivado de la relación de pareja, de la filiación y, en </w:t>
      </w:r>
      <w:r w:rsidRPr="00C21A88">
        <w:rPr>
          <w:rFonts w:cs="Times New Roman"/>
          <w:szCs w:val="23"/>
        </w:rPr>
        <w:lastRenderedPageBreak/>
        <w:t>última instancia, del parentesco consanguíneo y de afinidad” (Reyna, 2013). Desde el ordenamiento jurídico, es una institución regida por normas de orden público y núcleo fundamental de la sociedad, cuya protección corresponde al Estado, independientemente del tipo de familia y su fuente (Asamblea Nacional Constituyente, 2008). Entre los derechos de las personas o parejas se encuentra la libertad reproductiva y la facultad de decidir libremente cuándo y cuántos hijos tener, generando el vínculo filial entre padres e hijos, ya sea biológico, adoptivo o mediante técnicas de reproducción humana asistida (TRHA), además de la patria potestad (Asamblea Nacional Constituyente, 2008, Art. 66, n.10). Si la pareja no puede procrear, el Estado debe garantizar condiciones seguras para acceder a las TRHA.</w:t>
      </w:r>
    </w:p>
    <w:p w14:paraId="73F4748A" w14:textId="4E81DEA8" w:rsidR="00C4054C" w:rsidRPr="00F31E99" w:rsidRDefault="00C21A88" w:rsidP="00C21A88">
      <w:pPr>
        <w:rPr>
          <w:rFonts w:cs="Times New Roman"/>
          <w:szCs w:val="23"/>
        </w:rPr>
      </w:pPr>
      <w:r w:rsidRPr="00C21A88">
        <w:rPr>
          <w:rFonts w:cs="Times New Roman"/>
          <w:szCs w:val="23"/>
        </w:rPr>
        <w:t>La centralidad del ordenamiento jurídico se encuentra en los derechos fundamentales. Por ello, el vacío normativo sobre estos procedimientos y la forma de prestar el consentimiento genera inseguridad jurídica y desprotección familiar. De ahí la necesidad de revisar las legislaciones de Argentina, Uruguay, Cuba y España, que califican las TRHA como procedimientos o tratamientos médicos destinados a lograr el embarazo mediante la manipulación de gametos o embriones humanos, aplicables a parejas con impedimentos biológicos o a mujeres que no logran concebir, independientemente de su estado civil</w:t>
      </w:r>
      <w:r>
        <w:rPr>
          <w:rFonts w:cs="Times New Roman"/>
          <w:szCs w:val="23"/>
        </w:rPr>
        <w:t>.</w:t>
      </w:r>
    </w:p>
    <w:p w14:paraId="0427BE68" w14:textId="77777777" w:rsidR="00C4054C" w:rsidRPr="00F31E99" w:rsidRDefault="00C4054C" w:rsidP="00F31E99">
      <w:pPr>
        <w:rPr>
          <w:rFonts w:cs="Times New Roman"/>
          <w:szCs w:val="23"/>
        </w:rPr>
      </w:pPr>
      <w:r w:rsidRPr="00F31E99">
        <w:rPr>
          <w:rFonts w:cs="Times New Roman"/>
          <w:szCs w:val="23"/>
        </w:rPr>
        <w:t>En la Declaración y Plataforma de Acción de Beijing (DPAB) aprobada en la IV Conferencia Mundial de la Mujer en Beijing de la Organización de las Naciones Unidas (ONU) se define a los derechos reproductivos como:</w:t>
      </w:r>
    </w:p>
    <w:p w14:paraId="03C06165" w14:textId="6C223592" w:rsidR="00C4054C" w:rsidRPr="00F31E99" w:rsidRDefault="00C4054C" w:rsidP="00B40A31">
      <w:pPr>
        <w:pStyle w:val="Citalarga"/>
      </w:pPr>
      <w:r w:rsidRPr="00F31E99">
        <w:t xml:space="preserve">Esos derechos se basan </w:t>
      </w:r>
      <w:r w:rsidR="004858CB" w:rsidRPr="00F31E99">
        <w:t>en el</w:t>
      </w:r>
      <w:r w:rsidRPr="00F31E99">
        <w:t xml:space="preserve"> reconocimiento del derecho básico de todas las parejas e individuos a decidir libre y responsablemente el número de hijos, el espaciamiento de los nacimientos y el intervalo entre éstos y a disponer de la información y de los medios para ello y el derecho a alcanzar </w:t>
      </w:r>
      <w:r w:rsidR="004858CB" w:rsidRPr="00F31E99">
        <w:t>el nivel</w:t>
      </w:r>
      <w:r w:rsidRPr="00F31E99">
        <w:t xml:space="preserve"> más elevado de salud sexual y reproductiva. </w:t>
      </w:r>
      <w:sdt>
        <w:sdtPr>
          <w:id w:val="-904295250"/>
          <w:citation/>
        </w:sdtPr>
        <w:sdtContent>
          <w:r w:rsidRPr="00F31E99">
            <w:fldChar w:fldCharType="begin"/>
          </w:r>
          <w:r w:rsidRPr="00F31E99">
            <w:rPr>
              <w:lang w:val="es-MX"/>
            </w:rPr>
            <w:instrText xml:space="preserve">CITATION Org95 \p 65 \n  \t  \l 2058 </w:instrText>
          </w:r>
          <w:r w:rsidRPr="00F31E99">
            <w:fldChar w:fldCharType="separate"/>
          </w:r>
          <w:r w:rsidRPr="00F31E99">
            <w:rPr>
              <w:noProof/>
              <w:lang w:val="es-MX"/>
            </w:rPr>
            <w:t>(1995, pág. 65)</w:t>
          </w:r>
          <w:r w:rsidRPr="00F31E99">
            <w:fldChar w:fldCharType="end"/>
          </w:r>
        </w:sdtContent>
      </w:sdt>
    </w:p>
    <w:p w14:paraId="1178352B" w14:textId="02FC26C8" w:rsidR="00C21A88" w:rsidRPr="00C21A88" w:rsidRDefault="00C21A88" w:rsidP="00C21A88">
      <w:pPr>
        <w:rPr>
          <w:rFonts w:cs="Times New Roman"/>
          <w:szCs w:val="23"/>
        </w:rPr>
      </w:pPr>
      <w:r w:rsidRPr="00C21A88">
        <w:rPr>
          <w:rFonts w:cs="Times New Roman"/>
          <w:szCs w:val="23"/>
        </w:rPr>
        <w:t xml:space="preserve">Los derechos sexuales y reproductivos incluyen el acceso a información, educación, servicios, medios o instrumentos que permitan a las personas tomar decisiones al respecto (Turner, 2001). A criterio de Corral, el derecho a procrear debe entenderse como parte del derecho a la </w:t>
      </w:r>
      <w:r w:rsidRPr="00C21A88">
        <w:rPr>
          <w:rFonts w:cs="Times New Roman"/>
          <w:szCs w:val="23"/>
        </w:rPr>
        <w:lastRenderedPageBreak/>
        <w:t>vida y al desarrollo de la personalidad, limitado al contexto natural de la reproducción humana (Corral, 1992). Otros autores lo identifican como el derecho a tener un hijo, pero consideran que no forma parte de los derechos sexuales y reproductivos, debido a que la reproducción artificial no siempre tiene como resultado la procreación (Gafo, 1986; Vila-Coro, 1997). Sin embargo, la autora considera que el derecho a la procreación puede ejercerse de forma independiente y autónoma, en sus aspectos positivo y negativo; este estudio aborda el primero.</w:t>
      </w:r>
    </w:p>
    <w:p w14:paraId="4AAF3720" w14:textId="297B8724" w:rsidR="00C21A88" w:rsidRPr="00C21A88" w:rsidRDefault="00C21A88" w:rsidP="00C21A88">
      <w:pPr>
        <w:rPr>
          <w:rFonts w:cs="Times New Roman"/>
          <w:szCs w:val="23"/>
        </w:rPr>
      </w:pPr>
      <w:r w:rsidRPr="00C21A88">
        <w:rPr>
          <w:rFonts w:cs="Times New Roman"/>
          <w:szCs w:val="23"/>
        </w:rPr>
        <w:t>Asimismo, este derecho requiere tres propiedades: libertad, responsabilidad e información. Esta última comprende el deber del Estado de informar sobre métodos anticonceptivos cuando se decida no tener hijos o hacerlo en el momento oportuno (Carbonell, 2006). En este marco, la procreación se interrelaciona con otros derechos reproductivos reconocidos en la DPAB, pero no se garantiza plenamente a las familias homoparentales o heterosexuales infértiles ante la ausencia de regulación jurídica. Por ello, surge la discusión sobre cómo debe prestarse el consentimiento, considerando la duración de los procedimientos médicos desde su inicio hasta su finalización, incluso cuando no se obtenga el resultado esperado.</w:t>
      </w:r>
    </w:p>
    <w:p w14:paraId="306428F6" w14:textId="303983A1" w:rsidR="00C4054C" w:rsidRPr="00F31E99" w:rsidRDefault="00C21A88" w:rsidP="00C21A88">
      <w:pPr>
        <w:rPr>
          <w:rFonts w:cs="Times New Roman"/>
          <w:szCs w:val="23"/>
        </w:rPr>
      </w:pPr>
      <w:r w:rsidRPr="00C21A88">
        <w:rPr>
          <w:rFonts w:cs="Times New Roman"/>
          <w:szCs w:val="23"/>
        </w:rPr>
        <w:t>Conforme a lo examinado, el ordenamiento jurídico ecuatoriano reconoce las modalidades filiales biológica y adoptiva, pero desconoce la derivada de TRHA como ejercicio del derecho fundamental a procrear. En este contexto, la ausencia de regulación afecta los derechos reproductivos de las familias que no pueden concebir naturalmente, pone en riesgo la determinación de la filiación y el derecho a la identidad de los nacidos mediante estas técnicas, y afecta su interés superior. Actualmente, los jueces determinan discrecionalmente la validez del consentimiento prestado por la pareja y la aplicación de las presunciones de paternidad en vínculos formales como mecanismo de protección filial.</w:t>
      </w:r>
      <w:r w:rsidR="00C4054C" w:rsidRPr="00F31E99">
        <w:rPr>
          <w:rFonts w:cs="Times New Roman"/>
          <w:szCs w:val="23"/>
        </w:rPr>
        <w:t xml:space="preserve">  </w:t>
      </w:r>
    </w:p>
    <w:p w14:paraId="0D842908" w14:textId="23872F64" w:rsidR="00C4054C" w:rsidRPr="00F31E99" w:rsidRDefault="00C4054C" w:rsidP="00B40A31">
      <w:pPr>
        <w:pStyle w:val="Ttulo2"/>
      </w:pPr>
      <w:r w:rsidRPr="00F31E99">
        <w:t xml:space="preserve">El consentimiento en </w:t>
      </w:r>
      <w:r w:rsidR="00F31E99" w:rsidRPr="00F31E99">
        <w:t>la filiación por TRHA</w:t>
      </w:r>
    </w:p>
    <w:p w14:paraId="0C77519C" w14:textId="57EB2BDA" w:rsidR="00C21A88" w:rsidRPr="00C21A88" w:rsidRDefault="00C21A88" w:rsidP="00C21A88">
      <w:pPr>
        <w:rPr>
          <w:rFonts w:cs="Times New Roman"/>
          <w:bCs/>
          <w:szCs w:val="23"/>
        </w:rPr>
      </w:pPr>
      <w:r w:rsidRPr="00C21A88">
        <w:rPr>
          <w:rFonts w:cs="Times New Roman"/>
          <w:bCs/>
          <w:szCs w:val="23"/>
        </w:rPr>
        <w:t xml:space="preserve">El reconocimiento de la filiación derivada de TRHA ha sido estudiado por la doctrina como filiación asistida. A criterio de Gil Domínguez, el vínculo filial se determina por la voluntad </w:t>
      </w:r>
      <w:proofErr w:type="spellStart"/>
      <w:r w:rsidRPr="00C21A88">
        <w:rPr>
          <w:rFonts w:cs="Times New Roman"/>
          <w:bCs/>
          <w:szCs w:val="23"/>
        </w:rPr>
        <w:t>procreacional</w:t>
      </w:r>
      <w:proofErr w:type="spellEnd"/>
      <w:r w:rsidRPr="00C21A88">
        <w:rPr>
          <w:rFonts w:cs="Times New Roman"/>
          <w:bCs/>
          <w:szCs w:val="23"/>
        </w:rPr>
        <w:t xml:space="preserve"> y no por lo </w:t>
      </w:r>
      <w:r w:rsidRPr="00C21A88">
        <w:rPr>
          <w:rFonts w:cs="Times New Roman"/>
          <w:bCs/>
          <w:szCs w:val="23"/>
        </w:rPr>
        <w:lastRenderedPageBreak/>
        <w:t>genético, fundamentada en el consentimiento prestado para los procedimientos reproductivos (2015). Aunque Ecuador no ha reconocido esta modalidad, el Código Civil regula la filiación por la concepción del hijo dentro del matrimonio o unión de hecho legalmente reconocida, por reconocimiento voluntario del padre o madre cuando no existe matrimonio y por declaración judicial (Congreso Nacional, 2005, Art. 24).</w:t>
      </w:r>
    </w:p>
    <w:p w14:paraId="224AF8D9" w14:textId="73FE2ADA" w:rsidR="00C21A88" w:rsidRPr="00C21A88" w:rsidRDefault="00C21A88" w:rsidP="00C21A88">
      <w:pPr>
        <w:rPr>
          <w:rFonts w:cs="Times New Roman"/>
          <w:bCs/>
          <w:szCs w:val="23"/>
        </w:rPr>
      </w:pPr>
      <w:r w:rsidRPr="00C21A88">
        <w:rPr>
          <w:rFonts w:cs="Times New Roman"/>
          <w:bCs/>
          <w:szCs w:val="23"/>
        </w:rPr>
        <w:t>Se examinará el primer caso, es decir, la concepción como hecho determinante de la filiación dentro del matrimonio o unión de hecho legalmente reconocida. En consecuencia, debe establecerse cuándo ocurre la concepción en parejas infértiles o del mismo sexo. Al no existir un concepto jurídico, debe interpretarse en su sentido natural y obvio, como la fecundación del óvulo por el espermatozoide para formar un cigoto viable.</w:t>
      </w:r>
    </w:p>
    <w:p w14:paraId="0287ED4F" w14:textId="78BED32B" w:rsidR="00C21A88" w:rsidRPr="00C21A88" w:rsidRDefault="00C21A88" w:rsidP="00C21A88">
      <w:pPr>
        <w:rPr>
          <w:rFonts w:cs="Times New Roman"/>
          <w:bCs/>
          <w:szCs w:val="23"/>
        </w:rPr>
      </w:pPr>
      <w:r w:rsidRPr="00C21A88">
        <w:rPr>
          <w:rFonts w:cs="Times New Roman"/>
          <w:bCs/>
          <w:szCs w:val="23"/>
        </w:rPr>
        <w:t>La medicina reproductiva sostiene que “Biológicamente, no existe diferencias significativas entre un embarazo conseguido por reproducción asistida y uno natural, ya que el desarrollo del embrión y su implantación son iguales” (García, 2025). Sin embargo, cuando interviene la ciencia se requiere un procedimiento previo que jurídicamente debe analizarse, especialmente respecto del consentimiento de la pareja. La presunción legal de paternidad puede ser impugnada mediante la prueba comparativa de patrones de bandas o secuencias de ácido desoxirribonucleico (ADN) (Congreso Nacional, 2005, Arts. 233 y 246), afectando el derecho a la identidad y el interés superior de los hijos concebidos por TRHA.</w:t>
      </w:r>
    </w:p>
    <w:p w14:paraId="426AD8AB" w14:textId="33F84E93" w:rsidR="00C21A88" w:rsidRPr="00C21A88" w:rsidRDefault="00C21A88" w:rsidP="00C21A88">
      <w:pPr>
        <w:rPr>
          <w:rFonts w:cs="Times New Roman"/>
          <w:bCs/>
          <w:szCs w:val="23"/>
        </w:rPr>
      </w:pPr>
      <w:r w:rsidRPr="00C21A88">
        <w:rPr>
          <w:rFonts w:cs="Times New Roman"/>
          <w:bCs/>
          <w:szCs w:val="23"/>
        </w:rPr>
        <w:t>En tal virtud, la voluntad debe ser expresa y el consentimiento no debe estar viciado por error, fuerza o dolo, además de ser conjunto, libre e informado sobre el procedimiento, su duración, protocolos y riesgos. La voluntad de procrear así exteriorizada debe surtir plenos efectos jurídicos a favor de los hijos, aunque no exista vínculo biológico. Ante la ausencia normativa, estos protocolos han sido establecidos por las clínicas de fertilidad, algunas bajo estándares internacionales y otras al margen de las autoridades, poniendo en riesgo los vínculos filiales y parentales de los nacidos mediante estas técnicas.</w:t>
      </w:r>
    </w:p>
    <w:p w14:paraId="5F97D579" w14:textId="77777777" w:rsidR="004858CB" w:rsidRDefault="00C21A88" w:rsidP="00C21A88">
      <w:pPr>
        <w:rPr>
          <w:rFonts w:cs="Times New Roman"/>
          <w:bCs/>
          <w:szCs w:val="23"/>
        </w:rPr>
      </w:pPr>
      <w:r w:rsidRPr="00C21A88">
        <w:rPr>
          <w:rFonts w:cs="Times New Roman"/>
          <w:bCs/>
          <w:szCs w:val="23"/>
        </w:rPr>
        <w:lastRenderedPageBreak/>
        <w:t>En Ecuador, la Red Latinoamericana de Reproducción Asistida (REDLARA) estableció formularios de consentimiento informado y distinguió entre el consentimiento para el destino de los gametos y el destinado al procedimiento de TRHA, cuya revocatoria puede efectuarse antes del uso del material biológico (Red Latinoamericana de Reproducción Asistida, 2010). En Europa, estos estándares se encuentran en el Convenio de Oviedo y su Protocolo relativo a la investigación biomédica. El artículo 5 dispone que toda intervención en salud debe ser libre e informada respecto de su naturaleza, finalidad, riesgos y alternativas. Países como Italia, Francia y España regulan estos estándares de forma más específica, estableciendo límites temporales para la revocación antes de la utilización del gameto (Consejo de Europa, 1997).</w:t>
      </w:r>
    </w:p>
    <w:p w14:paraId="56C3D830" w14:textId="5EE57406" w:rsidR="00F31E99" w:rsidRPr="00F31E99" w:rsidRDefault="004858CB" w:rsidP="00C21A88">
      <w:pPr>
        <w:rPr>
          <w:rFonts w:cs="Times New Roman"/>
          <w:bCs/>
          <w:szCs w:val="23"/>
        </w:rPr>
      </w:pPr>
      <w:r>
        <w:rPr>
          <w:rFonts w:cs="Times New Roman"/>
          <w:bCs/>
          <w:szCs w:val="23"/>
        </w:rPr>
        <w:t>L</w:t>
      </w:r>
      <w:r w:rsidR="00C21A88" w:rsidRPr="00C21A88">
        <w:rPr>
          <w:rFonts w:cs="Times New Roman"/>
          <w:bCs/>
          <w:szCs w:val="23"/>
        </w:rPr>
        <w:t>a Ley Orgánica de Gestión de Identidad y Datos Civiles no contempla la identidad derivada de TRHA; sin embargo, la Sentencia No. 184-18-SEP-CC de la Corte Constitucional reconoció la doble filiación materna en el caso de la hija de una pareja de mujeres. Asimismo, la Ley Orgánica de la Salud regula el consentimiento informado, por escrito o mediante otro medio, como ejercicio de la autonomía de la voluntad y establece que, en la planificación familiar, la decisión debe ser “libre, voluntaria, responsable, autónoma, sin coerción, violencia ni discriminación sobre el número de hijos que puedan procrear” (Asamblea Nacional, 2023, Art. 23).</w:t>
      </w:r>
    </w:p>
    <w:p w14:paraId="12AAC685" w14:textId="77777777" w:rsidR="00C4054C" w:rsidRPr="00C4054C" w:rsidRDefault="00C4054C" w:rsidP="00B40A31">
      <w:pPr>
        <w:pStyle w:val="Ttulo2"/>
      </w:pPr>
      <w:r w:rsidRPr="00C4054C">
        <w:t>Desarrollo normativo en otros países</w:t>
      </w:r>
    </w:p>
    <w:p w14:paraId="256330CA" w14:textId="0A19B119" w:rsidR="00C21A88" w:rsidRPr="00C21A88" w:rsidRDefault="00C21A88" w:rsidP="00C21A88">
      <w:pPr>
        <w:rPr>
          <w:rFonts w:cs="Times New Roman"/>
          <w:szCs w:val="23"/>
        </w:rPr>
      </w:pPr>
      <w:r w:rsidRPr="00C21A88">
        <w:rPr>
          <w:rFonts w:cs="Times New Roman"/>
          <w:szCs w:val="23"/>
        </w:rPr>
        <w:t xml:space="preserve">El desarrollo normativo de las TRHA en algunos países ha sido robusto, por ello, se revisará la legislación de Argentina, Uruguay, Cuba y España. En Argentina, el Código Civil y Comercial de la Nación (2014) y la Ley 26.862 de Acceso Integral a la Reproducción Médicamente Asistida (2013) reconocen que la filiación y el parentesco pueden tener como origen las TRHA. Respecto al consentimiento, establecen que debe ser previo, libre e informado y renovarse cada vez que se utilicen gametos o embriones, independientemente de quien los haya aportado. La doctrina identifica esta renovación como ratificación de la voluntad o intención </w:t>
      </w:r>
      <w:proofErr w:type="spellStart"/>
      <w:r w:rsidRPr="00C21A88">
        <w:rPr>
          <w:rFonts w:cs="Times New Roman"/>
          <w:szCs w:val="23"/>
        </w:rPr>
        <w:t>procreacional</w:t>
      </w:r>
      <w:proofErr w:type="spellEnd"/>
      <w:r w:rsidRPr="00C21A88">
        <w:rPr>
          <w:rFonts w:cs="Times New Roman"/>
          <w:szCs w:val="23"/>
        </w:rPr>
        <w:t xml:space="preserve">, lo que implica que el consentimiento inicial tiene carácter temporal. Además, la presunción de paternidad no aplica </w:t>
      </w:r>
      <w:r w:rsidRPr="00C21A88">
        <w:rPr>
          <w:rFonts w:cs="Times New Roman"/>
          <w:szCs w:val="23"/>
        </w:rPr>
        <w:lastRenderedPageBreak/>
        <w:t>cuando el consentimiento no cumple los requisitos legales, por lo que tampoco procede la acción de negación del vínculo filial (Congreso de la Nación Argentina, 2014).</w:t>
      </w:r>
    </w:p>
    <w:p w14:paraId="44FDD723" w14:textId="16ABBA64" w:rsidR="00C21A88" w:rsidRPr="00C21A88" w:rsidRDefault="00C21A88" w:rsidP="00C21A88">
      <w:pPr>
        <w:rPr>
          <w:rFonts w:cs="Times New Roman"/>
          <w:szCs w:val="23"/>
        </w:rPr>
      </w:pPr>
      <w:r w:rsidRPr="00C21A88">
        <w:rPr>
          <w:rFonts w:cs="Times New Roman"/>
          <w:szCs w:val="23"/>
        </w:rPr>
        <w:t xml:space="preserve">En Uruguay, la Ley 19.167 (2013) regula el marco jurídico y médico, el acceso a los tratamientos y protege la voluntad </w:t>
      </w:r>
      <w:proofErr w:type="spellStart"/>
      <w:r w:rsidRPr="00C21A88">
        <w:rPr>
          <w:rFonts w:cs="Times New Roman"/>
          <w:szCs w:val="23"/>
        </w:rPr>
        <w:t>procreacional</w:t>
      </w:r>
      <w:proofErr w:type="spellEnd"/>
      <w:r w:rsidRPr="00C21A88">
        <w:rPr>
          <w:rFonts w:cs="Times New Roman"/>
          <w:szCs w:val="23"/>
        </w:rPr>
        <w:t xml:space="preserve"> sin discriminación por orientación sexual o estado civil. El consentimiento para establecer la filiación por TRHA debe ser previo, libre, informado y escrito; en las parejas deben consentir ambos, pudiendo revocarlo antes de la fecundación o inseminación. Asimismo, el consentimiento inicial debe ser ratificado expresamente al momento de la fecundación o inseminación. Cuando cumple estos requisitos, produce plenos efectos jurídicos y no procede la impugnación de la filiación por parte de uno de los miembros de la pareja (Uruguay. Poder Legislativo, 2013).</w:t>
      </w:r>
    </w:p>
    <w:p w14:paraId="79AE27B7" w14:textId="77777777" w:rsidR="00C21A88" w:rsidRDefault="00C21A88" w:rsidP="00C21A88">
      <w:pPr>
        <w:rPr>
          <w:rFonts w:cs="Times New Roman"/>
          <w:szCs w:val="23"/>
        </w:rPr>
      </w:pPr>
      <w:r w:rsidRPr="00C21A88">
        <w:rPr>
          <w:rFonts w:cs="Times New Roman"/>
          <w:szCs w:val="23"/>
        </w:rPr>
        <w:t xml:space="preserve">En Cuba, el Código de las Familias (2022) y la Resolución 1151/2022 del Ministerio de Salud Pública regulan las TRHA y reconocen su acceso universal sin discriminación, incorporando la filiación asistida basada en la voluntad expresa de construir la maternidad o paternidad mediante estas técnicas. Se establece una edad mínima de 20 años y máxima de 45 para mujeres y 55 para hombres, límites que, a criterio de la autora, se justifican por los riesgos para la salud de la pareja y del nacido. El consentimiento constituye el fundamento de validez jurídica del procedimiento y debe expresar de forma inequívoca el deseo de ser padre o madre, ser libre, expreso e informado y formalizarse ante notario público (Cuba. Asamblea Nacional del Poder Popular, 2022). </w:t>
      </w:r>
    </w:p>
    <w:p w14:paraId="01CBEBC4" w14:textId="01A4EDB5" w:rsidR="00C21A88" w:rsidRPr="00C21A88" w:rsidRDefault="00C21A88" w:rsidP="00C21A88">
      <w:pPr>
        <w:rPr>
          <w:rFonts w:cs="Times New Roman"/>
          <w:szCs w:val="23"/>
        </w:rPr>
      </w:pPr>
      <w:r w:rsidRPr="00C21A88">
        <w:rPr>
          <w:rFonts w:cs="Times New Roman"/>
          <w:szCs w:val="23"/>
        </w:rPr>
        <w:t>Tanto Uruguay como Cuba disponen que el consentimiento puede revocarse antes de la inseminación o transferencia del embrión y que, cuando cumple las formalidades legales, constituye el fundamento de la filiación asistida, independientemente de quién haya aportado los gametos. El donante no adquiere derechos ni obligaciones ni puede ejercer acciones de reclamación de paternidad o reconocimiento de filiación. Asimismo, regulan excepcionalmente la filiación posterior al fallecimiento de la pareja, siempre que el causante haya expresado previamente su consentimiento de forma específica y por escrito (Cuba. Asamblea Nacional del Poder Popular, 2022).</w:t>
      </w:r>
    </w:p>
    <w:p w14:paraId="0120A420" w14:textId="665FBB65" w:rsidR="00C21A88" w:rsidRPr="00C21A88" w:rsidRDefault="00C21A88" w:rsidP="00C21A88">
      <w:pPr>
        <w:rPr>
          <w:rFonts w:cs="Times New Roman"/>
          <w:szCs w:val="23"/>
        </w:rPr>
      </w:pPr>
      <w:r w:rsidRPr="00C21A88">
        <w:rPr>
          <w:rFonts w:cs="Times New Roman"/>
          <w:szCs w:val="23"/>
        </w:rPr>
        <w:lastRenderedPageBreak/>
        <w:t>En España, la Ley 14/2006 regula las TRHA y exige que el consentimiento sea previo, escrito, libre, consciente y expreso de la mujer receptora y, si está casada con un hombre, también de este (España. Jefatura del Estado, 2006). Posteriormente, la Ley 3/2007 permitió que, en parejas de mujeres casadas, la madre no gestante solicite la doble filiación matrimonial mediante su consentimiento ante el Registro Civil (España. Jefatura del Estado, 2007). Cuando se cumplen los requisitos, no procede la impugnación judicial de la filiación y el donante no adquiere vínculo con el nacido. También se permite la filiación paterna post mortem cuando existe consentimiento previo para utilizar el semen dentro de los 12 meses siguientes al fallecimiento. En cuanto a la gestación por sustitución, se establece su nulidad de pleno derecho y que el parto determina la filiación (España. Jefatura del Estado, 2006).</w:t>
      </w:r>
    </w:p>
    <w:p w14:paraId="46B0D01F" w14:textId="5F7353B9" w:rsidR="00B75022" w:rsidRPr="00B75022" w:rsidRDefault="00C21A88" w:rsidP="00C21A88">
      <w:pPr>
        <w:rPr>
          <w:rFonts w:cs="Times New Roman"/>
          <w:szCs w:val="23"/>
        </w:rPr>
      </w:pPr>
      <w:r w:rsidRPr="00C21A88">
        <w:rPr>
          <w:rFonts w:cs="Times New Roman"/>
          <w:szCs w:val="23"/>
        </w:rPr>
        <w:t xml:space="preserve">Conforme al análisis de las legislaciones vigentes en Argentina, Uruguay, Cuba y España, se observan coincidencias en los requisitos del consentimiento para determinar la filiación derivada de TRHA. Por ello, la autora considera que el consentimiento de la persona receptora o de la pareja debe otorgarse por escrito mediante escritura pública notarial, ser previo, libre e informado y expresar claramente la voluntad de ser padre o madre. La falta de algún requisito podría convalidarse mediante escritura pública posterior a la fecundación, inseminación o nacimiento. Asimismo, el consentimiento que cumpla estas condiciones debe producir plenos efectos jurídicos e impedir expresamente la impugnación de la filiación asistida o por voluntad </w:t>
      </w:r>
      <w:proofErr w:type="spellStart"/>
      <w:r w:rsidRPr="00C21A88">
        <w:rPr>
          <w:rFonts w:cs="Times New Roman"/>
          <w:szCs w:val="23"/>
        </w:rPr>
        <w:t>procreacional</w:t>
      </w:r>
      <w:proofErr w:type="spellEnd"/>
      <w:r w:rsidRPr="00C21A88">
        <w:rPr>
          <w:rFonts w:cs="Times New Roman"/>
          <w:szCs w:val="23"/>
        </w:rPr>
        <w:t>, protegiendo así el interés superior de los nacidos mediante estas técnicas.</w:t>
      </w:r>
    </w:p>
    <w:p w14:paraId="6907C6D5" w14:textId="77777777" w:rsidR="00651EC9" w:rsidRPr="00651EC9" w:rsidRDefault="00651EC9" w:rsidP="00B40A31">
      <w:pPr>
        <w:pStyle w:val="Ttulo2"/>
      </w:pPr>
      <w:r w:rsidRPr="00651EC9">
        <w:t>Aportes jurisprudenciales relevantes en Ecuador</w:t>
      </w:r>
    </w:p>
    <w:p w14:paraId="56DC3CE6" w14:textId="77777777" w:rsidR="000D47A5" w:rsidRPr="000D47A5" w:rsidRDefault="000D47A5" w:rsidP="000D47A5">
      <w:pPr>
        <w:rPr>
          <w:rFonts w:cs="Times New Roman"/>
          <w:bCs/>
          <w:szCs w:val="23"/>
        </w:rPr>
      </w:pPr>
      <w:r w:rsidRPr="000D47A5">
        <w:rPr>
          <w:rFonts w:cs="Times New Roman"/>
          <w:bCs/>
          <w:szCs w:val="23"/>
        </w:rPr>
        <w:t>La revisión normativa de los países con mayor regulación de la filiación por TRHA requiere examinar los precedentes jurisprudenciales en Ecuador, que orientan las decisiones de los operadores de justicia ante la laguna normativa existente. Aunque la jurisprudencia de la Corte Nacional de Justicia y la Corte Constitucional es escasa, constituye una base para unificar criterios jurídicos en casos concretos.</w:t>
      </w:r>
    </w:p>
    <w:p w14:paraId="54EE395C" w14:textId="06E684B5" w:rsidR="00911A78" w:rsidRPr="00911A78" w:rsidRDefault="000D47A5" w:rsidP="000D47A5">
      <w:pPr>
        <w:rPr>
          <w:rFonts w:cs="Times New Roman"/>
          <w:bCs/>
          <w:szCs w:val="23"/>
        </w:rPr>
      </w:pPr>
      <w:r w:rsidRPr="000D47A5">
        <w:rPr>
          <w:rFonts w:cs="Times New Roman"/>
          <w:bCs/>
          <w:szCs w:val="23"/>
        </w:rPr>
        <w:t xml:space="preserve">Un primer aporte corresponde a la Resolución 05-2014 de la Corte Nacional de Justicia, publicada en el Registro Oficial No. 346 del 2 de </w:t>
      </w:r>
      <w:r w:rsidRPr="000D47A5">
        <w:rPr>
          <w:rFonts w:cs="Times New Roman"/>
          <w:bCs/>
          <w:szCs w:val="23"/>
        </w:rPr>
        <w:lastRenderedPageBreak/>
        <w:t>octubre de 2014, emitida a partir de tres fallos de triple reiteración sobre la determinación de la paternidad, maternidad y filiación: 1) Resolución No. 036-2014, Juicio ordinario No. 102-2013 (Recurso de Hecho); 2) Resolución No. 049-2014, Juicio ordinario No. 210-2013 (Recurso de Casación); y 3) Resolución No. 71-2014, Juicio ordinario No. 083-2013 (Recurso de Casación). La Sala Especializada de la Familia, Niñez, Adolescencia y Adolescentes Infractores estableció como criterio relevante que el reconocimiento puede ser impugnado por la falta de requisitos esenciales, entre ellos el consentimiento libre de vicios, capacidad legal, objeto y causa lícita.</w:t>
      </w:r>
    </w:p>
    <w:p w14:paraId="521B6034" w14:textId="249B8665" w:rsidR="00911A78" w:rsidRPr="00911A78" w:rsidRDefault="00911A78" w:rsidP="00911A78">
      <w:pPr>
        <w:rPr>
          <w:rFonts w:cs="Times New Roman"/>
          <w:szCs w:val="23"/>
        </w:rPr>
      </w:pPr>
      <w:r w:rsidRPr="00911A78">
        <w:rPr>
          <w:rFonts w:cs="Times New Roman"/>
          <w:bCs/>
          <w:szCs w:val="23"/>
        </w:rPr>
        <w:t>Consecuentemente</w:t>
      </w:r>
      <w:r w:rsidR="007A4971">
        <w:rPr>
          <w:rFonts w:cs="Times New Roman"/>
          <w:bCs/>
          <w:szCs w:val="23"/>
        </w:rPr>
        <w:t xml:space="preserve"> la </w:t>
      </w:r>
      <w:r w:rsidR="00D66915">
        <w:rPr>
          <w:rFonts w:cs="Times New Roman"/>
          <w:bCs/>
          <w:szCs w:val="23"/>
        </w:rPr>
        <w:t xml:space="preserve">Corte </w:t>
      </w:r>
      <w:r w:rsidR="00D66915" w:rsidRPr="00911A78">
        <w:rPr>
          <w:rFonts w:cs="Times New Roman"/>
          <w:bCs/>
          <w:szCs w:val="23"/>
        </w:rPr>
        <w:t>resolvió</w:t>
      </w:r>
      <w:r w:rsidRPr="00911A78">
        <w:rPr>
          <w:rFonts w:cs="Times New Roman"/>
          <w:bCs/>
          <w:szCs w:val="23"/>
        </w:rPr>
        <w:t xml:space="preserve"> aprobar el informe </w:t>
      </w:r>
      <w:r w:rsidR="00D66915" w:rsidRPr="00911A78">
        <w:rPr>
          <w:rFonts w:cs="Times New Roman"/>
          <w:bCs/>
          <w:szCs w:val="23"/>
        </w:rPr>
        <w:t>estableciendo como</w:t>
      </w:r>
      <w:r w:rsidRPr="00911A78">
        <w:rPr>
          <w:rFonts w:cs="Times New Roman"/>
          <w:bCs/>
          <w:szCs w:val="23"/>
        </w:rPr>
        <w:t xml:space="preserve"> </w:t>
      </w:r>
      <w:r w:rsidRPr="00911A78">
        <w:rPr>
          <w:rFonts w:cs="Times New Roman"/>
          <w:szCs w:val="23"/>
        </w:rPr>
        <w:t xml:space="preserve">precedente obligatorio jurisprudencial, por la triple reiteración de fallos, </w:t>
      </w:r>
      <w:r w:rsidR="007A4971">
        <w:rPr>
          <w:rFonts w:cs="Times New Roman"/>
          <w:szCs w:val="23"/>
        </w:rPr>
        <w:t>al</w:t>
      </w:r>
      <w:r w:rsidRPr="00911A78">
        <w:rPr>
          <w:rFonts w:cs="Times New Roman"/>
          <w:szCs w:val="23"/>
        </w:rPr>
        <w:t xml:space="preserve"> existir el siguiente punto de derecho coincidente:</w:t>
      </w:r>
    </w:p>
    <w:p w14:paraId="7F46864D" w14:textId="502C634B" w:rsidR="00911A78" w:rsidRPr="00911A78" w:rsidRDefault="00911A78" w:rsidP="00B40A31">
      <w:pPr>
        <w:pStyle w:val="Citalarga"/>
      </w:pPr>
      <w:r w:rsidRPr="00911A78">
        <w:t xml:space="preserve">(…) </w:t>
      </w:r>
      <w:r w:rsidR="00D66915" w:rsidRPr="00911A78">
        <w:t>PRIMERO. -</w:t>
      </w:r>
      <w:r w:rsidRPr="00911A78">
        <w:t xml:space="preserve"> El reconocimiento voluntario de hijos e hijas tiene el carácter de irrevocable. </w:t>
      </w:r>
    </w:p>
    <w:p w14:paraId="4F9B28E4" w14:textId="77777777" w:rsidR="00911A78" w:rsidRPr="00911A78" w:rsidRDefault="00911A78" w:rsidP="00B40A31">
      <w:pPr>
        <w:pStyle w:val="Citalarga"/>
      </w:pPr>
      <w:r w:rsidRPr="00911A78">
        <w:t>SEGUNDO.- El legitimado activo del juicio de impugnación de reconocimiento es el hijo/a y/o cualquier persona que demuestre interés actual en ello, excepto el reconociente, quien solo puede impugnar el acto del reconocimiento por vía de nulidad del acto, acción que ha de prosperar, en tanto logre demostrar que, al momento de otorgarlo, no se ha verificado la concurrencia de los requisitos indispensables para su validez; la ausencia de vínculo consanguíneo con el reconocido a través de la práctica del examen de ADN, no constituye prueba para el juicio de impugnación de reconocimiento, en que no se discute la verdad biológica. (2014, p. 9)</w:t>
      </w:r>
    </w:p>
    <w:p w14:paraId="718B7D1C" w14:textId="639F9AD3" w:rsidR="000D47A5" w:rsidRPr="000D47A5" w:rsidRDefault="000D47A5" w:rsidP="000D47A5">
      <w:pPr>
        <w:rPr>
          <w:rFonts w:cs="Times New Roman"/>
          <w:szCs w:val="23"/>
        </w:rPr>
      </w:pPr>
      <w:r w:rsidRPr="000D47A5">
        <w:rPr>
          <w:rFonts w:cs="Times New Roman"/>
          <w:szCs w:val="23"/>
        </w:rPr>
        <w:t>Este precedente protege la filiación derivada del reconocimiento voluntario de paternidad o maternidad, que puede tener origen en las TRHA, e impide que quien realizó el reconocimiento pueda impugnarlo, salvo que solicite su nulidad demostrando la falta de requisitos de validez. Por tanto, la prueba de ADN que evidencie la ausencia de vínculo de consanguinidad resulta irrelevante, pues el vínculo biológico no constituye el objeto de discusión.</w:t>
      </w:r>
    </w:p>
    <w:p w14:paraId="5AE64C71" w14:textId="7D37E02A" w:rsidR="00651EC9" w:rsidRPr="00651EC9" w:rsidRDefault="000D47A5" w:rsidP="000D47A5">
      <w:pPr>
        <w:rPr>
          <w:rFonts w:cs="Times New Roman"/>
          <w:szCs w:val="23"/>
        </w:rPr>
      </w:pPr>
      <w:r w:rsidRPr="000D47A5">
        <w:rPr>
          <w:rFonts w:cs="Times New Roman"/>
          <w:szCs w:val="23"/>
        </w:rPr>
        <w:t xml:space="preserve">Posteriormente, la Corte Constitucional del Ecuador (CCE), mediante la Sentencia 184-18-SEP-CC, caso Satya, estableció que la filiación no se determina únicamente por el vínculo biológico, sino también por la voluntad de ser padre o madre. Al negar la doble filiación materna de </w:t>
      </w:r>
      <w:r w:rsidRPr="000D47A5">
        <w:rPr>
          <w:rFonts w:cs="Times New Roman"/>
          <w:szCs w:val="23"/>
        </w:rPr>
        <w:lastRenderedPageBreak/>
        <w:t>la niña, hija de una pareja de mujeres con unión de hecho reconocida legalmente, se vulneraron varios derechos, entre ellos el derecho a la identidad.</w:t>
      </w:r>
    </w:p>
    <w:p w14:paraId="740C7DA7" w14:textId="45BFE6AC" w:rsidR="00CE0F4B" w:rsidRPr="00B40A31" w:rsidRDefault="002A43CD" w:rsidP="00B40A31">
      <w:pPr>
        <w:pStyle w:val="Ttulo1"/>
      </w:pPr>
      <w:r w:rsidRPr="00B40A31">
        <w:t xml:space="preserve">5. </w:t>
      </w:r>
      <w:r w:rsidR="00CE0F4B" w:rsidRPr="00B40A31">
        <w:t>discusión</w:t>
      </w:r>
    </w:p>
    <w:p w14:paraId="7051FBD4" w14:textId="2AB186D1" w:rsidR="000D47A5" w:rsidRDefault="000D47A5" w:rsidP="000D47A5">
      <w:r>
        <w:t>La familia es una institución jurídica fundamental en la sociedad, por lo que el Estado debe garantizar sus fines mediante normas claras y expresas, así como políticas y acciones públicas orientadas a su protección. En este contexto, las reformas sobre la unión de hecho y el matrimonio igualitario, junto con los problemas de infertilidad, exigen asegurar el acceso a las TRHA en condiciones adecuadas y sin riesgos, garantizando el derecho a decidir libremente cuándo y cuántos hijos tener.</w:t>
      </w:r>
    </w:p>
    <w:p w14:paraId="184FDC08" w14:textId="778DC2FC" w:rsidR="000D47A5" w:rsidRDefault="000D47A5" w:rsidP="000D47A5">
      <w:r>
        <w:t xml:space="preserve">Lo anterior evidencia la necesidad de reconocer una nueva fuente filial derivada de las TRHA, superando la concepción tradicional que vincula la verdad biológica con la jurídica. La doctrina reconoce que la voluntad </w:t>
      </w:r>
      <w:proofErr w:type="spellStart"/>
      <w:r>
        <w:t>procreacional</w:t>
      </w:r>
      <w:proofErr w:type="spellEnd"/>
      <w:r>
        <w:t xml:space="preserve"> desplaza lo biológico hacia la intención de ser padre o madre. Sin embargo, la ausencia de regulación genera tensiones frente a la impugnación de paternidad o maternidad mediante pruebas de ADN, lo que puede vulnerar el derecho a la identidad y el interés superior del niño al permitir la desvinculación del progenitor que prestó su consentimiento.</w:t>
      </w:r>
    </w:p>
    <w:p w14:paraId="30CD5B5E" w14:textId="147E2D31" w:rsidR="000D47A5" w:rsidRDefault="000D47A5" w:rsidP="000D47A5">
      <w:r>
        <w:t xml:space="preserve">Actualmente, el consentimiento en las TRHA se rige por las reglas de los actos jurídicos, debiendo ser libre, voluntario y no estar viciado. La Ley Orgánica de Salud y el Convenio de Oviedo regulan el consentimiento informado médico para proteger la integridad y autonomía del paciente. Por su parte, la doctrina y el derecho comparado identifican el consentimiento </w:t>
      </w:r>
      <w:proofErr w:type="spellStart"/>
      <w:r>
        <w:t>procreacional</w:t>
      </w:r>
      <w:proofErr w:type="spellEnd"/>
      <w:r>
        <w:t xml:space="preserve"> como un acto jurídico constitutivo del estado civil, destinado a generar derechos y obligaciones derivados de la filiación asistida.</w:t>
      </w:r>
    </w:p>
    <w:p w14:paraId="44967074" w14:textId="47987D27" w:rsidR="000D47A5" w:rsidRDefault="000D47A5" w:rsidP="000D47A5">
      <w:r>
        <w:t xml:space="preserve">El análisis de Argentina, Uruguay, Cuba y España evidencia coincidencias en los requisitos del consentimiento: debe ser previo, libre, informado y expresar de forma escrita la voluntad </w:t>
      </w:r>
      <w:proofErr w:type="spellStart"/>
      <w:r>
        <w:t>procreacional</w:t>
      </w:r>
      <w:proofErr w:type="spellEnd"/>
      <w:r>
        <w:t xml:space="preserve">. Cuba incorpora la escritura pública ante notario y España exige además que sea </w:t>
      </w:r>
      <w:r>
        <w:lastRenderedPageBreak/>
        <w:t xml:space="preserve">consciente. Considerando los derechos fundamentales involucrados y el interés superior del nacido, se estima que en Ecuador debe configurarse como un acto solemne, escrito, previo, consciente, libre e informado, garantizando certeza sobre la intención </w:t>
      </w:r>
      <w:proofErr w:type="spellStart"/>
      <w:r>
        <w:t>procreacional</w:t>
      </w:r>
      <w:proofErr w:type="spellEnd"/>
      <w:r>
        <w:t>.</w:t>
      </w:r>
    </w:p>
    <w:p w14:paraId="39FF3194" w14:textId="6EB4D739" w:rsidR="005C52E1" w:rsidRPr="005C52E1" w:rsidRDefault="000D47A5" w:rsidP="000D47A5">
      <w:pPr>
        <w:rPr>
          <w:b/>
        </w:rPr>
      </w:pPr>
      <w:r>
        <w:t xml:space="preserve">Finalmente, aunque la jurisprudencia ecuatoriana no ha establecido reglas específicas sobre la forma de prestar el consentimiento en las TRHA, sí aporta criterios relevantes. El </w:t>
      </w:r>
      <w:proofErr w:type="spellStart"/>
      <w:r>
        <w:t>reconociente</w:t>
      </w:r>
      <w:proofErr w:type="spellEnd"/>
      <w:r>
        <w:t xml:space="preserve"> no puede impugnar la filiación por la sola ausencia de vínculo biológico demostrada mediante ADN, pues la verdad biológica no constituye el objeto de discusión; únicamente puede solicitarse la nulidad por falta de requisitos de validez. Asimismo, la Corte Constitucional ha establecido que la filiación también se determina por la voluntad de ser padre o madre, reconociendo así, aunque no de manera expresa, la relevancia de la voluntad </w:t>
      </w:r>
      <w:proofErr w:type="spellStart"/>
      <w:r>
        <w:t>procreacional</w:t>
      </w:r>
      <w:proofErr w:type="spellEnd"/>
      <w:r>
        <w:t xml:space="preserve"> en la filiación.</w:t>
      </w:r>
    </w:p>
    <w:p w14:paraId="568F694A" w14:textId="337BD443" w:rsidR="004307D4" w:rsidRDefault="00721EBE" w:rsidP="00721EBE">
      <w:pPr>
        <w:pStyle w:val="Ttulo1"/>
      </w:pPr>
      <w:r w:rsidRPr="00721EBE">
        <w:rPr>
          <w:caps w:val="0"/>
        </w:rPr>
        <w:t>6.</w:t>
      </w:r>
      <w:r>
        <w:t xml:space="preserve"> </w:t>
      </w:r>
      <w:r w:rsidR="004307D4">
        <w:t xml:space="preserve">conclusiones </w:t>
      </w:r>
    </w:p>
    <w:p w14:paraId="16779258" w14:textId="77777777" w:rsidR="00B27BD3" w:rsidRPr="009B1CC8" w:rsidRDefault="00B27BD3" w:rsidP="00D66915">
      <w:r w:rsidRPr="009B1CC8">
        <w:t>La dinámica social y jurídica de la familia ecuatoriana, a partir del reconocimiento de sus diversos tipos, el incremento de los problemas de infertilidad y los avances médicos, requieren que el Estado supere el concepto tradicional de filiación   biológica y adoptiva a la de voluntad procreacional como un eje que articule la filiación por TRHA, atribuyendo a la intención manifiesta de querer ser padre o madre como fuente del vínculo jurídico. Sin duda, la falta de normativa expresa está generando vacíos que vulneran los derechos fundamentales, como la identidad y el interés superior del niño, frente a las acciones para desvincular la parentalidad por falta de vínculo biológico.</w:t>
      </w:r>
    </w:p>
    <w:p w14:paraId="0436068D" w14:textId="28E74795" w:rsidR="00B27BD3" w:rsidRPr="009B1CC8" w:rsidRDefault="00B27BD3" w:rsidP="00D66915">
      <w:r w:rsidRPr="009B1CC8">
        <w:t xml:space="preserve">La diferencia conceptual y </w:t>
      </w:r>
      <w:r w:rsidR="00D66915" w:rsidRPr="009B1CC8">
        <w:t>jurídica entre</w:t>
      </w:r>
      <w:r w:rsidRPr="009B1CC8">
        <w:t xml:space="preserve"> el consentimiento informado médico y el consentimiento procreacional es indispensable, porque este último opera en el Derecho de Familia como un acto jurídico constitutivo de estado civil que origina la patria potestad (conjunto de derechos y obligaciones) por esta modalidad filial. Así, en el contexto jurídico de Ecuador debe garantizarse la seguridad jurídica de los sujetos de atención prioritaria, regulando en estos casos el consentimiento de forma solemne, escrito, previo, consciente, libre e informado.</w:t>
      </w:r>
    </w:p>
    <w:p w14:paraId="4B5C509D" w14:textId="780DF732" w:rsidR="0015066B" w:rsidRDefault="006812DE" w:rsidP="001A7AD8">
      <w:r w:rsidRPr="006812DE">
        <w:lastRenderedPageBreak/>
        <w:t xml:space="preserve">El análisis de la legislación comparada y la jurisprudencia constitucional evidencia un criterio uniforme respecto de la voluntad </w:t>
      </w:r>
      <w:proofErr w:type="spellStart"/>
      <w:r w:rsidRPr="006812DE">
        <w:t>procreacional</w:t>
      </w:r>
      <w:proofErr w:type="spellEnd"/>
      <w:r w:rsidRPr="006812DE">
        <w:t xml:space="preserve"> en las TRHA, impidiendo que los </w:t>
      </w:r>
      <w:proofErr w:type="spellStart"/>
      <w:r w:rsidRPr="006812DE">
        <w:t>reconocientes</w:t>
      </w:r>
      <w:proofErr w:type="spellEnd"/>
      <w:r w:rsidRPr="006812DE">
        <w:t xml:space="preserve"> utilicen la prueba de ADN para desvincularse del nacido, pues la verdad biológica no constituye la causa del vínculo filial, sino la intención de ser padres. En consecuencia, solo procedería alegar la nulidad del consentimiento por vicios de validez del acto jurídico, garantizando la protección de la familia y los derechos integrales de los nacidos mediante estas técnicas.</w:t>
      </w:r>
    </w:p>
    <w:p w14:paraId="703B2935" w14:textId="42B25D1D" w:rsidR="004307D4" w:rsidRPr="008B6A98" w:rsidRDefault="00721EBE" w:rsidP="00721EBE">
      <w:pPr>
        <w:pStyle w:val="Ttulo1"/>
      </w:pPr>
      <w:r w:rsidRPr="008B6A98">
        <w:rPr>
          <w:caps w:val="0"/>
        </w:rPr>
        <w:t>8.</w:t>
      </w:r>
      <w:r w:rsidRPr="008B6A98">
        <w:t xml:space="preserve"> </w:t>
      </w:r>
      <w:r w:rsidR="002F3733" w:rsidRPr="008B6A98">
        <w:t>Referencias</w:t>
      </w:r>
      <w:r w:rsidR="005417EB">
        <w:t xml:space="preserve"> </w:t>
      </w:r>
    </w:p>
    <w:p w14:paraId="21092D5C" w14:textId="77777777" w:rsidR="00D66915" w:rsidRDefault="00D66915" w:rsidP="00D66915">
      <w:pPr>
        <w:pStyle w:val="Bibliografa"/>
      </w:pPr>
      <w:r>
        <w:t xml:space="preserve">Asamblea General de la República Oriental del </w:t>
      </w:r>
      <w:proofErr w:type="gramStart"/>
      <w:r>
        <w:t>Uruguay .</w:t>
      </w:r>
      <w:proofErr w:type="gramEnd"/>
      <w:r>
        <w:t xml:space="preserve"> (29 de noviembre de 2013). </w:t>
      </w:r>
      <w:proofErr w:type="gramStart"/>
      <w:r>
        <w:t>Ley N.º</w:t>
      </w:r>
      <w:proofErr w:type="gramEnd"/>
      <w:r>
        <w:t xml:space="preserve"> 19.167 Ley de Regulación de las Técnicas de Reproducción Humana Asistida. Uruguay.</w:t>
      </w:r>
    </w:p>
    <w:p w14:paraId="781DEB66" w14:textId="77777777" w:rsidR="00D66915" w:rsidRDefault="00D66915" w:rsidP="00D66915">
      <w:pPr>
        <w:pStyle w:val="Bibliografa"/>
      </w:pPr>
      <w:r>
        <w:t xml:space="preserve">Asamblea Nacional Constituyente. (2008). Constitución de la República del Ecuador. </w:t>
      </w:r>
    </w:p>
    <w:p w14:paraId="2EDCA51D" w14:textId="77777777" w:rsidR="00D66915" w:rsidRDefault="00D66915" w:rsidP="00D66915">
      <w:pPr>
        <w:pStyle w:val="Bibliografa"/>
      </w:pPr>
      <w:r>
        <w:t xml:space="preserve">Carbonell, M. (2006). Libertad de procreación y derecho a la interrupción voluntaria del embarazo. Debate Feminista, 34, 54-68. </w:t>
      </w:r>
      <w:proofErr w:type="spellStart"/>
      <w:proofErr w:type="gramStart"/>
      <w:r>
        <w:t>doi:https</w:t>
      </w:r>
      <w:proofErr w:type="spellEnd"/>
      <w:r>
        <w:t>://doi.org/10.22201/cieg.2594066xe.2006.34.1294</w:t>
      </w:r>
      <w:proofErr w:type="gramEnd"/>
    </w:p>
    <w:p w14:paraId="61B70327" w14:textId="77777777" w:rsidR="00D66915" w:rsidRDefault="00D66915" w:rsidP="00D66915">
      <w:pPr>
        <w:pStyle w:val="Bibliografa"/>
      </w:pPr>
      <w:r>
        <w:t>Congreso de la Nación Argentina. (2014). Código Civil y Comercial de la Nación (Ley No. 26.994).</w:t>
      </w:r>
    </w:p>
    <w:p w14:paraId="4500E328" w14:textId="77777777" w:rsidR="00D66915" w:rsidRDefault="00D66915" w:rsidP="00D66915">
      <w:pPr>
        <w:pStyle w:val="Bibliografa"/>
      </w:pPr>
      <w:r>
        <w:t>Corral, H. (1992). Admisibilidad Jurídica de las Técnicas de Procreación Artificial. Revista Chilena de Derecho, 459.</w:t>
      </w:r>
    </w:p>
    <w:p w14:paraId="4E175643" w14:textId="77777777" w:rsidR="00D66915" w:rsidRDefault="00D66915" w:rsidP="00D66915">
      <w:pPr>
        <w:pStyle w:val="Bibliografa"/>
      </w:pPr>
      <w:r>
        <w:t>Cuba. Asamblea Nacional del Poder Popular. (2022). Ley 156/2022 Código de las Familias. Obtenido de Gaceta Oficial de la República de Cuba, No. 99, 27 de septiembre de 2022.</w:t>
      </w:r>
    </w:p>
    <w:p w14:paraId="70553548" w14:textId="77777777" w:rsidR="00D66915" w:rsidRDefault="00D66915" w:rsidP="00D66915">
      <w:pPr>
        <w:pStyle w:val="Bibliografa"/>
      </w:pPr>
      <w:r>
        <w:t>España. Jefatura del Estado. (2006). Ley 14/2006, de 26 de mayo, sobre técnicas de reproducción humana asistida. Obtenido de Boletín Oficial del Estado, núm. 126, 27 de mayo de 2006.</w:t>
      </w:r>
    </w:p>
    <w:p w14:paraId="0FEA0F68" w14:textId="77777777" w:rsidR="00D66915" w:rsidRDefault="00D66915" w:rsidP="00D66915">
      <w:pPr>
        <w:pStyle w:val="Bibliografa"/>
      </w:pPr>
      <w:r>
        <w:t xml:space="preserve">España. Jefatura del Estado. (2007). Ley 3/2007, de 15 de marzo, reguladora de la rectificación registral de la mención relativa al sexo de las </w:t>
      </w:r>
      <w:proofErr w:type="gramStart"/>
      <w:r>
        <w:t>personas .</w:t>
      </w:r>
      <w:proofErr w:type="gramEnd"/>
      <w:r>
        <w:t xml:space="preserve"> Obtenido de Boletín Oficial del Estado, núm. 65, 16 de marzo de 2007.</w:t>
      </w:r>
    </w:p>
    <w:p w14:paraId="215DD330" w14:textId="77777777" w:rsidR="00D66915" w:rsidRDefault="00D66915" w:rsidP="00D66915">
      <w:pPr>
        <w:pStyle w:val="Bibliografa"/>
      </w:pPr>
      <w:r>
        <w:t xml:space="preserve">Europa, C. d. (1997). Convenio para la protección de los derechos humanos y la dignidad del ser humano con respecto a las aplicaciones de la Biología y la Medicina: Convenio sobre los Derechos Humanos y la Biomedicina. </w:t>
      </w:r>
    </w:p>
    <w:p w14:paraId="277B9A14" w14:textId="77777777" w:rsidR="00D66915" w:rsidRDefault="00D66915" w:rsidP="00D66915">
      <w:pPr>
        <w:pStyle w:val="Bibliografa"/>
      </w:pPr>
      <w:proofErr w:type="gramStart"/>
      <w:r>
        <w:t>Gafo ,</w:t>
      </w:r>
      <w:proofErr w:type="gramEnd"/>
      <w:r>
        <w:t xml:space="preserve"> J. (1986). Nuevas técnicas de reproducción humana asistida. Publicaciones de la Universidad Pontificia Comillas.</w:t>
      </w:r>
    </w:p>
    <w:p w14:paraId="4BD2A93D" w14:textId="77777777" w:rsidR="00D66915" w:rsidRDefault="00D66915" w:rsidP="00D66915">
      <w:pPr>
        <w:pStyle w:val="Bibliografa"/>
      </w:pPr>
      <w:r>
        <w:lastRenderedPageBreak/>
        <w:t xml:space="preserve">García, S. (enero de 2025). </w:t>
      </w:r>
      <w:proofErr w:type="spellStart"/>
      <w:r>
        <w:t>Embryocenter</w:t>
      </w:r>
      <w:proofErr w:type="spellEnd"/>
      <w:r>
        <w:t>. Obtenido de https://embryocenter.es/diferencias-entre-un-embarazo-por-reproduccion-asistida-y-uno-natural/</w:t>
      </w:r>
    </w:p>
    <w:p w14:paraId="6BB356EF" w14:textId="77777777" w:rsidR="00D66915" w:rsidRDefault="00D66915" w:rsidP="00D66915">
      <w:pPr>
        <w:pStyle w:val="Bibliografa"/>
      </w:pPr>
      <w:r>
        <w:t>General, A. (2013). Ley No. 19.167. Uruguay.</w:t>
      </w:r>
    </w:p>
    <w:p w14:paraId="5A1AFD7E" w14:textId="77777777" w:rsidR="00D66915" w:rsidRDefault="00D66915" w:rsidP="00D66915">
      <w:pPr>
        <w:pStyle w:val="Bibliografa"/>
      </w:pPr>
      <w:r>
        <w:t xml:space="preserve">Gil Domíguez, A. (2015). Derecho y nuevas tecnologías </w:t>
      </w:r>
      <w:proofErr w:type="spellStart"/>
      <w:proofErr w:type="gramStart"/>
      <w:r>
        <w:t>reproductivas:filiación</w:t>
      </w:r>
      <w:proofErr w:type="spellEnd"/>
      <w:proofErr w:type="gramEnd"/>
      <w:r>
        <w:t xml:space="preserve">, </w:t>
      </w:r>
      <w:proofErr w:type="spellStart"/>
      <w:r>
        <w:t>vountad</w:t>
      </w:r>
      <w:proofErr w:type="spellEnd"/>
      <w:r>
        <w:t xml:space="preserve"> </w:t>
      </w:r>
      <w:proofErr w:type="spellStart"/>
      <w:r>
        <w:t>procreacional</w:t>
      </w:r>
      <w:proofErr w:type="spellEnd"/>
      <w:r>
        <w:t xml:space="preserve"> y autonomía. Buenos </w:t>
      </w:r>
      <w:proofErr w:type="gramStart"/>
      <w:r>
        <w:t>Aires :</w:t>
      </w:r>
      <w:proofErr w:type="gramEnd"/>
      <w:r>
        <w:t xml:space="preserve"> </w:t>
      </w:r>
      <w:proofErr w:type="spellStart"/>
      <w:r>
        <w:t>Ediar</w:t>
      </w:r>
      <w:proofErr w:type="spellEnd"/>
      <w:r>
        <w:t>.</w:t>
      </w:r>
    </w:p>
    <w:p w14:paraId="587BAF8D" w14:textId="77777777" w:rsidR="00D66915" w:rsidRDefault="00D66915" w:rsidP="00D66915">
      <w:pPr>
        <w:pStyle w:val="Bibliografa"/>
      </w:pPr>
      <w:r>
        <w:t>Nacional, C. (2005). Código Civil. Quito.</w:t>
      </w:r>
    </w:p>
    <w:p w14:paraId="1C0A99D4" w14:textId="77777777" w:rsidR="00D66915" w:rsidRDefault="00D66915" w:rsidP="00D66915">
      <w:pPr>
        <w:pStyle w:val="Bibliografa"/>
      </w:pPr>
      <w:r>
        <w:t>Nacional, C. (2005). Código Civil. Quito.</w:t>
      </w:r>
    </w:p>
    <w:p w14:paraId="5DBC192E" w14:textId="77777777" w:rsidR="00D66915" w:rsidRDefault="00D66915" w:rsidP="00D66915">
      <w:pPr>
        <w:pStyle w:val="Bibliografa"/>
      </w:pPr>
      <w:r>
        <w:t>OMS. (4 de abril de 2023). La OMS alerta de que una de cada seis personas padece esterilidad. Obtenido de Organización Mundial de la Salud: https://www.who.int/es/news/item/04-04-2023-1-in-6-people-globally-affected-by-infertility</w:t>
      </w:r>
    </w:p>
    <w:p w14:paraId="141ED846" w14:textId="77777777" w:rsidR="00D66915" w:rsidRDefault="00D66915" w:rsidP="00D66915">
      <w:pPr>
        <w:pStyle w:val="Bibliografa"/>
      </w:pPr>
      <w:r>
        <w:t>Organización de las Naciones Unidas. (1995). Declaración de Beijing. Cuarta Conferencia Mundial sobre la Mujer Beijing (pág. 65). Beijing: UN Women.</w:t>
      </w:r>
    </w:p>
    <w:p w14:paraId="7E5BB1BE" w14:textId="77777777" w:rsidR="00D66915" w:rsidRDefault="00D66915" w:rsidP="00D66915">
      <w:pPr>
        <w:pStyle w:val="Bibliografa"/>
      </w:pPr>
      <w:r>
        <w:t xml:space="preserve">Red Latinoamericana de Reproducción Asistida. (2010). REDLARA. </w:t>
      </w:r>
    </w:p>
    <w:p w14:paraId="1EBECEB2" w14:textId="77777777" w:rsidR="00D66915" w:rsidRDefault="00D66915" w:rsidP="00D66915">
      <w:pPr>
        <w:pStyle w:val="Bibliografa"/>
      </w:pPr>
      <w:r>
        <w:t>Reyna, H. (2013). Familias Ensambladas: su problemática jurídica en el Perú.</w:t>
      </w:r>
    </w:p>
    <w:p w14:paraId="190C4222" w14:textId="77777777" w:rsidR="00D66915" w:rsidRDefault="00D66915" w:rsidP="00D66915">
      <w:pPr>
        <w:pStyle w:val="Bibliografa"/>
      </w:pPr>
      <w:r>
        <w:t xml:space="preserve">Turner, S. (2001). LOS DERECHOS SEXUALES Y REPRODUCTIVOS Y SU INCIDENCIA EN LA ESTERELIZACIÓN Y LA PROCREACIÓN. (U. A. Facultad de Ciencias Jurídicas y Sociales, Ed.) Revista de Derecho de la Universidad Austral de Chile, </w:t>
      </w:r>
      <w:proofErr w:type="gramStart"/>
      <w:r>
        <w:t>XII(</w:t>
      </w:r>
      <w:proofErr w:type="gramEnd"/>
      <w:r>
        <w:t>2), 207-216.</w:t>
      </w:r>
    </w:p>
    <w:p w14:paraId="0651C010" w14:textId="77777777" w:rsidR="00D66915" w:rsidRDefault="00D66915" w:rsidP="00D66915">
      <w:pPr>
        <w:pStyle w:val="Bibliografa"/>
      </w:pPr>
      <w:r>
        <w:t>Uruguay. Poder Legislativo. (2013). Ley n.º 19.167 de Técnicas de Reproducción Humana Asistida. Obtenido de Diario Oficial de la República Oriental del Uruguay.</w:t>
      </w:r>
    </w:p>
    <w:p w14:paraId="0941D1A6" w14:textId="77777777" w:rsidR="00D66915" w:rsidRDefault="00D66915" w:rsidP="00D66915">
      <w:pPr>
        <w:pStyle w:val="Bibliografa"/>
      </w:pPr>
      <w:r>
        <w:t>Vila-Coro, M. (1997). Huérfanos biológicos. El hombre y la mujer ante la reproducción artificial. Editorial San Pablo.</w:t>
      </w: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03358" w14:textId="77777777" w:rsidR="00792C87" w:rsidRDefault="00792C87" w:rsidP="00EB0247">
      <w:pPr>
        <w:spacing w:after="0" w:line="240" w:lineRule="auto"/>
      </w:pPr>
      <w:r>
        <w:separator/>
      </w:r>
    </w:p>
  </w:endnote>
  <w:endnote w:type="continuationSeparator" w:id="0">
    <w:p w14:paraId="4E4C1686" w14:textId="77777777" w:rsidR="00792C87" w:rsidRDefault="00792C87"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9962" w14:textId="77777777" w:rsidR="00792C87" w:rsidRDefault="00792C87" w:rsidP="00EB0247">
      <w:pPr>
        <w:spacing w:after="0" w:line="240" w:lineRule="auto"/>
      </w:pPr>
      <w:r>
        <w:separator/>
      </w:r>
    </w:p>
  </w:footnote>
  <w:footnote w:type="continuationSeparator" w:id="0">
    <w:p w14:paraId="1FB32D82" w14:textId="77777777" w:rsidR="00792C87" w:rsidRDefault="00792C87"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932931275">
    <w:abstractNumId w:val="8"/>
  </w:num>
  <w:num w:numId="2" w16cid:durableId="1328627610">
    <w:abstractNumId w:val="3"/>
  </w:num>
  <w:num w:numId="3" w16cid:durableId="1690795159">
    <w:abstractNumId w:val="2"/>
  </w:num>
  <w:num w:numId="4" w16cid:durableId="878128017">
    <w:abstractNumId w:val="1"/>
  </w:num>
  <w:num w:numId="5" w16cid:durableId="1439720333">
    <w:abstractNumId w:val="0"/>
  </w:num>
  <w:num w:numId="6" w16cid:durableId="150685780">
    <w:abstractNumId w:val="9"/>
  </w:num>
  <w:num w:numId="7" w16cid:durableId="480583301">
    <w:abstractNumId w:val="7"/>
  </w:num>
  <w:num w:numId="8" w16cid:durableId="1737362009">
    <w:abstractNumId w:val="6"/>
  </w:num>
  <w:num w:numId="9" w16cid:durableId="225606821">
    <w:abstractNumId w:val="5"/>
  </w:num>
  <w:num w:numId="10" w16cid:durableId="1876430529">
    <w:abstractNumId w:val="4"/>
  </w:num>
  <w:num w:numId="11" w16cid:durableId="1757164488">
    <w:abstractNumId w:val="11"/>
  </w:num>
  <w:num w:numId="12" w16cid:durableId="782579113">
    <w:abstractNumId w:val="13"/>
  </w:num>
  <w:num w:numId="13" w16cid:durableId="1294365048">
    <w:abstractNumId w:val="16"/>
  </w:num>
  <w:num w:numId="14" w16cid:durableId="1602685826">
    <w:abstractNumId w:val="17"/>
  </w:num>
  <w:num w:numId="15" w16cid:durableId="1542014569">
    <w:abstractNumId w:val="18"/>
  </w:num>
  <w:num w:numId="16" w16cid:durableId="266814417">
    <w:abstractNumId w:val="28"/>
  </w:num>
  <w:num w:numId="17" w16cid:durableId="575209801">
    <w:abstractNumId w:val="25"/>
  </w:num>
  <w:num w:numId="18" w16cid:durableId="1757434166">
    <w:abstractNumId w:val="10"/>
  </w:num>
  <w:num w:numId="19" w16cid:durableId="343750506">
    <w:abstractNumId w:val="24"/>
  </w:num>
  <w:num w:numId="20" w16cid:durableId="2066709369">
    <w:abstractNumId w:val="29"/>
  </w:num>
  <w:num w:numId="21" w16cid:durableId="1720590179">
    <w:abstractNumId w:val="30"/>
  </w:num>
  <w:num w:numId="22" w16cid:durableId="232784926">
    <w:abstractNumId w:val="21"/>
  </w:num>
  <w:num w:numId="23" w16cid:durableId="74016313">
    <w:abstractNumId w:val="30"/>
    <w:lvlOverride w:ilvl="0">
      <w:startOverride w:val="1"/>
    </w:lvlOverride>
  </w:num>
  <w:num w:numId="24" w16cid:durableId="424112813">
    <w:abstractNumId w:val="30"/>
    <w:lvlOverride w:ilvl="0">
      <w:startOverride w:val="1"/>
    </w:lvlOverride>
  </w:num>
  <w:num w:numId="25" w16cid:durableId="344132842">
    <w:abstractNumId w:val="12"/>
  </w:num>
  <w:num w:numId="26" w16cid:durableId="806125165">
    <w:abstractNumId w:val="31"/>
  </w:num>
  <w:num w:numId="27" w16cid:durableId="1481997241">
    <w:abstractNumId w:val="19"/>
  </w:num>
  <w:num w:numId="28" w16cid:durableId="2098095349">
    <w:abstractNumId w:val="20"/>
  </w:num>
  <w:num w:numId="29" w16cid:durableId="1322196461">
    <w:abstractNumId w:val="22"/>
  </w:num>
  <w:num w:numId="30" w16cid:durableId="559095629">
    <w:abstractNumId w:val="15"/>
  </w:num>
  <w:num w:numId="31" w16cid:durableId="726685881">
    <w:abstractNumId w:val="23"/>
  </w:num>
  <w:num w:numId="32" w16cid:durableId="1088774224">
    <w:abstractNumId w:val="14"/>
  </w:num>
  <w:num w:numId="33" w16cid:durableId="644553012">
    <w:abstractNumId w:val="26"/>
  </w:num>
  <w:num w:numId="34" w16cid:durableId="2007434072">
    <w:abstractNumId w:val="27"/>
  </w:num>
  <w:num w:numId="35" w16cid:durableId="508954245">
    <w:abstractNumId w:val="32"/>
  </w:num>
  <w:num w:numId="36" w16cid:durableId="1785728929">
    <w:abstractNumId w:val="30"/>
    <w:lvlOverride w:ilvl="0">
      <w:startOverride w:val="1"/>
    </w:lvlOverride>
  </w:num>
  <w:num w:numId="37" w16cid:durableId="1081483465">
    <w:abstractNumId w:val="30"/>
    <w:lvlOverride w:ilvl="0">
      <w:startOverride w:val="1"/>
    </w:lvlOverride>
  </w:num>
  <w:num w:numId="38" w16cid:durableId="1939826204">
    <w:abstractNumId w:val="30"/>
    <w:lvlOverride w:ilvl="0">
      <w:startOverride w:val="1"/>
    </w:lvlOverride>
  </w:num>
  <w:num w:numId="39" w16cid:durableId="1613509077">
    <w:abstractNumId w:val="32"/>
    <w:lvlOverride w:ilvl="0">
      <w:startOverride w:val="1"/>
    </w:lvlOverride>
  </w:num>
  <w:num w:numId="40" w16cid:durableId="1232499676">
    <w:abstractNumId w:val="32"/>
    <w:lvlOverride w:ilvl="0">
      <w:startOverride w:val="1"/>
    </w:lvlOverride>
  </w:num>
  <w:num w:numId="41" w16cid:durableId="224875610">
    <w:abstractNumId w:val="30"/>
    <w:lvlOverride w:ilvl="0">
      <w:startOverride w:val="1"/>
    </w:lvlOverride>
  </w:num>
  <w:num w:numId="42" w16cid:durableId="2074696998">
    <w:abstractNumId w:val="32"/>
    <w:lvlOverride w:ilvl="0">
      <w:startOverride w:val="1"/>
    </w:lvlOverride>
  </w:num>
  <w:num w:numId="43" w16cid:durableId="436754843">
    <w:abstractNumId w:val="30"/>
    <w:lvlOverride w:ilvl="0">
      <w:startOverride w:val="1"/>
    </w:lvlOverride>
  </w:num>
  <w:num w:numId="44" w16cid:durableId="563564765">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43681"/>
    <w:rsid w:val="00063421"/>
    <w:rsid w:val="00097EEF"/>
    <w:rsid w:val="000C5EDB"/>
    <w:rsid w:val="000D47A5"/>
    <w:rsid w:val="001348A0"/>
    <w:rsid w:val="00140844"/>
    <w:rsid w:val="001439A0"/>
    <w:rsid w:val="001468AC"/>
    <w:rsid w:val="0015066B"/>
    <w:rsid w:val="00156F2B"/>
    <w:rsid w:val="00182667"/>
    <w:rsid w:val="00185A00"/>
    <w:rsid w:val="0018654D"/>
    <w:rsid w:val="001950D8"/>
    <w:rsid w:val="00197D57"/>
    <w:rsid w:val="001A7AD8"/>
    <w:rsid w:val="001C53EA"/>
    <w:rsid w:val="00222DBC"/>
    <w:rsid w:val="00242EFB"/>
    <w:rsid w:val="002433EC"/>
    <w:rsid w:val="00254F0F"/>
    <w:rsid w:val="00280126"/>
    <w:rsid w:val="00281564"/>
    <w:rsid w:val="00285B53"/>
    <w:rsid w:val="002A43CD"/>
    <w:rsid w:val="002B7BBB"/>
    <w:rsid w:val="002C5703"/>
    <w:rsid w:val="002D23FB"/>
    <w:rsid w:val="002D268C"/>
    <w:rsid w:val="002E6575"/>
    <w:rsid w:val="002F2A8A"/>
    <w:rsid w:val="002F3733"/>
    <w:rsid w:val="002F5B4B"/>
    <w:rsid w:val="00312AFB"/>
    <w:rsid w:val="00333F09"/>
    <w:rsid w:val="0033760F"/>
    <w:rsid w:val="003512A0"/>
    <w:rsid w:val="00375999"/>
    <w:rsid w:val="00376793"/>
    <w:rsid w:val="0039591A"/>
    <w:rsid w:val="003C47A2"/>
    <w:rsid w:val="003C4D9F"/>
    <w:rsid w:val="003E66FB"/>
    <w:rsid w:val="004057AB"/>
    <w:rsid w:val="00422CDA"/>
    <w:rsid w:val="004307D4"/>
    <w:rsid w:val="00431094"/>
    <w:rsid w:val="00437ED3"/>
    <w:rsid w:val="0044345A"/>
    <w:rsid w:val="00444096"/>
    <w:rsid w:val="00477173"/>
    <w:rsid w:val="004819D7"/>
    <w:rsid w:val="004842F0"/>
    <w:rsid w:val="00484413"/>
    <w:rsid w:val="004858CB"/>
    <w:rsid w:val="00493A17"/>
    <w:rsid w:val="004C0202"/>
    <w:rsid w:val="004D0180"/>
    <w:rsid w:val="005335DF"/>
    <w:rsid w:val="005417EB"/>
    <w:rsid w:val="005430EA"/>
    <w:rsid w:val="00570349"/>
    <w:rsid w:val="0057579C"/>
    <w:rsid w:val="00584BB4"/>
    <w:rsid w:val="005A43E3"/>
    <w:rsid w:val="005A4AFE"/>
    <w:rsid w:val="005A6174"/>
    <w:rsid w:val="005C4BB2"/>
    <w:rsid w:val="005C52E1"/>
    <w:rsid w:val="005F466B"/>
    <w:rsid w:val="00607EE3"/>
    <w:rsid w:val="006131F7"/>
    <w:rsid w:val="00617B67"/>
    <w:rsid w:val="00651EC9"/>
    <w:rsid w:val="00657BB8"/>
    <w:rsid w:val="00675757"/>
    <w:rsid w:val="00680332"/>
    <w:rsid w:val="006812DE"/>
    <w:rsid w:val="00681364"/>
    <w:rsid w:val="0068745E"/>
    <w:rsid w:val="006A68FD"/>
    <w:rsid w:val="006B7745"/>
    <w:rsid w:val="00704CD3"/>
    <w:rsid w:val="00714CBD"/>
    <w:rsid w:val="0071775D"/>
    <w:rsid w:val="00721EBE"/>
    <w:rsid w:val="00742AC5"/>
    <w:rsid w:val="00747BD2"/>
    <w:rsid w:val="00750D19"/>
    <w:rsid w:val="00751CF2"/>
    <w:rsid w:val="007701F1"/>
    <w:rsid w:val="00792960"/>
    <w:rsid w:val="00792C87"/>
    <w:rsid w:val="007A0F17"/>
    <w:rsid w:val="007A4971"/>
    <w:rsid w:val="007E4E94"/>
    <w:rsid w:val="007F0944"/>
    <w:rsid w:val="008238DE"/>
    <w:rsid w:val="008456D6"/>
    <w:rsid w:val="00863A4D"/>
    <w:rsid w:val="00870D66"/>
    <w:rsid w:val="008A4085"/>
    <w:rsid w:val="008A483F"/>
    <w:rsid w:val="008B6A98"/>
    <w:rsid w:val="008C1056"/>
    <w:rsid w:val="008C2B2C"/>
    <w:rsid w:val="008F1330"/>
    <w:rsid w:val="008F256B"/>
    <w:rsid w:val="008F3F8E"/>
    <w:rsid w:val="00911A78"/>
    <w:rsid w:val="0091337D"/>
    <w:rsid w:val="009171C1"/>
    <w:rsid w:val="00920563"/>
    <w:rsid w:val="00933A08"/>
    <w:rsid w:val="0093429F"/>
    <w:rsid w:val="00935B3F"/>
    <w:rsid w:val="009477E3"/>
    <w:rsid w:val="00957E00"/>
    <w:rsid w:val="00962592"/>
    <w:rsid w:val="009663A1"/>
    <w:rsid w:val="00974CEC"/>
    <w:rsid w:val="00976253"/>
    <w:rsid w:val="009847F6"/>
    <w:rsid w:val="009A336B"/>
    <w:rsid w:val="009B1CC8"/>
    <w:rsid w:val="009C0DFA"/>
    <w:rsid w:val="009C304F"/>
    <w:rsid w:val="009C657C"/>
    <w:rsid w:val="009D0814"/>
    <w:rsid w:val="009D4514"/>
    <w:rsid w:val="009E3A08"/>
    <w:rsid w:val="009E664A"/>
    <w:rsid w:val="009F130B"/>
    <w:rsid w:val="009F5F74"/>
    <w:rsid w:val="00A11266"/>
    <w:rsid w:val="00A206F1"/>
    <w:rsid w:val="00A20E10"/>
    <w:rsid w:val="00A272F9"/>
    <w:rsid w:val="00A63F8F"/>
    <w:rsid w:val="00A8553F"/>
    <w:rsid w:val="00AD031F"/>
    <w:rsid w:val="00B0717D"/>
    <w:rsid w:val="00B27BD3"/>
    <w:rsid w:val="00B40A31"/>
    <w:rsid w:val="00B4294E"/>
    <w:rsid w:val="00B57A4E"/>
    <w:rsid w:val="00B60DF4"/>
    <w:rsid w:val="00B75022"/>
    <w:rsid w:val="00BA4EA8"/>
    <w:rsid w:val="00BA4FD5"/>
    <w:rsid w:val="00BB38AC"/>
    <w:rsid w:val="00BD7178"/>
    <w:rsid w:val="00BE3D2B"/>
    <w:rsid w:val="00BE5F2C"/>
    <w:rsid w:val="00BF45D1"/>
    <w:rsid w:val="00BF50C0"/>
    <w:rsid w:val="00C2006E"/>
    <w:rsid w:val="00C21575"/>
    <w:rsid w:val="00C21A88"/>
    <w:rsid w:val="00C21F8C"/>
    <w:rsid w:val="00C302E3"/>
    <w:rsid w:val="00C30BA1"/>
    <w:rsid w:val="00C4054C"/>
    <w:rsid w:val="00C45F7D"/>
    <w:rsid w:val="00C6483C"/>
    <w:rsid w:val="00C659AE"/>
    <w:rsid w:val="00C82663"/>
    <w:rsid w:val="00C930F7"/>
    <w:rsid w:val="00CA0400"/>
    <w:rsid w:val="00CC152D"/>
    <w:rsid w:val="00CD0091"/>
    <w:rsid w:val="00CE0F4B"/>
    <w:rsid w:val="00CE74AB"/>
    <w:rsid w:val="00D0381D"/>
    <w:rsid w:val="00D05D1F"/>
    <w:rsid w:val="00D12C66"/>
    <w:rsid w:val="00D25DC9"/>
    <w:rsid w:val="00D34211"/>
    <w:rsid w:val="00D36F76"/>
    <w:rsid w:val="00D47BD3"/>
    <w:rsid w:val="00D66915"/>
    <w:rsid w:val="00D86CAA"/>
    <w:rsid w:val="00DA0BED"/>
    <w:rsid w:val="00DB1790"/>
    <w:rsid w:val="00DC3839"/>
    <w:rsid w:val="00DC5E7D"/>
    <w:rsid w:val="00DE0B74"/>
    <w:rsid w:val="00DF1B76"/>
    <w:rsid w:val="00DF49A1"/>
    <w:rsid w:val="00E04357"/>
    <w:rsid w:val="00E05E1A"/>
    <w:rsid w:val="00E06000"/>
    <w:rsid w:val="00E61DB1"/>
    <w:rsid w:val="00E649D6"/>
    <w:rsid w:val="00E771AB"/>
    <w:rsid w:val="00EB0247"/>
    <w:rsid w:val="00EC01A5"/>
    <w:rsid w:val="00EC17FD"/>
    <w:rsid w:val="00F31E99"/>
    <w:rsid w:val="00F60611"/>
    <w:rsid w:val="00F62B89"/>
    <w:rsid w:val="00F6387D"/>
    <w:rsid w:val="00F63B01"/>
    <w:rsid w:val="00F66726"/>
    <w:rsid w:val="00F801FE"/>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TtuloTDC">
    <w:name w:val="TOC Heading"/>
    <w:basedOn w:val="Ttulo1"/>
    <w:next w:val="Normal"/>
    <w:uiPriority w:val="39"/>
    <w:unhideWhenUsed/>
    <w:qFormat/>
    <w:locked/>
    <w:rsid w:val="00D66915"/>
    <w:pPr>
      <w:widowControl/>
      <w:suppressAutoHyphens w:val="0"/>
      <w:spacing w:before="240" w:after="0" w:line="259" w:lineRule="auto"/>
      <w:outlineLvl w:val="9"/>
    </w:pPr>
    <w:rPr>
      <w:rFonts w:asciiTheme="majorHAnsi" w:eastAsiaTheme="majorEastAsia" w:hAnsiTheme="majorHAnsi"/>
      <w:caps w:val="0"/>
      <w:color w:val="2F5496" w:themeColor="accent1" w:themeShade="BF"/>
      <w:spacing w:val="0"/>
      <w:sz w:val="32"/>
      <w:shd w:val="clear" w:color="auto" w:fill="auto"/>
      <w:lang w:val="es-EC" w:eastAsia="es-EC"/>
      <w14:numForm w14:val="default"/>
    </w:rPr>
  </w:style>
  <w:style w:type="paragraph" w:styleId="TDC1">
    <w:name w:val="toc 1"/>
    <w:basedOn w:val="Normal"/>
    <w:next w:val="Normal"/>
    <w:autoRedefine/>
    <w:uiPriority w:val="39"/>
    <w:locked/>
    <w:rsid w:val="00D66915"/>
    <w:pPr>
      <w:spacing w:after="100"/>
    </w:pPr>
  </w:style>
  <w:style w:type="paragraph" w:styleId="TDC2">
    <w:name w:val="toc 2"/>
    <w:basedOn w:val="Normal"/>
    <w:next w:val="Normal"/>
    <w:autoRedefine/>
    <w:uiPriority w:val="39"/>
    <w:locked/>
    <w:rsid w:val="00D66915"/>
    <w:pPr>
      <w:spacing w:after="100"/>
      <w:ind w:left="230"/>
    </w:pPr>
  </w:style>
  <w:style w:type="paragraph" w:styleId="TDC3">
    <w:name w:val="toc 3"/>
    <w:basedOn w:val="Normal"/>
    <w:next w:val="Normal"/>
    <w:autoRedefine/>
    <w:uiPriority w:val="39"/>
    <w:locked/>
    <w:rsid w:val="00D66915"/>
    <w:pPr>
      <w:spacing w:after="100"/>
      <w:ind w:left="460"/>
    </w:pPr>
  </w:style>
  <w:style w:type="paragraph" w:styleId="Encabezado">
    <w:name w:val="header"/>
    <w:basedOn w:val="Normal"/>
    <w:link w:val="EncabezadoCar"/>
    <w:uiPriority w:val="99"/>
    <w:semiHidden/>
    <w:locked/>
    <w:rsid w:val="008F256B"/>
    <w:pPr>
      <w:tabs>
        <w:tab w:val="center" w:pos="4513"/>
        <w:tab w:val="right" w:pos="9026"/>
      </w:tabs>
      <w:spacing w:before="0" w:after="0" w:line="240" w:lineRule="auto"/>
    </w:pPr>
  </w:style>
  <w:style w:type="character" w:customStyle="1" w:styleId="EncabezadoCar">
    <w:name w:val="Encabezado Car"/>
    <w:basedOn w:val="Fuentedeprrafopredeter"/>
    <w:link w:val="Encabezado"/>
    <w:uiPriority w:val="99"/>
    <w:semiHidden/>
    <w:rsid w:val="008F256B"/>
    <w:rPr>
      <w:rFonts w:ascii="Times New Roman" w:hAnsi="Times New Roman"/>
      <w:spacing w:val="1"/>
      <w:sz w:val="23"/>
      <w14:numForm w14:val="oldStyle"/>
    </w:rPr>
  </w:style>
  <w:style w:type="paragraph" w:styleId="Piedepgina">
    <w:name w:val="footer"/>
    <w:basedOn w:val="Normal"/>
    <w:link w:val="PiedepginaCar"/>
    <w:uiPriority w:val="99"/>
    <w:semiHidden/>
    <w:locked/>
    <w:rsid w:val="008F256B"/>
    <w:pPr>
      <w:tabs>
        <w:tab w:val="center" w:pos="4513"/>
        <w:tab w:val="right" w:pos="9026"/>
      </w:tabs>
      <w:spacing w:before="0" w:after="0" w:line="240" w:lineRule="auto"/>
    </w:pPr>
  </w:style>
  <w:style w:type="character" w:customStyle="1" w:styleId="PiedepginaCar">
    <w:name w:val="Pie de página Car"/>
    <w:basedOn w:val="Fuentedeprrafopredeter"/>
    <w:link w:val="Piedepgina"/>
    <w:uiPriority w:val="99"/>
    <w:semiHidden/>
    <w:rsid w:val="008F256B"/>
    <w:rPr>
      <w:rFonts w:ascii="Times New Roman" w:hAnsi="Times New Roman"/>
      <w:spacing w:val="1"/>
      <w:sz w:val="23"/>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156">
      <w:bodyDiv w:val="1"/>
      <w:marLeft w:val="0"/>
      <w:marRight w:val="0"/>
      <w:marTop w:val="0"/>
      <w:marBottom w:val="0"/>
      <w:divBdr>
        <w:top w:val="none" w:sz="0" w:space="0" w:color="auto"/>
        <w:left w:val="none" w:sz="0" w:space="0" w:color="auto"/>
        <w:bottom w:val="none" w:sz="0" w:space="0" w:color="auto"/>
        <w:right w:val="none" w:sz="0" w:space="0" w:color="auto"/>
      </w:divBdr>
    </w:div>
    <w:div w:id="259261750">
      <w:bodyDiv w:val="1"/>
      <w:marLeft w:val="0"/>
      <w:marRight w:val="0"/>
      <w:marTop w:val="0"/>
      <w:marBottom w:val="0"/>
      <w:divBdr>
        <w:top w:val="none" w:sz="0" w:space="0" w:color="auto"/>
        <w:left w:val="none" w:sz="0" w:space="0" w:color="auto"/>
        <w:bottom w:val="none" w:sz="0" w:space="0" w:color="auto"/>
        <w:right w:val="none" w:sz="0" w:space="0" w:color="auto"/>
      </w:divBdr>
    </w:div>
    <w:div w:id="287902900">
      <w:bodyDiv w:val="1"/>
      <w:marLeft w:val="0"/>
      <w:marRight w:val="0"/>
      <w:marTop w:val="0"/>
      <w:marBottom w:val="0"/>
      <w:divBdr>
        <w:top w:val="none" w:sz="0" w:space="0" w:color="auto"/>
        <w:left w:val="none" w:sz="0" w:space="0" w:color="auto"/>
        <w:bottom w:val="none" w:sz="0" w:space="0" w:color="auto"/>
        <w:right w:val="none" w:sz="0" w:space="0" w:color="auto"/>
      </w:divBdr>
    </w:div>
    <w:div w:id="324944849">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29733129">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17094870">
      <w:bodyDiv w:val="1"/>
      <w:marLeft w:val="0"/>
      <w:marRight w:val="0"/>
      <w:marTop w:val="0"/>
      <w:marBottom w:val="0"/>
      <w:divBdr>
        <w:top w:val="none" w:sz="0" w:space="0" w:color="auto"/>
        <w:left w:val="none" w:sz="0" w:space="0" w:color="auto"/>
        <w:bottom w:val="none" w:sz="0" w:space="0" w:color="auto"/>
        <w:right w:val="none" w:sz="0" w:space="0" w:color="auto"/>
      </w:divBdr>
    </w:div>
    <w:div w:id="1449931730">
      <w:bodyDiv w:val="1"/>
      <w:marLeft w:val="0"/>
      <w:marRight w:val="0"/>
      <w:marTop w:val="0"/>
      <w:marBottom w:val="0"/>
      <w:divBdr>
        <w:top w:val="none" w:sz="0" w:space="0" w:color="auto"/>
        <w:left w:val="none" w:sz="0" w:space="0" w:color="auto"/>
        <w:bottom w:val="none" w:sz="0" w:space="0" w:color="auto"/>
        <w:right w:val="none" w:sz="0" w:space="0" w:color="auto"/>
      </w:divBdr>
    </w:div>
    <w:div w:id="1487627452">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14801080">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729573499">
      <w:bodyDiv w:val="1"/>
      <w:marLeft w:val="0"/>
      <w:marRight w:val="0"/>
      <w:marTop w:val="0"/>
      <w:marBottom w:val="0"/>
      <w:divBdr>
        <w:top w:val="none" w:sz="0" w:space="0" w:color="auto"/>
        <w:left w:val="none" w:sz="0" w:space="0" w:color="auto"/>
        <w:bottom w:val="none" w:sz="0" w:space="0" w:color="auto"/>
        <w:right w:val="none" w:sz="0" w:space="0" w:color="auto"/>
      </w:divBdr>
    </w:div>
    <w:div w:id="1730759511">
      <w:bodyDiv w:val="1"/>
      <w:marLeft w:val="0"/>
      <w:marRight w:val="0"/>
      <w:marTop w:val="0"/>
      <w:marBottom w:val="0"/>
      <w:divBdr>
        <w:top w:val="none" w:sz="0" w:space="0" w:color="auto"/>
        <w:left w:val="none" w:sz="0" w:space="0" w:color="auto"/>
        <w:bottom w:val="none" w:sz="0" w:space="0" w:color="auto"/>
        <w:right w:val="none" w:sz="0" w:space="0" w:color="auto"/>
      </w:divBdr>
    </w:div>
    <w:div w:id="205746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 (1).xsl" StyleName="APA" Version="7">
  <b:Source>
    <b:Tag>Asa08</b:Tag>
    <b:SourceType>Performance</b:SourceType>
    <b:Guid>{C83A102A-9810-4F21-B543-4E9253C74708}</b:Guid>
    <b:Title>Constitución de la República del Ecuador</b:Title>
    <b:Year>2008</b:Year>
    <b:Author>
      <b:Writer>
        <b:NameList>
          <b:Person>
            <b:Last>Asamblea Nacional Constituyente</b:Last>
          </b:Person>
        </b:NameList>
      </b:Writer>
    </b:Author>
    <b:RefOrder>1</b:RefOrder>
  </b:Source>
  <b:Source>
    <b:Tag>OMS23</b:Tag>
    <b:SourceType>InternetSite</b:SourceType>
    <b:Guid>{A495B1C2-33F1-4769-83C1-F3087F44DC68}</b:Guid>
    <b:Title>La OMS alerta de que una de cada seis personas padece esterilidad</b:Title>
    <b:Year>2023</b:Year>
    <b:Month>abril</b:Month>
    <b:Day>4</b:Day>
    <b:Author>
      <b:Author>
        <b:NameList>
          <b:Person>
            <b:Last>OMS</b:Last>
          </b:Person>
        </b:NameList>
      </b:Author>
    </b:Author>
    <b:InternetSiteTitle>Organización Mundial de la Salud</b:InternetSiteTitle>
    <b:URL>https://www.who.int/es/news/item/04-04-2023-1-in-6-people-globally-affected-by-infertility</b:URL>
    <b:RefOrder>2</b:RefOrder>
  </b:Source>
  <b:Source>
    <b:Tag>Rey13</b:Tag>
    <b:SourceType>InternetSite</b:SourceType>
    <b:Guid>{E6C33CBD-2495-4DD9-A92C-3FC69E126314}</b:Guid>
    <b:Title>Familias Ensambladas: su problemática jurídica en el Perú</b:Title>
    <b:Year>2013</b:Year>
    <b:Author>
      <b:Author>
        <b:NameList>
          <b:Person>
            <b:Last>Reyna</b:Last>
            <b:First>Henrry</b:First>
          </b:Person>
        </b:NameList>
      </b:Author>
    </b:Author>
    <b:RefOrder>3</b:RefOrder>
  </b:Source>
  <b:Source>
    <b:Tag>Org95</b:Tag>
    <b:SourceType>ConferenceProceedings</b:SourceType>
    <b:Guid>{7E795226-FD5A-4927-A14F-4FE94E776D51}</b:Guid>
    <b:Author>
      <b:Author>
        <b:Corporate>Organización de las Naciones Unidas</b:Corporate>
      </b:Author>
    </b:Author>
    <b:Title>Declaración de Beijing</b:Title>
    <b:Year>1995</b:Year>
    <b:Pages>65</b:Pages>
    <b:ConferenceName>Cuarta Conferencia Mundial sobre la Mujer Beijing</b:ConferenceName>
    <b:City>Beijing</b:City>
    <b:Publisher>UN Women</b:Publisher>
    <b:RefOrder>4</b:RefOrder>
  </b:Source>
  <b:Source>
    <b:Tag>Sae01</b:Tag>
    <b:SourceType>JournalArticle</b:SourceType>
    <b:Guid>{34141F29-A0D0-4F61-B400-C2682FA1AAB1}</b:Guid>
    <b:Title>LOS DERECHOS SEXUALES Y REPRODUCTIVOS Y SU INCIDENCIA EN LA ESTERELIZACIÓN Y LA PROCREACIÓN</b:Title>
    <b:Pages>207-216</b:Pages>
    <b:Year>2001</b:Year>
    <b:City>Chile</b:City>
    <b:Author>
      <b:Author>
        <b:NameList>
          <b:Person>
            <b:Last>Turner</b:Last>
            <b:First>Susan</b:First>
          </b:Person>
        </b:NameList>
      </b:Author>
      <b:Editor>
        <b:NameList>
          <b:Person>
            <b:Last>Facultad de Ciencias Jurídicas y Sociales</b:Last>
            <b:First>Universidad</b:First>
            <b:Middle>Austral de Chile</b:Middle>
          </b:Person>
        </b:NameList>
      </b:Editor>
    </b:Author>
    <b:JournalName>Revista de Derecho de la Universidad Austral de Chile</b:JournalName>
    <b:Volume>XII</b:Volume>
    <b:Issue>2</b:Issue>
    <b:RefOrder>5</b:RefOrder>
  </b:Source>
  <b:Source>
    <b:Tag>Cor92</b:Tag>
    <b:SourceType>JournalArticle</b:SourceType>
    <b:Guid>{9147F92E-5388-4417-A2F7-3B694D4909EA}</b:Guid>
    <b:Title>Admisibilidad  Jurídica de las Técnicas de Procreación Artificial</b:Title>
    <b:JournalName>Revista Chilena de Derecho</b:JournalName>
    <b:Year>1992</b:Year>
    <b:Pages>459</b:Pages>
    <b:Author>
      <b:Author>
        <b:NameList>
          <b:Person>
            <b:Last>Corral</b:Last>
            <b:First>Hernán</b:First>
          </b:Person>
        </b:NameList>
      </b:Author>
    </b:Author>
    <b:RefOrder>6</b:RefOrder>
  </b:Source>
  <b:Source>
    <b:Tag>Car06</b:Tag>
    <b:SourceType>JournalArticle</b:SourceType>
    <b:Guid>{F145773B-F899-405B-AFA9-033B4CEB941C}</b:Guid>
    <b:Title>Libertad de procreación y derecho a la interrupción voluntaria del embarazo</b:Title>
    <b:JournalName>Debate Feminista</b:JournalName>
    <b:Year>2006</b:Year>
    <b:Pages>54-68</b:Pages>
    <b:Author>
      <b:Author>
        <b:NameList>
          <b:Person>
            <b:Last>Carbonell</b:Last>
            <b:First>Miguel</b:First>
          </b:Person>
        </b:NameList>
      </b:Author>
    </b:Author>
    <b:Volume>34</b:Volume>
    <b:DOI>https://doi.org/10.22201/cieg.2594066xe.2006.34.1294</b:DOI>
    <b:RefOrder>7</b:RefOrder>
  </b:Source>
  <b:Source>
    <b:Tag>Gil15</b:Tag>
    <b:SourceType>Book</b:SourceType>
    <b:Guid>{3CB277CB-6731-46C8-91CB-D5A31E6207E6}</b:Guid>
    <b:Author>
      <b:Author>
        <b:NameList>
          <b:Person>
            <b:Last>Gil Domíguez</b:Last>
            <b:First>Andrés</b:First>
          </b:Person>
        </b:NameList>
      </b:Author>
    </b:Author>
    <b:Title>Derecho y nuevas tecnologías reproductivas:filiación, vountad procreacional y autonomía</b:Title>
    <b:Year>2015</b:Year>
    <b:City>Buenos Aires </b:City>
    <b:Publisher>Ediar</b:Publisher>
    <b:RefOrder>8</b:RefOrder>
  </b:Source>
  <b:Source>
    <b:Tag>Gar25</b:Tag>
    <b:SourceType>InternetSite</b:SourceType>
    <b:Guid>{22B8C989-5F84-415F-9154-1EDBD0F1F4A0}</b:Guid>
    <b:Title>Embryocenter</b:Title>
    <b:Year>2025</b:Year>
    <b:Month>enero</b:Month>
    <b:URL>https://embryocenter.es/diferencias-entre-un-embarazo-por-reproduccion-asistida-y-uno-natural/</b:URL>
    <b:Author>
      <b:Author>
        <b:NameList>
          <b:Person>
            <b:Last>García</b:Last>
            <b:First>Silvia</b:First>
          </b:Person>
        </b:NameList>
      </b:Author>
    </b:Author>
    <b:RefOrder>9</b:RefOrder>
  </b:Source>
  <b:Source>
    <b:Tag>Red10</b:Tag>
    <b:SourceType>DocumentFromInternetSite</b:SourceType>
    <b:Guid>{999D11BF-8A78-440D-B91A-1C4CA5CF8953}</b:Guid>
    <b:Title>REDLARA</b:Title>
    <b:Year>2010</b:Year>
    <b:Author>
      <b:Author>
        <b:Corporate>Red Latinoamericana de Reproducción Asistida</b:Corporate>
      </b:Author>
    </b:Author>
    <b:RefOrder>10</b:RefOrder>
  </b:Source>
  <b:Source>
    <b:Tag>Con14</b:Tag>
    <b:SourceType>InternetSite</b:SourceType>
    <b:Guid>{7D68FAD4-B208-43FB-95F8-1F33E2084BF8}</b:Guid>
    <b:Author>
      <b:Author>
        <b:Corporate>Congreso de la Nación Argentina</b:Corporate>
      </b:Author>
    </b:Author>
    <b:Title>Código Civil y Comercial de la Nación (Ley No. 26.994)</b:Title>
    <b:Year>2014</b:Year>
    <b:RefOrder>11</b:RefOrder>
  </b:Source>
  <b:Source>
    <b:Tag>Esp06</b:Tag>
    <b:SourceType>InternetSite</b:SourceType>
    <b:Guid>{A6165217-3C8A-474B-B656-A439B1493AB2}</b:Guid>
    <b:Author>
      <b:Author>
        <b:Corporate>España. Jefatura del Estado</b:Corporate>
      </b:Author>
    </b:Author>
    <b:Title>Ley 14/2006, de 26 de mayo, sobre técnicas de reproducción humana asistida</b:Title>
    <b:InternetSiteTitle>Boletín Oficial del Estado, núm. 126, 27 de mayo de 2006</b:InternetSiteTitle>
    <b:Year>2006</b:Year>
    <b:RefOrder>14</b:RefOrder>
  </b:Source>
  <b:Source>
    <b:Tag>Esp07</b:Tag>
    <b:SourceType>InternetSite</b:SourceType>
    <b:Guid>{1C9C656A-A7D9-4C85-BC66-BD541F002764}</b:Guid>
    <b:Author>
      <b:Author>
        <b:Corporate>España. Jefatura del Estado</b:Corporate>
      </b:Author>
    </b:Author>
    <b:Title>Ley 3/2007, de 15 de marzo, reguladora de la rectificación registral de la mención relativa al sexo de las personas </b:Title>
    <b:InternetSiteTitle>Boletín Oficial del Estado, núm. 65, 16 de marzo de 2007</b:InternetSiteTitle>
    <b:Year>2007</b:Year>
    <b:RefOrder>15</b:RefOrder>
  </b:Source>
  <b:Source>
    <b:Tag>Uru13</b:Tag>
    <b:SourceType>InternetSite</b:SourceType>
    <b:Guid>{F5E97712-F8FB-43C0-BA3A-E80041B94FB2}</b:Guid>
    <b:Author>
      <b:Author>
        <b:Corporate>Uruguay. Poder Legislativo</b:Corporate>
      </b:Author>
    </b:Author>
    <b:Title>Ley n.º 19.167 de Técnicas de Reproducción Humana Asistida</b:Title>
    <b:InternetSiteTitle>Diario Oficial de la República Oriental del Uruguay</b:InternetSiteTitle>
    <b:Year>2013</b:Year>
    <b:RefOrder>12</b:RefOrder>
  </b:Source>
  <b:Source>
    <b:Tag>Cub</b:Tag>
    <b:SourceType>InternetSite</b:SourceType>
    <b:Guid>{52422EEF-DD04-4FA1-A189-6F12D164AFAC}</b:Guid>
    <b:Author>
      <b:Author>
        <b:Corporate>Cuba. Asamblea Nacional del Poder Popular</b:Corporate>
      </b:Author>
    </b:Author>
    <b:Title>Ley 156/2022 Código de las Familias</b:Title>
    <b:InternetSiteTitle>Gaceta Oficial de la República de Cuba, No. 99, 27 de septiembre de 2022</b:InternetSiteTitle>
    <b:Year>2022</b:Year>
    <b:RefOrder>13</b:RefOrder>
  </b:Source>
  <b:Source>
    <b:Tag>Cor18</b:Tag>
    <b:SourceType>DocumentFromInternetSite</b:SourceType>
    <b:Guid>{78187C27-B933-4D88-AC6C-55BA5DE7748E}</b:Guid>
    <b:Author>
      <b:Author>
        <b:Corporate>Corte Constitucional de Ecuador</b:Corporate>
      </b:Author>
    </b:Author>
    <b:Title>Buscador Corte Constitucional  de Ecuador </b:Title>
    <b:Year>2018</b:Year>
    <b:Month>Mayo</b:Month>
    <b:Day>19</b:Day>
    <b:URL>https://buscador.corteconstitucional.gob.ec/buscador-externo/principal/fichaSentencia?numero=184-18-SEP-CC</b:URL>
    <b:RefOrder>16</b:RefOrder>
  </b:Source>
  <b:Source>
    <b:Tag>Cor24</b:Tag>
    <b:SourceType>DocumentFromInternetSite</b:SourceType>
    <b:Guid>{40DD1DB0-2202-48E7-AFFD-06D3434845A4}</b:Guid>
    <b:Author>
      <b:Author>
        <b:Corporate>Corte Constitucional de Ecuador</b:Corporate>
      </b:Author>
    </b:Author>
    <b:Title>Buscador Corte Constitucional</b:Title>
    <b:InternetSiteTitle>https://buscador.corteconstitucional.gob.ec/buscador-externo/principal</b:InternetSiteTitle>
    <b:Year>2024</b:Year>
    <b:Month>junio </b:Month>
    <b:Day>6</b:Day>
    <b:RefOrder>17</b:RefOrder>
  </b:Source>
</b:Sources>
</file>

<file path=customXml/itemProps1.xml><?xml version="1.0" encoding="utf-8"?>
<ds:datastoreItem xmlns:ds="http://schemas.openxmlformats.org/officeDocument/2006/customXml" ds:itemID="{22662332-7D90-465E-A2A4-A2F43052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679</TotalTime>
  <Pages>15</Pages>
  <Words>4871</Words>
  <Characters>26791</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Andre Isaac Pico Molineros</cp:lastModifiedBy>
  <cp:revision>47</cp:revision>
  <dcterms:created xsi:type="dcterms:W3CDTF">2026-08-08T15:34:00Z</dcterms:created>
  <dcterms:modified xsi:type="dcterms:W3CDTF">2026-09-07T01:01:00Z</dcterms:modified>
  <cp:category>Categoria</cp:category>
  <cp:contentStatus>Estado</cp:contentStatus>
</cp:coreProperties>
</file>