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Captulo"/>
      </w:pPr>
      <w:r>
        <w:rPr/>
        <w:t>CAPÍTULO XXX</w:t>
      </w:r>
    </w:p>
    <w:p>
      <w:pPr>
        <w:pStyle w:val="TtCap"/>
      </w:pPr>
      <w:r>
        <w:rPr/>
        <w:t>INFLUENCIA DE LA INTELIGENCIA ARTIFICIAL GENERATIVA EN EL PATRIMONIO LINGÜÍSTICO DE LA HUMANIDAD: UNA APROXIMACIÓN DESDE LOS DERECHOS FUNDAMENTALES</w:t>
      </w:r>
    </w:p>
    <w:p>
      <w:pPr>
        <w:pStyle w:val="Autor"/>
      </w:pPr>
      <w:r>
        <w:rPr/>
        <w:t>VÍCTOR ALESSANDRO DÍAZ RUIZ</w:t>
      </w:r>
    </w:p>
    <w:p>
      <w:pPr>
        <w:pStyle w:val="Adscripcin"/>
      </w:pPr>
      <w:r>
        <w:rPr/>
        <w:t>Universidad Católica de Santiago de Guayaquil</w:t>
      </w:r>
    </w:p>
    <w:p>
      <w:pPr>
        <w:pStyle w:val="Ttulo1"/>
      </w:pPr>
      <w:r>
        <w:rPr/>
        <w:t>1. INTRODUCCIÓN</w:t>
      </w:r>
    </w:p>
    <w:p>
      <w:pPr/>
      <w:r>
        <w:rPr/>
        <w:t>La expansión de la inteligencia artificial generativa ha introducido una nueva forma de mediación del lenguaje. Los modelos de propósito general capaces de producir, resumir, traducir y reformular textos ya no operan únicamente como herramientas accesorias de comunicación: intervienen en la selección de expresiones, en la disponibilidad de contenidos, en la traducción entre comunidades y en las condiciones bajo las cuales determinadas lenguas pueden desenvolverse en entornos digitales. Este fenómeno adquiere relevancia jurídica porque el lenguaje no es solo un instrumento de transmisión de información. También constituye un componente de la identidad cultural, un medio para participar en la vida cultural y, en determinados contextos, un factor expresamente protegido frente a la discriminación.</w:t>
      </w:r>
    </w:p>
    <w:p>
      <w:pPr/>
      <w:r>
        <w:rPr/>
        <w:t>La cuestión debe formularse con precisión. La expresión “patrimonio lingüístico de la humanidad” tiene respaldo programático en la Declaración Universal de la UNESCO sobre la Diversidad Cultural de 2001 y su Plan de Acción, que llama a salvaguardarlo y a promover la diversidad lingüística en el ciberespacio. Sin embargo, no equivale a la categoría técnica de “patrimonio común de la humanidad” ni convierte a todas las lenguas, por ese solo hecho, en bienes sometidos a un régimen internacional uniforme. La Convención de 2003 para la Salvaguardia del Patrimonio Cultural Inmaterial adopta una fórmula distinta: incluye las tradiciones y expresiones orales y reconoce al lenguaje como vehículo del patrimonio cultural inmaterial (UNESCO, 2001, 2003). Esta distinción evita atribuir a los instrumentos internacionales efectos que no contienen y permite situar el problema en su verdadera dimensión: la protección jurídica de la diversidad lingüística como parte de la diversidad cultural y como presupuesto del ejercicio efectivo de derechos.</w:t>
      </w:r>
    </w:p>
    <w:p>
      <w:pPr/>
      <w:r>
        <w:rPr/>
        <w:t xml:space="preserve">El problema de investigación consiste en determinar en qué medida la mediación lingüística ejercida por sistemas de inteligencia artificial generativa puede afectar la protección del patrimonio lingüístico y de la identidad cultural, y si los actuales marcos de derechos fundamentales ofrecen criterios suficientes para responder a riesgos de invisibilización, desempeño desigual y homogeneización. El objetivo general es analizar esa relación desde el Derecho internacional de la cultura, los derechos fundamentales europeos y la regulación emergente de inteligencia artificial. La hipótesis sostiene que el ordenamiento vigente contiene bases jurídicas relevantes —derechos culturales, igualdad y no discriminación, libertad de expresión y respeto de la diversidad lingüística—, pero carece todavía de mecanismos suficientemente específicos para trasladarlas al diseño y despliegue masivo de modelos generativos. La respuesta, por ello, no requiere inventar una protección </w:t>
      </w:r>
      <w:r>
        <w:rPr>
          <w:i/>
        </w:rPr>
        <w:t>ex nihilo</w:t>
      </w:r>
      <w:r>
        <w:rPr/>
        <w:t>, sino desarrollar instrumentos de debida diligencia capaces de hacer operativos esos derechos en entornos algorítmicamente mediados.</w:t>
      </w:r>
    </w:p>
    <w:p>
      <w:pPr>
        <w:pStyle w:val="Ttulo1"/>
      </w:pPr>
      <w:r>
        <w:rPr/>
        <w:t>2. METODOLOGÍA</w:t>
      </w:r>
    </w:p>
    <w:p>
      <w:pPr/>
      <w:r>
        <w:rPr/>
        <w:t xml:space="preserve">La investigación adopta un enfoque cualitativo, dogmático-crítico e interdisciplinario. Desde la dimensión jurídica se examinan instrumentos internacionales sobre derechos culturales, patrimonio cultural, libertad de expresión y diversidad lingüística, con especial atención a la Declaración Universal de la UNESCO sobre la Diversidad Cultural, la Convención para la Salvaguardia del Patrimonio Cultural Inmaterial, los Pactos Internacionales de Derechos Humanos, el Convenio Europeo de Derechos Humanos y la normativa europea sobre igualdad, diversidad lingüística e inteligencia artificial. El análisis distingue entre normas vinculantes, instrumentos de </w:t>
      </w:r>
      <w:r>
        <w:rPr>
          <w:i/>
        </w:rPr>
        <w:t>soft law</w:t>
      </w:r>
      <w:r>
        <w:rPr/>
        <w:t xml:space="preserve"> y propuestas doctrinales, evitando presentar como obligaciones positivas vigentes soluciones que todavía pertenecen al plano interpretativo o regulatorio.</w:t>
      </w:r>
    </w:p>
    <w:p>
      <w:pPr/>
      <w:r>
        <w:rPr/>
        <w:t>La dimensión interdisciplinaria incorpora literatura técnica sobre desigualdades entre lenguas en el procesamiento del lenguaje natural y sobre riesgos de los modelos de gran escala. Esta evidencia no se utiliza para afirmar que toda inteligencia artificial generativa produce necesariamente pérdida lingüística, sino para identificar condiciones técnicas que pueden traducirse en riesgos jurídicamente relevantes. A partir de esa base se realiza una interpretación sistemática orientada a establecer qué deberes de prevención, evaluación y diseño podrían justificarse desde los derechos fundamentales sin bloquear los usos de la inteligencia artificial que favorecen la documentación, traducción, accesibilidad y revitalización lingüística.</w:t>
      </w:r>
    </w:p>
    <w:p>
      <w:pPr>
        <w:pStyle w:val="Ttulo1"/>
      </w:pPr>
      <w:r>
        <w:rPr/>
        <w:t>3. PATRIMONIO LINGÜÍSTICO, DIVERSIDAD E IDENTIDAD CULTURAL</w:t>
      </w:r>
    </w:p>
    <w:p>
      <w:pPr/>
      <w:r>
        <w:rPr/>
        <w:t xml:space="preserve">La relación entre lengua, cultura e identidad aparece en distintos niveles del Derecho internacional. La Declaración Universal de la UNESCO sobre la Diversidad Cultural afirma que los derechos culturales integran los derechos humanos y vincula su ejercicio con la posibilidad de expresarse y crear en la lengua elegida, particularmente la lengua materna, y con una educación respetuosa de la identidad cultural (UNESCO, 2001, arts. 4-6). Su Plan de Acción añade dos directrices especialmente actuales: salvaguardar el patrimonio lingüístico de la humanidad y promover la diversidad lingüística en el ciberespacio. Aunque la Declaración es un instrumento de </w:t>
      </w:r>
      <w:r>
        <w:rPr>
          <w:i/>
        </w:rPr>
        <w:t>soft law</w:t>
      </w:r>
      <w:r>
        <w:rPr/>
        <w:t>, ofrece una formulación normativa temprana de un problema que la inteligencia artificial generativa vuelve estructural: la capacidad tecnológica para comunicarse no es culturalmente neutra cuando unas lenguas encuentran mayor representación, rendimiento y visibilidad que otras.</w:t>
      </w:r>
    </w:p>
    <w:p>
      <w:pPr/>
      <w:r>
        <w:rPr/>
        <w:t>La Convención de 2003 aporta una precisión adicional. Su artículo 2 no declara que cada lengua sea, aisladamente, patrimonio cultural inmaterial; identifica las tradiciones y expresiones orales, “incluido el idioma como vehículo” de ese patrimonio. La lengua adquiere así una función de transmisión: permite conservar memorias, narrativas, prácticas y conocimientos cuya continuidad depende de comunidades concretas (UNESCO, 2003). Esta lectura se complementa con la Convención de 2005 sobre la Diversidad de las Expresiones Culturales, cuyo preámbulo reconoce a la diversidad lingüística como elemento fundamental de la diversidad cultural y destaca que los bienes y servicios culturales transmiten identidades, valores y significados (UNESCO, 2005).</w:t>
      </w:r>
    </w:p>
    <w:p>
      <w:pPr/>
      <w:r>
        <w:rPr/>
        <w:t>Desde los derechos humanos, el artículo 15.1.a del Pacto Internacional de Derechos Económicos, Sociales y Culturales protege la participación en la vida cultural (Naciones Unidas, 1966b). El Comité de Derechos Económicos, Sociales y Culturales ha interpretado que la cultura comprende, entre otros elementos, el lenguaje y la identidad, y ha subrayado su carácter dinámico y comunitario (Comité de Derechos Económicos, Sociales y Culturales, 2009). El artículo 27 del Pacto Internacional de Derechos Civiles y Políticos protege, además, el derecho de las personas pertenecientes a minorías lingüísticas a emplear su propio idioma (Naciones Unidas, 1966a). Para los pueblos indígenas, la Declaración de las Naciones Unidas de 2007 reconoce expresamente el derecho a revitalizar, utilizar, desarrollar y transmitir a las generaciones futuras sus idiomas, tradiciones orales y sistemas de escritura (Naciones Unidas, 2007, art. 13).</w:t>
      </w:r>
    </w:p>
    <w:p>
      <w:pPr/>
      <w:r>
        <w:rPr/>
        <w:t>En el ámbito de aplicación del Derecho de la Unión, la Carta de los Derechos Fundamentales de la Unión Europea prohíbe la discriminación por razón de lengua en su artículo 21 y ordena respetar la diversidad cultural, religiosa y lingüística en su artículo 22 (Unión Europea, 2012). En el sistema del Consejo de Europa, el artículo 10 del Convenio Europeo de Derechos Humanos protege la libertad de expresión, incluida la libertad de recibir o comunicar informaciones o ideas, mientras la Carta Europea de las Lenguas Regionales o Minoritarias protege y promueve lenguas tradicionales como parte del patrimonio cultural europeo (Consejo de Europa, 1950, 1992). Ninguno de estos instrumentos impone, por sí solo, a todo proveedor privado de un modelo generativo la obligación general de ofrecer idénticas prestaciones en todas las lenguas. Sí configuran, sin embargo, un marco desde el cual diferencias tecnológicas persistentes pueden adquirir relevancia jurídica cuando condicionan el acceso a servicios, la participación cultural o el ejercicio de derechos. La identidad cultural funciona aquí como punto de conexión: una lengua no es únicamente un código intercambiable, sino uno de los medios mediante los cuales individuos y comunidades se reconocen, transmiten memoria y producen sentido social.</w:t>
      </w:r>
    </w:p>
    <w:p>
      <w:pPr>
        <w:pStyle w:val="Ttulo1"/>
      </w:pPr>
      <w:r>
        <w:rPr/>
        <w:t>4. LA INTELIGENCIA ARTIFICIAL GENERATIVA COMO INFRAESTRUCTURA DE MEDIACIÓN LINGÜÍSTICA</w:t>
      </w:r>
    </w:p>
    <w:p>
      <w:pPr/>
      <w:r>
        <w:rPr/>
        <w:t>Los modelos generativos aprenden regularidades a partir de grandes volúmenes de datos y producen resultados condicionados por la composición de esos datos, por decisiones de arquitectura, entrenamiento, ajuste y evaluación, y por los incentivos que organizan su despliegue. Hablar de falta de neutralidad no significa atribuir intención al algoritmo, sino reconocer que su rendimiento y sus salidas reflejan decisiones técnicas y distribuciones de información que no son homogéneas entre lenguas.</w:t>
      </w:r>
    </w:p>
    <w:p>
      <w:pPr/>
      <w:r>
        <w:rPr/>
        <w:t>La literatura especializada ha documentado esa asimetría. Joshi et al. (2020) mostraron que solo una fracción reducida de las miles de lenguas existentes dispone de representación significativa en las tecnologías de procesamiento del lenguaje natural. Blasi et al. (2022) cuantificaron desigualdades sistemáticas de rendimiento entre lenguas en tareas como traducción, comprensión, respuesta a preguntas y síntesis de voz. Bender et al. (2021), al examinar los modelos lingüísticos de gran escala, advirtieron sobre los efectos de conjuntos de datos masivos insuficientemente documentados y sobre la reproducción de sesgos presentes en las fuentes utilizadas para el entrenamiento.</w:t>
      </w:r>
    </w:p>
    <w:p>
      <w:pPr/>
      <w:r>
        <w:rPr/>
        <w:t>Estas constataciones no demuestran que la inteligencia artificial cause por sí misma la desaparición de una lengua. El riesgo jurídico aparece por otra vía: cuando los sistemas que median educación, búsqueda, asistencia administrativa, creación de contenidos o comunicación profesional ofrecen resultados consistentemente más útiles, precisos y disponibles en determinadas lenguas, pueden generar incentivos para abandonar otras en espacios digitales de alto valor. La diferencia de rendimiento se transforma entonces en una diferencia de funcionalidad social. A largo plazo, la presencia digital de una lengua puede depender no solo del número de hablantes, sino también de su capacidad para operar de forma efectiva en las infraestructuras tecnológicas que organizan crecientemente el acceso al conocimiento y a los servicios.</w:t>
      </w:r>
    </w:p>
    <w:p>
      <w:pPr>
        <w:pStyle w:val="Ttulo1"/>
      </w:pPr>
      <w:r>
        <w:rPr/>
        <w:t>5. RIESGOS PARA LOS DERECHOS FUNDAMENTALES Y LA IDENTIDAD CULTURAL</w:t>
      </w:r>
    </w:p>
    <w:p>
      <w:pPr/>
      <w:r>
        <w:rPr/>
        <w:t>El primer riesgo es la homogeneización lingüística. No debe entenderse como un resultado inevitable ni como la desaparición automática de dialectos o lenguas minoritarias. Se refiere a una tendencia posible cuando los sistemas privilegian formas lingüísticas dominantes, normalizan variantes mayoritarias o corrigen como anomalía expresiones culturalmente específicas. Si la producción automatizada de texto ocupa una proporción creciente del contenido digital, esa estandarización puede reforzarse por retroalimentación: las formas más visibles generan más datos y los datos más abundantes favorecen nuevamente a las formas más visibles.</w:t>
      </w:r>
    </w:p>
    <w:p>
      <w:pPr/>
      <w:r>
        <w:rPr/>
        <w:t>El segundo riesgo es la discriminación lingüística indirecta. La menor calidad de un modelo en una lengua determinada no constituye, por sí sola, una vulneración de derechos. La valoración cambia cuando esa diferencia se incorpora a contextos jurídicamente sensibles. Si una administración pública utiliza un asistente generativo para orientar a la ciudadanía, un sistema educativo lo integra como apoyo generalizado o un servicio esencial automatiza la atención, una desventaja sistemática para determinados grupos lingüísticos puede traducirse en acceso desigual al servicio o a la información. Dentro del ámbito de aplicación de la Carta, la lengua aparece expresamente entre los motivos protegidos por su artículo 21; por ello, una práctica aparentemente neutral que produzca desventajas lingüísticas relevantes debe examinarse a la luz del principio de igualdad y de la legislación antidiscriminatoria aplicable (Unión Europea, 2012).</w:t>
      </w:r>
    </w:p>
    <w:p>
      <w:pPr/>
      <w:r>
        <w:rPr/>
        <w:t>El tercer riesgo afecta la libertad de expresión y la identidad cultural. El artículo 19.2 del Pacto Internacional de Derechos Civiles y Políticos protege la libertad de buscar, recibir y difundir informaciones e ideas por cualquier procedimiento, y el artículo 10 del Convenio Europeo de Derechos Humanos protege la libertad de recibir y comunicar informaciones e ideas (Consejo de Europa, 1950; Naciones Unidas, 1966a). El Comité de Derechos Humanos ha destacado, además, que la libertad de expresión es el vehículo para el intercambio y desarrollo de opiniones (Comité de Derechos Humanos, 2011). Estas garantías no reconocen un derecho a obtener idéntica amplificación algorítmica, pero sí proporcionan un parámetro para examinar entornos en los que la traducción, reformulación o recomendación condicionan materialmente la circulación de expresiones. El problema no es que toda intermediación sea ilícita, sino que la falta de transparencia sobre limitaciones lingüísticas puede inducir a sustituir vocabulario, registros o lenguas por aquellos que el sistema procesa mejor. Cuando ese desplazamiento afecta prácticas lingüísticas ligadas a la pertenencia cultural, también compromete la dimensión identitaria de los derechos culturales.</w:t>
      </w:r>
    </w:p>
    <w:p>
      <w:pPr/>
      <w:r>
        <w:rPr/>
        <w:t>La Recomendación de la UNESCO sobre la Ética de la Inteligencia Artificial identifica de manera directa esta relación. Reconoce que la inteligencia artificial puede afectar la identidad y la diversidad cultural y, en su párrafo 95, insta a examinar el impacto cultural de las aplicaciones de procesamiento del lenguaje natural sobre los matices del lenguaje y la expresión, incluyendo el riesgo de reducción de uso de lenguas en peligro, dialectos locales y variaciones tonales y culturales (UNESCO, 2021). Esta formulación es especialmente relevante porque desplaza el análisis desde la mera exactitud técnica hacia los efectos culturales de la infraestructura lingüística.</w:t>
      </w:r>
    </w:p>
    <w:p>
      <w:pPr>
        <w:pStyle w:val="Ttulo1"/>
      </w:pPr>
      <w:r>
        <w:rPr/>
        <w:t>6. OPORTUNIDADES DE PROTECCIÓN Y REVITALIZACIÓN</w:t>
      </w:r>
    </w:p>
    <w:p>
      <w:pPr/>
      <w:r>
        <w:rPr/>
        <w:t>Una aproximación basada en derechos no exige adoptar una posición adversarial frente a la tecnología. Los mismos sistemas que pueden profundizar asimetrías ofrecen herramientas para documentar vocabularios, facilitar traducciones, desarrollar recursos educativos, mejorar accesibilidad y ampliar la presencia digital de lenguas con escasos recursos. La UNESCO recomienda expresamente incorporar sistemas de inteligencia artificial, cuando resulte apropiado, a la preservación, enriquecimiento, comprensión y accesibilidad del patrimonio cultural, incluidas lenguas amenazadas e indígenas, mediante enfoques participativos (UNESCO, 2021, párr. 94).</w:t>
      </w:r>
    </w:p>
    <w:p>
      <w:pPr/>
      <w:r>
        <w:rPr/>
        <w:t>La diferencia entre revitalización y apropiación tecnológica depende del diseño institucional. La digitalización de una lengua minoritaria no puede reducirse a extraer datos de sus hablantes y utilizarlos en un modelo sin participación, información o retorno para la comunidad. Cuando existen conocimientos tradicionales, expresiones culturalmente sensibles o datos personales, deben considerarse las normas aplicables sobre consentimiento, protección de datos, propiedad intelectual y derechos colectivos. El objetivo no es congelar las lenguas como objetos de museo: las lenguas evolucionan precisamente porque sus comunidades las usan. La protección jurídicamente adecuada consiste en preservar su capacidad de seguir siendo vehículos funcionales de identidad, creación, educación y participación en las nuevas condiciones tecnológicas.</w:t>
      </w:r>
    </w:p>
    <w:p>
      <w:pPr>
        <w:pStyle w:val="Ttulo1"/>
      </w:pPr>
      <w:r>
        <w:rPr/>
        <w:t>7. REGULACIÓN DE INTELIGENCIA ARTIFICIAL Y BRECHA DE PROTECCIÓN LINGÜÍSTICA</w:t>
      </w:r>
    </w:p>
    <w:p>
      <w:pPr/>
      <w:r>
        <w:rPr/>
        <w:t>El Derecho de la inteligencia artificial ha avanzado hacia modelos de regulación basados en riesgos y derechos fundamentales, pero la dimensión lingüística permanece dispersa. El Reglamento (UE) 2024/1689, conocido como Reglamento de Inteligencia Artificial, declara como finalidad asegurar un alto nivel de protección de los derechos fundamentales y establece obligaciones diferenciadas según el nivel de riesgo. Su artículo 27 exige una evaluación de impacto sobre los derechos fundamentales para determinados desplegadores de sistemas de alto riesgo. Para los modelos de IA de uso general, el artículo 53 impone documentación técnica, información sobre capacidades y limitaciones, una política destinada a cumplir el Derecho de la Unión en materia de derechos de autor y derechos afines, y un resumen suficientemente detallado del contenido utilizado para el entrenamiento. Los modelos de IA de uso general con riesgo sistémico quedan sometidos, además, a las obligaciones reforzadas de evaluación y mitigación previstas en el artículo 55 (Unión Europea, 2024).</w:t>
      </w:r>
    </w:p>
    <w:p>
      <w:pPr/>
      <w:r>
        <w:rPr/>
        <w:t>Este régimen ofrece puntos de apoyo, pero no contiene una obligación general y específica de evaluar la diversidad lingüística de los modelos de IA de uso general. Tampoco transforma automáticamente una disparidad de rendimiento entre lenguas en incumplimiento regulatorio. La brecha es, por ello, de especificidad: los derechos protegidos pueden resultar afectados, pero los instrumentos técnicos utilizados para demostrar conformidad no exigen de manera transversal medir qué lenguas están representadas, con qué calidad funcionan, qué variantes se invisibilizan o qué comunidades soportan el riesgo de una exclusión funcional.</w:t>
      </w:r>
    </w:p>
    <w:p>
      <w:pPr/>
      <w:r>
        <w:rPr/>
        <w:t>El Consejo de Europa ha avanzado en una dirección complementaria mediante el Convenio Marco sobre Inteligencia Artificial y Derechos Humanos, Democracia y Estado de Derecho, abierto a la firma en 2024. El instrumento estructura la gobernanza de la inteligencia artificial en torno a dignidad, autonomía, igualdad, no discriminación, transparencia y responsabilidad, e incorpora evaluaciones de riesgos e impactos sobre derechos humanos (Consejo de Europa, 2024). Al cierre de esta investigación, el 6 de septiembre de 2026, el registro oficial del Treaty Office consignaba una aprobación —la de la Unión Europea— y el Convenio todavía no había entrado en vigor; su artículo 30 exige cinco ratificaciones, aceptaciones o aprobaciones, al menos tres de Estados miembros del Consejo de Europa (Consejo de Europa, 2026). Debe distinguirse, por ello, su relevancia normativa de su eficacia convencional actual. Su lógica, no obstante, confirma una tendencia: los impactos de la inteligencia artificial deben examinarse desde derechos preexistentes y no únicamente desde criterios de seguridad técnica.</w:t>
      </w:r>
    </w:p>
    <w:p>
      <w:pPr/>
      <w:r>
        <w:rPr/>
        <w:t>La respuesta jurídica adecuada no consiste en crear una obligación absoluta de igualdad matemática entre todas las lenguas. Tal exigencia sería técnicamente irreal y podría obstaculizar proyectos precisamente dirigidos a lenguas de pocos recursos. La exigencia debe ser proporcional al contexto, escala y función del sistema: identificar asimetrías relevantes, informar limitaciones, evitar exclusiones injustificadas y adoptar medidas razonables cuando el modelo se integra en actividades capaces de afectar derechos.</w:t>
      </w:r>
    </w:p>
    <w:p>
      <w:pPr>
        <w:pStyle w:val="Ttulo1"/>
      </w:pPr>
      <w:r>
        <w:rPr/>
        <w:t>8. DIVERSIDAD LINGÜÍSTICA POR DISEÑO Y EVALUACIÓN DE IMPACTO LINGÜÍSTICO</w:t>
      </w:r>
    </w:p>
    <w:p>
      <w:pPr/>
      <w:r>
        <w:rPr/>
        <w:t>A partir del marco examinado pueden formularse dos herramientas jurídicas de desarrollo progresivo. La primera es la diversidad lingüística por diseño. No se propone como principio positivo ya consolidado, sino como criterio de debida diligencia derivado de la combinación entre diversidad cultural, igualdad, participación y prevención de impactos. Su contenido mínimo exigiría incorporar la variable lingüística desde las fases de obtención y documentación de datos, entrenamiento, evaluación y despliegue; medir el desempeño por lenguas y variantes relevantes; identificar errores sistemáticos asociados con comunidades específicas; documentar limitaciones y establecer canales de participación cuando el sistema afecte directamente a grupos lingüísticos minoritarios.</w:t>
      </w:r>
    </w:p>
    <w:p>
      <w:pPr/>
      <w:r>
        <w:rPr/>
        <w:t>La segunda herramienta es una evaluación de impacto lingüístico. La propuesta encuentra un antecedente normativo directo en el párrafo 95 de la Recomendación de la UNESCO de 2021, que pide examinar el impacto cultural de las aplicaciones de procesamiento del lenguaje sobre los matices de la expresión. También resulta compatible con la evaluación de derechos fundamentales prevista para determinados sistemas de alto riesgo en el artículo 27 del Reglamento europeo y con el enfoque de evaluación de riesgos del Convenio Marco del Consejo de Europa. Su función sería identificar, antes del despliegue y durante la operación, qué grupos lingüísticos pueden verse afectados, qué diferencias de rendimiento existen, si esas diferencias inciden en el acceso a derechos o servicios y qué medidas de mitigación son razonables.</w:t>
      </w:r>
    </w:p>
    <w:p>
      <w:pPr/>
      <w:r>
        <w:rPr/>
        <w:t>Esta evaluación no debe convertirse en un trámite abstracto. Para sistemas de gran escala podría incluir, al menos, un inventario de lenguas y variantes efectivamente evaluadas; información sobre procedencia y calidad de datos; métricas comparables de desempeño; pruebas con hablantes o expertos de comunidades relevantes; identificación de contextos en los que un error lingüístico puede producir consecuencias jurídicas; y mecanismos periódicos de revisión. La intensidad de estas exigencias debe aumentar cuando el sistema se utiliza en educación, servicios públicos, justicia, salud, empleo u otros ámbitos donde una desigualdad lingüística puede traducirse en una desigualdad material.</w:t>
      </w:r>
    </w:p>
    <w:p>
      <w:pPr/>
      <w:r>
        <w:rPr/>
        <w:t>Sobre esta base puede plantearse, como construcción interpretativa y no como derecho autónomo ya reconocido en el Derecho positivo, un derecho a un entorno lingüístico digital diverso y no manipulador. Su utilidad reside en reunir obligaciones dispersas bajo una misma pregunta: si las personas y comunidades conservan condiciones razonables para usar, transmitir y desarrollar su lengua sin que la arquitectura tecnológica las fuerce de hecho a adoptar la lengua o variante dominante para acceder a funciones digitales esenciales. “No manipulador” no significa ausencia de toda mediación algorítmica, sino transparencia suficiente sobre ella, posibilidad de elección y prohibición de diseños que exploten deliberadamente asimetrías informativas para alterar de manera encubierta la expresión cultural del usuario.</w:t>
      </w:r>
    </w:p>
    <w:p>
      <w:pPr/>
      <w:r>
        <w:rPr/>
        <w:t>Esta construcción se apoya en derechos existentes —libertad de expresión, igualdad, participación cultural e identidad— y debe mantenerse abierta a ponderación. No genera un deber universal de soportar cualquier lengua en todo producto privado ni un derecho a obtener idéntico rendimiento tecnológico en cualquier circunstancia. Sí permite exigir mayor justificación cuando el carácter estructural o la amplia implantación de una infraestructura, la naturaleza del servicio o la intervención pública convierten una diferencia lingüística en una barrera relevante para el ejercicio de derechos fundamentales.</w:t>
      </w:r>
    </w:p>
    <w:p>
      <w:pPr>
        <w:pStyle w:val="Ttulo1"/>
      </w:pPr>
      <w:r>
        <w:rPr/>
        <w:t>9. CONCLUSIONES</w:t>
      </w:r>
    </w:p>
    <w:p>
      <w:pPr/>
      <w:r>
        <w:rPr/>
        <w:t>La inteligencia artificial generativa ha transformado la cuestión lingüística en un problema de infraestructura jurídica y no únicamente de representación cultural. Cuando modelos de propósito general median traducción, educación, búsqueda, creación y acceso a servicios, la desigual capacidad de las lenguas para funcionar dentro de esos sistemas puede afectar la participación cultural, la igualdad y la libertad de expresión. El Derecho no parte de un vacío: la UNESCO ha vinculado expresamente diversidad cultural, identidad, patrimonio lingüístico y ciberespacio; los tratados de derechos humanos protegen la participación en la vida cultural y el uso de lenguas en contextos específicos; y el sistema europeo incorpora la lengua entre los motivos de no discriminación y reconoce la diversidad lingüística como valor jurídico.</w:t>
      </w:r>
    </w:p>
    <w:p>
      <w:pPr/>
      <w:r>
        <w:rPr/>
        <w:t>La hipótesis se confirma con una precisión. Los marcos existentes ofrecen fundamento suficiente para evaluar jurídicamente determinados impactos de la inteligencia artificial generativa, pero todavía no traducen de manera sistemática esa protección en obligaciones lingüísticas específicas para modelos de IA de uso general. El Reglamento europeo de inteligencia artificial fortalece la evaluación de derechos y la documentación de modelos, mientras la Recomendación de la UNESCO contiene una referencia particularmente avanzada al impacto del procesamiento del lenguaje sobre lenguas amenazadas, dialectos y variaciones culturales. La insuficiencia no es, por tanto, de ausencia normativa absoluta, sino de conexión operativa entre derechos culturales y gobernanza tecnológica.</w:t>
      </w:r>
    </w:p>
    <w:p>
      <w:pPr/>
      <w:r>
        <w:rPr/>
        <w:t>La inteligencia artificial también puede convertirse en una herramienta de revitalización. Su legitimidad en este ámbito dependerá de que las comunidades lingüísticas no sean tratadas únicamente como fuentes de datos, sino como participantes en las decisiones que condicionan la representación, uso y evolución digital de sus lenguas. La diversidad lingüística por diseño y la evaluación de impacto lingüístico ofrecen mecanismos proporcionados para orientar esa participación y hacer visibles riesgos que las evaluaciones técnicas generales pueden pasar por alto.</w:t>
      </w:r>
    </w:p>
    <w:p>
      <w:pPr/>
      <w:r>
        <w:rPr/>
        <w:t>Finalmente, el derecho a un entorno lingüístico digital diverso y no manipulador debe entenderse, en el estado actual del Derecho, como una propuesta interpretativa y no como una nueva categoría positiva consolidada. Su valor consiste en articular derechos ya reconocidos alrededor de una realidad emergente: la identidad cultural y el patrimonio lingüístico no se preservan solo garantizando que una lengua pueda ser hablada, sino también evitando que pierda funcionalidad en los espacios digitales donde se produce conocimiento, se ejerce ciudadanía y se construye cultura. El desafío jurídico no es impedir la evolución del lenguaje por efecto de la tecnología, sino asegurar que esa evolución no sea el resultado silencioso de asimetrías técnicas que excluyan a determinadas comunidades de la nueva esfera comunicativa.</w:t>
      </w:r>
    </w:p>
    <w:p>
      <w:pPr>
        <w:pStyle w:val="Ttulo1"/>
      </w:pPr>
      <w:r>
        <w:rPr/>
        <w:t>10. REFERENCIAS</w:t>
      </w:r>
    </w:p>
    <w:p>
      <w:pPr>
        <w:pStyle w:val="Bibliografa"/>
      </w:pPr>
      <w:r>
        <w:rPr>
          <w:i w:val="0"/>
        </w:rPr>
        <w:t xml:space="preserve">Bender, E. M., Gebru, T., McMillan-Major, A., &amp; Shmitchell, S. (2021). On the dangers of stochastic parrots: Can language models be too big? </w:t>
      </w:r>
      <w:r>
        <w:rPr>
          <w:i/>
        </w:rPr>
        <w:t>Proceedings of the 2021 ACM Conference on Fairness, Accountability, and Transparency</w:t>
      </w:r>
      <w:r>
        <w:rPr>
          <w:i w:val="0"/>
        </w:rPr>
        <w:t xml:space="preserve"> (pp. 610–623). Association for Computing Machinery. https://doi.org/10.1145/3442188.3445922</w:t>
      </w:r>
    </w:p>
    <w:p>
      <w:pPr>
        <w:pStyle w:val="Bibliografa"/>
      </w:pPr>
      <w:r>
        <w:rPr>
          <w:i w:val="0"/>
        </w:rPr>
        <w:t xml:space="preserve">Blasi, D., Anastasopoulos, A., &amp; Neubig, G. (2022). Systematic inequalities in language technology performance across the world’s languages. In </w:t>
      </w:r>
      <w:r>
        <w:rPr>
          <w:i/>
        </w:rPr>
        <w:t>Proceedings of the 60th Annual Meeting of the Association for Computational Linguistics (Volume 1: Long Papers)</w:t>
      </w:r>
      <w:r>
        <w:rPr>
          <w:i w:val="0"/>
        </w:rPr>
        <w:t xml:space="preserve"> (pp. 5486–5505). Association for Computational Linguistics. https://doi.org/10.18653/v1/2022.acl-long.376</w:t>
      </w:r>
    </w:p>
    <w:p>
      <w:pPr>
        <w:pStyle w:val="Bibliografa"/>
      </w:pPr>
      <w:r>
        <w:rPr>
          <w:i w:val="0"/>
        </w:rPr>
        <w:t xml:space="preserve">Comité de Derechos Económicos, Sociales y Culturales. (2009). </w:t>
      </w:r>
      <w:r>
        <w:rPr>
          <w:i/>
        </w:rPr>
        <w:t>Observación general núm. 21: Derecho de toda persona a participar en la vida cultural (artículo 15, párrafo 1 a), del Pacto Internacional de Derechos Económicos, Sociales y Culturales)</w:t>
      </w:r>
      <w:r>
        <w:rPr>
          <w:i w:val="0"/>
        </w:rPr>
        <w:t xml:space="preserve"> (E/C.12/GC/21). Naciones Unidas.</w:t>
      </w:r>
    </w:p>
    <w:p>
      <w:pPr>
        <w:pStyle w:val="Bibliografa"/>
      </w:pPr>
      <w:r>
        <w:rPr>
          <w:i w:val="0"/>
        </w:rPr>
        <w:t xml:space="preserve">Comité de Derechos Humanos. (2011). </w:t>
      </w:r>
      <w:r>
        <w:rPr>
          <w:i/>
        </w:rPr>
        <w:t>Observación general núm. 34: Artículo 19. Libertad de opinión y libertad de expresión</w:t>
      </w:r>
      <w:r>
        <w:rPr>
          <w:i w:val="0"/>
        </w:rPr>
        <w:t xml:space="preserve"> (CCPR/C/GC/34). Naciones Unidas.</w:t>
      </w:r>
    </w:p>
    <w:p>
      <w:pPr>
        <w:pStyle w:val="Bibliografa"/>
      </w:pPr>
      <w:r>
        <w:rPr>
          <w:i w:val="0"/>
        </w:rPr>
        <w:t xml:space="preserve">Consejo de Europa. (1950). </w:t>
      </w:r>
      <w:r>
        <w:rPr>
          <w:i/>
        </w:rPr>
        <w:t>Convenio para la Protección de los Derechos Humanos y de las Libertades Fundamentales</w:t>
      </w:r>
      <w:r>
        <w:rPr>
          <w:i w:val="0"/>
        </w:rPr>
        <w:t xml:space="preserve"> (ETS núm. 5).</w:t>
      </w:r>
    </w:p>
    <w:p>
      <w:pPr>
        <w:pStyle w:val="Bibliografa"/>
      </w:pPr>
      <w:r>
        <w:rPr>
          <w:i w:val="0"/>
        </w:rPr>
        <w:t xml:space="preserve">Consejo de Europa. (1992). </w:t>
      </w:r>
      <w:r>
        <w:rPr>
          <w:i/>
        </w:rPr>
        <w:t>Carta Europea de las Lenguas Regionales o Minoritarias</w:t>
      </w:r>
      <w:r>
        <w:rPr>
          <w:i w:val="0"/>
        </w:rPr>
        <w:t xml:space="preserve"> (ETS núm. 148).</w:t>
      </w:r>
    </w:p>
    <w:p>
      <w:pPr>
        <w:pStyle w:val="Bibliografa"/>
      </w:pPr>
      <w:r>
        <w:rPr>
          <w:i w:val="0"/>
        </w:rPr>
        <w:t xml:space="preserve">Consejo de Europa. (2024). </w:t>
      </w:r>
      <w:r>
        <w:rPr>
          <w:i/>
        </w:rPr>
        <w:t>Council of Europe Framework Convention on Artificial Intelligence and Human Rights, Democracy and the Rule of Law</w:t>
      </w:r>
      <w:r>
        <w:rPr>
          <w:i w:val="0"/>
        </w:rPr>
        <w:t xml:space="preserve"> (CETS No. 225).</w:t>
      </w:r>
    </w:p>
    <w:p>
      <w:pPr>
        <w:pStyle w:val="Bibliografa"/>
      </w:pPr>
      <w:r>
        <w:rPr>
          <w:i w:val="0"/>
        </w:rPr>
        <w:t xml:space="preserve">Consejo de Europa. (2026, 6 de septiembre). </w:t>
      </w:r>
      <w:r>
        <w:rPr>
          <w:i/>
        </w:rPr>
        <w:t>Chart of signatures and ratifications of Treaty 225</w:t>
      </w:r>
      <w:r>
        <w:rPr>
          <w:i w:val="0"/>
        </w:rPr>
        <w:t>. Treaty Office.</w:t>
      </w:r>
    </w:p>
    <w:p>
      <w:pPr>
        <w:pStyle w:val="Bibliografa"/>
      </w:pPr>
      <w:r>
        <w:rPr>
          <w:i w:val="0"/>
        </w:rPr>
        <w:t xml:space="preserve">Joshi, P., Santy, S., Budhiraja, A., Bali, K., &amp; Choudhury, M. (2020). The state and fate of linguistic diversity and inclusion in the NLP world. In </w:t>
      </w:r>
      <w:r>
        <w:rPr>
          <w:i/>
        </w:rPr>
        <w:t>Proceedings of the 58th Annual Meeting of the Association for Computational Linguistics</w:t>
      </w:r>
      <w:r>
        <w:rPr>
          <w:i w:val="0"/>
        </w:rPr>
        <w:t xml:space="preserve"> (pp. 6282–6293). Association for Computational Linguistics. https://doi.org/10.18653/v1/2020.acl-main.560</w:t>
      </w:r>
    </w:p>
    <w:p>
      <w:pPr>
        <w:pStyle w:val="Bibliografa"/>
      </w:pPr>
      <w:r>
        <w:rPr>
          <w:i w:val="0"/>
        </w:rPr>
        <w:t xml:space="preserve">Naciones Unidas. (1966a). </w:t>
      </w:r>
      <w:r>
        <w:rPr>
          <w:i/>
        </w:rPr>
        <w:t>Pacto Internacional de Derechos Civiles y Políticos</w:t>
      </w:r>
      <w:r>
        <w:rPr>
          <w:i w:val="0"/>
        </w:rPr>
        <w:t>, 999 U.N.T.S. 171.</w:t>
      </w:r>
    </w:p>
    <w:p>
      <w:pPr>
        <w:pStyle w:val="Bibliografa"/>
      </w:pPr>
      <w:r>
        <w:rPr>
          <w:i w:val="0"/>
        </w:rPr>
        <w:t xml:space="preserve">Naciones Unidas. (1966b). </w:t>
      </w:r>
      <w:r>
        <w:rPr>
          <w:i/>
        </w:rPr>
        <w:t>Pacto Internacional de Derechos Económicos, Sociales y Culturales</w:t>
      </w:r>
      <w:r>
        <w:rPr>
          <w:i w:val="0"/>
        </w:rPr>
        <w:t>, 993 U.N.T.S. 3.</w:t>
      </w:r>
    </w:p>
    <w:p>
      <w:pPr>
        <w:pStyle w:val="Bibliografa"/>
      </w:pPr>
      <w:r>
        <w:rPr>
          <w:i w:val="0"/>
        </w:rPr>
        <w:t xml:space="preserve">Naciones Unidas. (2007). </w:t>
      </w:r>
      <w:r>
        <w:rPr>
          <w:i/>
        </w:rPr>
        <w:t>Declaración de las Naciones Unidas sobre los derechos de los pueblos indígenas</w:t>
      </w:r>
      <w:r>
        <w:rPr>
          <w:i w:val="0"/>
        </w:rPr>
        <w:t xml:space="preserve"> (A/RES/61/295).</w:t>
      </w:r>
    </w:p>
    <w:p>
      <w:pPr>
        <w:pStyle w:val="Bibliografa"/>
      </w:pPr>
      <w:r>
        <w:rPr>
          <w:i w:val="0"/>
        </w:rPr>
        <w:t xml:space="preserve">UNESCO. (2001). </w:t>
      </w:r>
      <w:r>
        <w:rPr>
          <w:i/>
        </w:rPr>
        <w:t>Declaración Universal de la UNESCO sobre la Diversidad Cultural</w:t>
      </w:r>
      <w:r>
        <w:rPr>
          <w:i w:val="0"/>
        </w:rPr>
        <w:t>.</w:t>
      </w:r>
    </w:p>
    <w:p>
      <w:pPr>
        <w:pStyle w:val="Bibliografa"/>
      </w:pPr>
      <w:r>
        <w:rPr>
          <w:i w:val="0"/>
        </w:rPr>
        <w:t xml:space="preserve">UNESCO. (2003). </w:t>
      </w:r>
      <w:r>
        <w:rPr>
          <w:i/>
        </w:rPr>
        <w:t>Convención para la Salvaguardia del Patrimonio Cultural Inmaterial</w:t>
      </w:r>
      <w:r>
        <w:rPr>
          <w:i w:val="0"/>
        </w:rPr>
        <w:t>.</w:t>
      </w:r>
    </w:p>
    <w:p>
      <w:pPr>
        <w:pStyle w:val="Bibliografa"/>
      </w:pPr>
      <w:r>
        <w:rPr>
          <w:i w:val="0"/>
        </w:rPr>
        <w:t xml:space="preserve">UNESCO. (2005). </w:t>
      </w:r>
      <w:r>
        <w:rPr>
          <w:i/>
        </w:rPr>
        <w:t>Convención sobre la Protección y Promoción de la Diversidad de las Expresiones Culturales</w:t>
      </w:r>
      <w:r>
        <w:rPr>
          <w:i w:val="0"/>
        </w:rPr>
        <w:t>.</w:t>
      </w:r>
    </w:p>
    <w:p>
      <w:pPr>
        <w:pStyle w:val="Bibliografa"/>
      </w:pPr>
      <w:r>
        <w:rPr>
          <w:i w:val="0"/>
        </w:rPr>
        <w:t xml:space="preserve">UNESCO. (2021). </w:t>
      </w:r>
      <w:r>
        <w:rPr>
          <w:i/>
        </w:rPr>
        <w:t>Recomendación sobre la ética de la inteligencia artificial</w:t>
      </w:r>
      <w:r>
        <w:rPr>
          <w:i w:val="0"/>
        </w:rPr>
        <w:t>. 41.ª Conferencia General.</w:t>
      </w:r>
    </w:p>
    <w:p>
      <w:pPr>
        <w:pStyle w:val="Bibliografa"/>
      </w:pPr>
      <w:r>
        <w:rPr>
          <w:i w:val="0"/>
        </w:rPr>
        <w:t xml:space="preserve">Unión Europea. (2012). </w:t>
      </w:r>
      <w:r>
        <w:rPr>
          <w:i/>
        </w:rPr>
        <w:t>Carta de los Derechos Fundamentales de la Unión Europea</w:t>
      </w:r>
      <w:r>
        <w:rPr>
          <w:i w:val="0"/>
        </w:rPr>
        <w:t>. Diario Oficial de la Unión Europea, C 326, 391–407.</w:t>
      </w:r>
    </w:p>
    <w:p>
      <w:pPr>
        <w:pStyle w:val="Bibliografa"/>
      </w:pPr>
      <w:r>
        <w:rPr>
          <w:i w:val="0"/>
        </w:rPr>
        <w:t xml:space="preserve">Unión Europea. (2024). Reglamento (UE) 2024/1689 del Parlamento Europeo y del Consejo, de 13 de junio de 2024, por el que se establecen normas armonizadas en materia de inteligencia artificial (Reglamento de Inteligencia Artificial). </w:t>
      </w:r>
      <w:r>
        <w:rPr>
          <w:i/>
        </w:rPr>
        <w:t>Diario Oficial de la Unión Europea</w:t>
      </w:r>
      <w:r>
        <w:rPr>
          <w:i w:val="0"/>
        </w:rPr>
        <w:t>, L 2024/1689, 12 de julio de 2024.</w:t>
      </w:r>
    </w:p>
    <w:sectPr w:rsidR="00A13F3F"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6A53E" w14:textId="77777777" w:rsidR="00CD7F95" w:rsidRDefault="00CD7F95" w:rsidP="00EB0247">
      <w:pPr>
        <w:spacing w:after="0" w:line="240" w:lineRule="auto"/>
      </w:pPr>
      <w:r>
        <w:separator/>
      </w:r>
    </w:p>
  </w:endnote>
  <w:endnote w:type="continuationSeparator" w:id="0">
    <w:p w14:paraId="55D5278F" w14:textId="77777777" w:rsidR="00CD7F95" w:rsidRDefault="00CD7F95"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A32C0" w14:textId="77777777" w:rsidR="00CD7F95" w:rsidRDefault="00CD7F95" w:rsidP="00EB0247">
      <w:pPr>
        <w:spacing w:after="0" w:line="240" w:lineRule="auto"/>
      </w:pPr>
      <w:r>
        <w:separator/>
      </w:r>
    </w:p>
  </w:footnote>
  <w:footnote w:type="continuationSeparator" w:id="0">
    <w:p w14:paraId="177ACDA1" w14:textId="77777777" w:rsidR="00CD7F95" w:rsidRDefault="00CD7F95"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3131"/>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55476"/>
    <w:rsid w:val="007701F1"/>
    <w:rsid w:val="00775F05"/>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5CE3"/>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13F3F"/>
    <w:rsid w:val="00A206F1"/>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D7F95"/>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5</TotalTime>
  <Pages>16</Pages>
  <Words>5227</Words>
  <Characters>28753</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Influencia de la inteligencia artificial generativa en el patrimonio lingüístico de la humanidad: una aproximación desde los derechos fundamentales</dc:title>
  <dc:subject>Asunto</dc:subject>
  <dc:creator>Víctor Alessandro Díaz Ruiz</dc:creator>
  <cp:keywords>Etiqueta</cp:keywords>
  <dc:description/>
  <cp:lastModifiedBy>Alessandro Díaz R.</cp:lastModifiedBy>
  <cp:revision>2</cp:revision>
  <dcterms:created xsi:type="dcterms:W3CDTF">2026-09-06T05:32:00Z</dcterms:created>
  <dcterms:modified xsi:type="dcterms:W3CDTF">2026-09-06T05:32:00Z</dcterms:modified>
  <cp:category>Categoria</cp:category>
  <cp:contentStatus>Estado</cp:contentStatus>
</cp:coreProperties>
</file>