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Captulo"/>
      </w:pPr>
      <w:r>
        <w:t>CAPÍTULO XXX</w:t>
      </w:r>
    </w:p>
    <w:p>
      <w:pPr>
        <w:pStyle w:val="TtCap"/>
      </w:pPr>
      <w:r>
        <w:t>LA INTELIGENCIA ARTIFICIAL GENERATIVA Y SU IMPLICACIÓN EN LA EVOLUCIÓN DEL DERECHO A LA IDENTIDAD CULTURAL: DESAFÍOS DEL DERECHO FRENTE A LA VENTAJA TECNOLÓGICA</w:t>
      </w:r>
    </w:p>
    <w:p>
      <w:pPr>
        <w:pStyle w:val="Autor"/>
      </w:pPr>
      <w:r>
        <w:t>VÍCTOR ALESSANDRO DÍAZ RUIZ</w:t>
      </w:r>
    </w:p>
    <w:p>
      <w:pPr>
        <w:pStyle w:val="Adscripcin"/>
      </w:pPr>
      <w:r>
        <w:t>Universidad Católica de Santiago de Guayaquil</w:t>
      </w:r>
    </w:p>
    <w:p>
      <w:pPr>
        <w:pStyle w:val="Ttulo1"/>
      </w:pPr>
      <w:r>
        <w:t>1. INTRODUCCIÓN</w:t>
      </w:r>
    </w:p>
    <w:p>
      <w:pPr/>
      <w:r>
        <w:t>La inteligencia artificial generativa ha dejado de ser una tecnología confinada a tareas experimentales y se ha convertido en una infraestructura de producción y mediación cultural. Los sistemas capaces de generar texto, imágenes, audio y video intervienen hoy en procesos de creación, traducción, educación, búsqueda, entretenimiento y comunicación pública. En ese tránsito no se limitan a reproducir información: seleccionan patrones, completan significados, recombinan símbolos y ofrecen representaciones culturalmente situadas. El problema jurídico surge cuando esa capacidad opera a una escala y velocidad superiores a las de los mecanismos tradicionales de tutela de los derechos culturales.</w:t>
      </w:r>
    </w:p>
    <w:p>
      <w:pPr/>
      <w:r>
        <w:t>La noción de “ventaja tecnológica” utilizada en este trabajo no describe una superioridad normativa de la tecnología frente al Derecho. Alude a una asimetría temporal y estructural: los sistemas generativos se despliegan, actualizan y adquieren funciones sociales antes de que los ordenamientos definan con precisión cómo deben protegerse la identidad, la diversidad y la participación cultural dentro de entornos algorítmicos. Esa asimetría importa porque la identidad cultural no es una realidad puramente privada ni estática. Comprende procesos mediante los cuales personas y comunidades construyen pertenencias, transmiten memoria, producen expresiones, reelaboran tradiciones y deciden cómo presentarse ante otros.</w:t>
      </w:r>
    </w:p>
    <w:p>
      <w:pPr/>
      <w:r>
        <w:t>El problema de investigación consiste en determinar si las categorías jurídicas que actualmente protegen la identidad cultural ofrecen respuestas suficientes frente a formas de mediación generativa capaces de favorecer homogeneización, sesgos de representación, invisibilización de expresiones minoritarias y producción sintética de contenidos culturalmente plausibles pero falsos. El objetivo general es analizar el impacto de la inteligencia artificial generativa en la evolución del derecho a la identidad cultural y establecer qué estándares jurídicos pueden desarrollarse sin convertir la protección cultural en una exigencia de inmovilidad o autenticidad impuesta. La hipótesis sostiene que el Derecho positivo ya contiene bases suficientes para proteger la autonomía, participación y diversidad culturales, pero requiere una evolución interpretativa que traslade esas garantías a la arquitectura, evaluación y despliegue de sistemas generativos.</w:t>
      </w:r>
    </w:p>
    <w:p>
      <w:pPr>
        <w:pStyle w:val="Ttulo1"/>
      </w:pPr>
      <w:r>
        <w:t>2. METODOLOGÍA</w:t>
      </w:r>
    </w:p>
    <w:p>
      <w:pPr/>
      <w:r>
        <w:t>La investigación adopta un enfoque cualitativo, teórico y dogmático-jurídico, complementado por una perspectiva crítica e interdisciplinaria. El análisis normativo comprende el Pacto Internacional de Derechos Económicos, Sociales y Culturales, el Pacto Internacional de Derechos Civiles y Políticos, la Declaración de las Naciones Unidas sobre los Derechos de los Pueblos Indígenas, instrumentos de la UNESCO sobre diversidad y patrimonio cultural, la Carta de los Derechos Fundamentales de la Unión Europea, la Constitución ecuatoriana y el Reglamento europeo de Inteligencia Artificial. Se incorpora, además, la jurisprudencia de la Corte Interamericana de Derechos Humanos sobre identidad cultural.</w:t>
      </w:r>
    </w:p>
    <w:p>
      <w:pPr/>
      <w:r>
        <w:t>La dimensión interdisciplinaria utiliza literatura especializada sobre sesgo cultural en grandes modelos de lenguaje y aproximaciones decoloniales a la inteligencia artificial. Estas fuentes no se emplean para afirmar que todo sistema generativo produzca necesariamente homogeneización cultural, sino para identificar mecanismos técnicos y relaciones de poder susceptibles de adquirir relevancia jurídica. El método distingue entre obligaciones convencionales, normas constitucionales, soft law, evidencia empírica y propuestas interpretativas. Esta separación es necesaria para evitar dos errores: presentar como derecho vigente soluciones que aún no lo son y, en sentido contrario, asumir que la ausencia de una norma específicamente denominada “identidad cultural algorítmica” deja el fenómeno fuera del ámbito de los derechos fundamentales.</w:t>
      </w:r>
    </w:p>
    <w:p>
      <w:pPr>
        <w:pStyle w:val="Ttulo1"/>
      </w:pPr>
      <w:r>
        <w:t>3. CONFIGURACIÓN JURÍDICA DEL DERECHO A LA IDENTIDAD CULTURAL</w:t>
      </w:r>
    </w:p>
    <w:p>
      <w:pPr/>
      <w:r>
        <w:t>El derecho a la identidad cultural no presenta una formulación idéntica en todos los sistemas de protección. En el plano universal, su contenido se construye a partir de varios derechos convergentes. El artículo 15.1.a del Pacto Internacional de Derechos Económicos, Sociales y Culturales reconoce el derecho de toda persona a participar en la vida cultural. La Observación General núm. 21 interpreta la cultura de manera amplia y dinámica e incluye, entre otros elementos, formas de vida, lenguaje, literatura, costumbres, valores, religiones, conocimientos y artes; además, vincula la participación cultural con la posibilidad de escoger la propia identidad y de expresar prácticas culturales (Comité de Derechos Económicos, Sociales y Culturales, 2009). El artículo 27 del Pacto Internacional de Derechos Civiles y Políticos añade una garantía específica para personas pertenecientes a minorías étnicas, religiosas o lingüísticas (Naciones Unidas, 1966a, 1966b).</w:t>
      </w:r>
    </w:p>
    <w:p>
      <w:pPr/>
      <w:r>
        <w:t>La protección se intensifica respecto de pueblos indígenas. La Declaración de las Naciones Unidas de 2007 reconoce el derecho a no sufrir asimilación forzada o destrucción de la cultura y protege la práctica, revitalización y transmisión de tradiciones, costumbres y manifestaciones culturales (Naciones Unidas, 2007). En el sistema interamericano, la Corte Interamericana sostuvo en el caso Pueblo Indígena Kichwa de Sarayaku vs. Ecuador que la identidad cultural es un derecho fundamental y de naturaleza colectiva de las comunidades indígenas, cuya protección debe comprender sus valores, usos, costumbres, cosmovisión y formas de organización (Corte Interamericana de Derechos Humanos, 2012). Este precedente es particularmente relevante, pero no debe generalizarse de manera mecánica: su formulación se refiere a la dimensión colectiva de comunidades indígenas y se vincula con un contexto específico de propiedad comunal, consulta y supervivencia cultural.</w:t>
      </w:r>
    </w:p>
    <w:p>
      <w:pPr/>
      <w:r>
        <w:t>El ordenamiento ecuatoriano aporta una formulación individual explícita. El artículo 21 de la Constitución reconoce a las personas el derecho a construir y mantener su propia identidad cultural, decidir su pertenencia a una o varias comunidades culturales, expresar esas elecciones, conocer la memoria histórica de sus culturas, acceder a su patrimonio y difundir sus propias expresiones culturales (Ecuador, 2008). La importancia de esta disposición radica en que concibe la identidad como una facultad de construcción y elección, no como una etiqueta fija impuesta desde fuera. Esta característica resulta decisiva frente a tecnologías que pueden inferir, representar o recrear atributos culturales sin participación del sujeto o de la comunidad concernida.</w:t>
      </w:r>
    </w:p>
    <w:p>
      <w:pPr/>
      <w:r>
        <w:t>En el ámbito europeo, la Carta de los Derechos Fundamentales de la Unión Europea añade un parámetro de pluralismo al ordenar, en su artículo 22, el respeto de la diversidad cultural, religiosa y lingüística, además de prohibir determinadas formas de discriminación en su artículo 21 (Unión Europea, 2012). Estas disposiciones no reconocen de forma autónoma un “derecho a la identidad cultural” con el mismo tenor que la Constitución ecuatoriana, pero refuerzan la exigencia de que la gobernanza tecnológica no trate la diversidad como una anomalía que deba ser eliminada por razones de estandarización o eficiencia.</w:t>
      </w:r>
    </w:p>
    <w:p>
      <w:pPr/>
      <w:r>
        <w:t>Los instrumentos de la UNESCO completan esta arquitectura. La Declaración Universal sobre la Diversidad Cultural vincula diversidad, derechos humanos, creatividad e identidad; la Convención de 2003 protege las manifestaciones del patrimonio cultural inmaterial y enfatiza su recreación constante por las comunidades; y la Convención de 2005 define el contenido cultural como el sentido simbólico, la dimensión artística y los valores culturales que emanan de identidades culturales o las expresan. Esta última establece, además, que la diversidad se manifiesta a través de múltiples modos de creación, producción, difusión, distribución y disfrute, cualesquiera que sean los medios y tecnologías utilizados (UNESCO, 2001, 2003, 2005). El dato jurídico es importante: la protección cultural no desaparece cuando la mediación deja de ser analógica y pasa a ser digital.</w:t>
      </w:r>
    </w:p>
    <w:p>
      <w:pPr/>
      <w:r>
        <w:t>De esta arquitectura se desprende una consecuencia metodológica: proteger identidad cultural no equivale a imponer una definición oficial de la cultura. El derecho protege tanto la continuidad como la capacidad de cambio, pertenencia múltiple y disenso interno. La igualdad de dignidad de las culturas prevista en la Convención de 2005 debe coexistir con las libertades de expresión y creación y con la posibilidad de las personas de elegir expresiones culturales (UNESCO, 2005). En consecuencia, una política de inteligencia artificial compatible con derechos fundamentales no puede asumir que cada grupo posee una esencia única que el sistema deba reproducir. Debe, más bien, evitar que la tecnología cierre artificialmente esa pluralidad mediante estereotipos presentados como hechos.</w:t>
      </w:r>
    </w:p>
    <w:p>
      <w:pPr>
        <w:pStyle w:val="Ttulo1"/>
      </w:pPr>
      <w:r>
        <w:t>4. LA INTELIGENCIA ARTIFICIAL GENERATIVA COMO MEDIADOR CULTURAL</w:t>
      </w:r>
    </w:p>
    <w:p>
      <w:pPr/>
      <w:r>
        <w:t>Los modelos generativos se entrenan sobre grandes volúmenes de información y producen resultados mediante regularidades estadísticas, ajustes y decisiones de diseño. Desde una perspectiva jurídica, su falta de neutralidad no significa que el sistema posea intención cultural propia. Significa que los datos disponibles, las categorías de evaluación, las políticas de moderación y los objetivos de optimización pueden favorecer determinadas representaciones y reducir otras. La escala transforma esa característica técnica en un problema de poder cultural: una respuesta estandarizada puede repetirse millones de veces y convertirse en referencia para usuarios que no conocen las limitaciones del modelo.</w:t>
      </w:r>
    </w:p>
    <w:p>
      <w:pPr/>
      <w:r>
        <w:t>La evidencia empírica aconseja abandonar la presunción de universalidad cultural. Tao et al. (2024), al comparar respuestas de varios grandes modelos con datos de encuestas representativas, encontraron una inclinación consistente hacia valores próximos a países angloparlantes y de Europa protestante; el estudio mostró también que el alineamiento puede mejorar mediante contextualización cultural, aunque no de forma uniforme. Naous et al. (2024), en una evaluación centrada en contextos árabes, identificaron dificultades de adaptación cultural y mostraron que fuentes de entrenamiento ampliamente utilizadas no garantizan por sí mismas sensibilidad frente a contextos locales. Estos resultados no permiten afirmar que los modelos “tengan una cultura”, pero sí demuestran que sus salidas pueden presentar patrones culturalmente desiguales.</w:t>
      </w:r>
    </w:p>
    <w:p>
      <w:pPr/>
      <w:r>
        <w:t>La aproximación decolonial añade una dimensión institucional. Mohamed et al. (2020) proponen analizar la inteligencia artificial desde las relaciones históricas de poder que condicionan quién define problemas, recolecta datos, diseña tecnologías y distribuye beneficios. Trasladada al ámbito jurídico, esta perspectiva obliga a preguntar quién decide qué representación de una tradición es suficientemente correcta, qué fuentes se consideran autorizadas y qué comunidades tienen capacidad para cuestionar una salida sintética. El riesgo no se limita a una respuesta ofensiva. También comprende la normalización silenciosa de una versión cultural dominante como si fuera neutral o universal.</w:t>
      </w:r>
    </w:p>
    <w:p>
      <w:pPr>
        <w:pStyle w:val="Ttulo1"/>
      </w:pPr>
      <w:r>
        <w:t>5. RIESGOS PARA LA IDENTIDAD CULTURAL</w:t>
      </w:r>
    </w:p>
    <w:p>
      <w:pPr/>
      <w:r>
        <w:t>El primer riesgo es la homogeneización representacional. Cuando un sistema responde de manera recurrente a preguntas sobre costumbres, símbolos, prácticas o valores mediante patrones dominantes, puede reducir la diversidad interna de una cultura y presentar como canónica una versión que en realidad es discutida, regional o históricamente contingente. La identidad cultural, sin embargo, no exige pureza ni inmovilidad. Las culturas se transforman mediante intercambio y reinterpretación. El problema jurídico aparece cuando esa evolución deja de depender principalmente de procesos sociales abiertos y empieza a estar condicionada por infraestructuras opacas que privilegian determinadas fuentes sin informar sobre esa selección.</w:t>
      </w:r>
    </w:p>
    <w:p>
      <w:pPr/>
      <w:r>
        <w:t>El segundo riesgo es la sustitución de agencia cultural por clasificación algorítmica. Una persona puede utilizar la inteligencia artificial para explorar su historia, producir una obra o traducir una experiencia; pero el sistema también puede inferir estereotipos a partir de nombre, territorio, lengua o apariencia y devolver contenidos que encasillen al usuario dentro de una representación simplificada. Frente a ello, la lógica del artículo 21 de la Constitución ecuatoriana y de los derechos culturales internacionales resulta especialmente útil: la identidad es algo que las personas y comunidades construyen, mantienen y expresan, no una categoría que terceros puedan fijar exhaustivamente por inferencia tecnológica.</w:t>
      </w:r>
    </w:p>
    <w:p>
      <w:pPr/>
      <w:r>
        <w:t>El tercer riesgo afecta la autenticidad y procedencia de las expresiones culturales. La generación de imágenes, voces o textos permite recrear estilos, rituales, personajes, narrativas y bienes culturales con un grado creciente de verosimilitud. No toda recreación constituye apropiación ni toda imitación es jurídicamente ilícita; la libertad artística y la circulación cultural también requieren protección. Sin embargo, cuando una producción sintética se presenta como auténtica, atribuye falsamente una expresión a una comunidad o reemplaza materialmente la voz de sus integrantes en espacios relevantes, pueden afectarse memoria, reputación colectiva, acceso a información cultural fiable y capacidad de autodeterminación representacional. Aquí la transparencia sobre procedencia cumple una función distinta de la propiedad intelectual: permite saber si una manifestación proviene de una comunidad, de un creador identificable o de un sistema generativo.</w:t>
      </w:r>
    </w:p>
    <w:p>
      <w:pPr/>
      <w:r>
        <w:t>El cuarto riesgo deriva de la concentración de intermediación cultural. Las plataformas generativas no son simples archivos: ordenan respuestas, recomiendan contenidos y reducen la multiplicidad de fuentes a una salida sintética. La Convención de 2005 ya advertía que las tecnologías de información crean oportunidades de interacción pero también riesgos de desequilibrio para la diversidad cultural; sus orientaciones para el entorno digital impulsan ofertas culturalmente inclusivas y acceso equilibrado a expresiones diversas (UNESCO, 2005, 2017). La inteligencia artificial intensifica el problema porque la diversidad puede perderse antes de que el usuario llegue siquiera a elegir entre fuentes culturales distintas.</w:t>
      </w:r>
    </w:p>
    <w:p>
      <w:pPr/>
      <w:r>
        <w:t>Existe, además, un riesgo para el pluralismo democrático. Las identidades culturales se forman también mediante discusión pública, contraste de narrativas y acceso a expresiones distintas. Si un sistema generativo se convierte en intermediario habitual y ofrece una síntesis única sobre episodios históricos, prácticas religiosas, símbolos nacionales o conflictos culturales, la comodidad de la respuesta puede ocultar que existían interpretaciones concurrentes. El problema no exige que toda salida reproduzca todas las perspectivas posibles; exige reconocer que, en contextos culturalmente controvertidos, la diversidad de fuentes y la posibilidad de rastrear la procedencia de la información son condiciones relevantes para una deliberación que no reduzca el pluralismo a una respuesta algorítmica uniforme.</w:t>
      </w:r>
    </w:p>
    <w:p>
      <w:pPr>
        <w:pStyle w:val="Ttulo1"/>
      </w:pPr>
      <w:r>
        <w:t>6. OPORTUNIDADES Y DEBER DE EVITAR UNA PROTECCIÓN PATERNALISTA</w:t>
      </w:r>
    </w:p>
    <w:p>
      <w:pPr/>
      <w:r>
        <w:t>La respuesta jurídica no debe asumir que toda transformación cultural mediada por inteligencia artificial es una pérdida. Los sistemas generativos pueden ampliar el acceso a archivos, facilitar traducciones, apoyar procesos educativos, reconstruir materiales deteriorados, documentar patrimonio inmaterial y ofrecer herramientas creativas a comunidades con pocos recursos. La Recomendación de la UNESCO sobre la Ética de la Inteligencia Artificial alienta expresamente el uso apropiado de estos sistemas para preservar, enriquecer, comprender, promover y hacer accesible el patrimonio cultural, incluidas lenguas y conocimientos indígenas, mediante enfoques participativos (UNESCO, 2021, párr. 94).</w:t>
      </w:r>
    </w:p>
    <w:p>
      <w:pPr/>
      <w:r>
        <w:t>La cuestión decisiva es quién controla el proceso. Una política que pretenda “proteger” una cultura congelando sus expresiones o impidiendo que sus propios integrantes utilicen tecnologías generativas puede terminar lesionando la autonomía que busca garantizar. La identidad cultural tiene una dimensión de continuidad, pero también de cambio voluntario. Por ello, el estándar jurídico no debe dirigirse a conservar una fotografía oficial de cada cultura, sino a preservar condiciones para que personas y comunidades puedan crear, reinterpretar, rechazar y transmitir sus expresiones sin que las limitaciones del sistema tecnológico se conviertan en una forma indirecta de imposición.</w:t>
      </w:r>
    </w:p>
    <w:p>
      <w:pPr/>
      <w:r>
        <w:t>Ese enfoque exige participación. Cuando conjuntos de datos incorporan patrimonio, conocimientos tradicionales o expresiones de comunidades históricamente marginadas, la debida diligencia debería considerar procedencia, contexto, sensibilidad cultural, reglas aplicables de propiedad intelectual y datos personales, así como mecanismos de consulta cuando el uso pueda producir impactos relevantes. La participación no equivale a reconocer un veto universal sobre cualquier referencia cultural; supone reconocer que la calidad jurídica de la decisión mejora cuando quienes soportan el riesgo de tergiversación pueden intervenir en la identificación y mitigación de ese riesgo.</w:t>
      </w:r>
    </w:p>
    <w:p>
      <w:pPr>
        <w:pStyle w:val="Ttulo1"/>
      </w:pPr>
      <w:r>
        <w:t>7. RESPUESTAS REGULATORIAS Y LA VENTAJA TECNOLÓGICA</w:t>
      </w:r>
    </w:p>
    <w:p>
      <w:pPr/>
      <w:r>
        <w:t>La regulación contemporánea ofrece herramientas útiles, aunque todavía fragmentarias. La Recomendación de la UNESCO de 2021 es especialmente directa: sus párrafos 94 a 96 abordan patrimonio, impacto cultural de aplicaciones de procesamiento del lenguaje y participación de artistas y profesionales creativos. La implementación de la Convención de 2005 en el entorno digital fue desarrollada mediante Directrices Operativas aprobadas en 2017 por la Conferencia de las Partes (Resolución 6.CP 11). En 2026, el Comité Intergubernamental volvió a examinar propuestas de revisión de esas directrices para responder mejor al impacto de los modelos de inteligencia artificial sobre las industrias culturales y creativas (UNESCO, 2017, 2021, 2026). La evolución institucional confirma que el problema ya no consiste en decidir si lo digital pertenece al Derecho de la cultura, sino en determinar con qué instrumentos debe gobernarse.</w:t>
      </w:r>
    </w:p>
    <w:p>
      <w:pPr/>
      <w:r>
        <w:t>El Reglamento (UE) 2024/1689 aporta dos mecanismos particularmente relevantes. Su artículo 27 exige, para determinados desplegadores de sistemas de alto riesgo, una evaluación del impacto que el uso del sistema puede producir sobre derechos fundamentales. Su artículo 50 establece, con las condiciones y excepciones previstas en el propio precepto, obligaciones de transparencia para determinados contenidos generados o manipulados artificialmente: impone a los proveedores, en los supuestos comprendidos por la norma, el marcado en formato legible por máquina y detectable de contenidos sintéticos y, para los deepfakes, exige a los desplegadores divulgar su carácter artificial, con una regla específica para obras evidentemente artísticas, creativas, satíricas, ficticias o análogas (Unión Europea, 2024). Estas disposiciones no crean un derecho autónomo a la identidad cultural ni una evaluación cultural general para todos los modelos generativos, pero proporcionan una infraestructura normativa sobre la que pueden construirse garantías más específicas.</w:t>
      </w:r>
    </w:p>
    <w:p>
      <w:pPr/>
      <w:r>
        <w:t>La brecha regulatoria surge precisamente allí. El Derecho de la cultura protege diversidad, participación, patrimonio e identidad, pero tradicionalmente no fue diseñado para auditar modelos generativos de propósito general. El Derecho de inteligencia artificial incorpora evaluación, transparencia y gestión de riesgos, pero no convierte de manera transversal la identidad cultural en una variable específica de evaluación. La “ventaja tecnológica” consiste, por tanto, en que la arquitectura capaz de moldear representaciones culturales ya opera a gran escala mientras la conexión entre ambos campos jurídicos permanece incompleta.</w:t>
      </w:r>
    </w:p>
    <w:p>
      <w:pPr>
        <w:pStyle w:val="Ttulo1"/>
      </w:pPr>
      <w:r>
        <w:t>8. HACIA UNA EVOLUCIÓN DEL CONTENIDO PROTECTOR DE LA IDENTIDAD CULTURAL</w:t>
      </w:r>
    </w:p>
    <w:p>
      <w:pPr/>
      <w:r>
        <w:t>La primera consecuencia interpretativa es reconocer una dimensión de agencia cultural en entornos algorítmicos. No se propone crear un derecho a que toda respuesta de una inteligencia artificial coincida con la autoimagen de cada usuario o comunidad. Sí puede sostenerse que los derechos culturales existentes protegen frente a mecanismos que, por su escala, función y contexto, sustituyan injustificadamente la capacidad de las personas para definir y expresar su pertenencia cultural. La agencia cultural exige evitar que inferencias automatizadas sean tratadas como determinaciones auténticas de identidad y demanda posibilidades razonables de corrección cuando una clasificación tecnológica se incorpora a decisiones o servicios capaces de afectar derechos.</w:t>
      </w:r>
    </w:p>
    <w:p>
      <w:pPr/>
      <w:r>
        <w:t>La segunda consecuencia es una exigencia de transparencia culturalmente relevante. El deber de identificar contenido sintético previsto en el Reglamento europeo constituye un punto de partida, pero la procedencia importa especialmente cuando el contenido pretende representar tradiciones, hechos históricos, testimonios, rituales o expresiones atribuidas a comunidades concretas. La transparencia no garantiza por sí sola veracidad ni evita estereotipos; permite, sin embargo, reconstruir la cadena de representación y reduce el riesgo de que una simulación tecnológicamente convincente sea confundida con una manifestación cultural originaria.</w:t>
      </w:r>
    </w:p>
    <w:p>
      <w:pPr/>
      <w:r>
        <w:t>La tercera herramienta es una evaluación de impacto sobre identidad y diversidad cultural. Debe entenderse como propuesta de desarrollo normativo, no como obligación general ya consolidada. Podría integrarse a las evaluaciones de derechos fundamentales cuando el contexto lo justifique y considerar: grupos y comunidades potencialmente afectados; fuentes culturales utilizadas; riesgos de estereotipación o invisibilización; capacidad del sistema para distinguir ficción, recreación y fuente histórica; mecanismos de participación; impacto sobre acceso a expresiones diversas; y medidas de mitigación. Su intensidad debería ser proporcional. No tendría sentido exigir el mismo nivel de análisis a una herramienta privada de uso limitado que a un sistema desplegado en educación pública, servicios culturales, medios de gran alcance o instituciones encargadas de memoria y patrimonio.</w:t>
      </w:r>
    </w:p>
    <w:p>
      <w:pPr/>
      <w:r>
        <w:t>Finalmente, puede formularse un estándar de no sustitución de la agencia cultural. Este estándar no impediría que la inteligencia artificial participe en procesos creativos ni atribuiría a una comunidad una propiedad general sobre cualquier referencia a su cultura. Su función sería más limitada: impedir que la eficiencia tecnológica se convierta en razón suficiente para desplazar sistemáticamente la participación humana en contextos donde está en juego la definición, transmisión o representación pública de una identidad cultural. La tecnología puede asistir a la cultura; no debería transformarse, por defecto, en la autoridad que determina qué versión de una cultura merece ser visible.</w:t>
      </w:r>
    </w:p>
    <w:p>
      <w:pPr>
        <w:pStyle w:val="Ttulo1"/>
      </w:pPr>
      <w:r>
        <w:t>9. CONCLUSIONES</w:t>
      </w:r>
    </w:p>
    <w:p>
      <w:pPr/>
      <w:r>
        <w:t>La inteligencia artificial generativa obliga a revisar la forma en que el Derecho comprende la protección de la identidad cultural. La dificultad no deriva de que las categorías tradicionales hayan perdido toda utilidad. El derecho a participar en la vida cultural, la protección de minorías y pueblos indígenas, la diversidad de expresiones culturales, la libertad de creación y, en ordenamientos como el ecuatoriano, el derecho explícito a construir y mantener la propia identidad cultural proporcionan un núcleo jurídico suficientemente sólido. El problema está en trasladar ese núcleo a infraestructuras que producen y ordenan representaciones culturales mediante procesos técnicos poco visibles para sus usuarios.</w:t>
      </w:r>
    </w:p>
    <w:p>
      <w:pPr/>
      <w:r>
        <w:t>La hipótesis se confirma con una precisión: la inteligencia artificial generativa no exige necesariamente reconocer un nuevo derecho fundamental autónomo, pero sí desarrollar el contenido operativo de derechos ya existentes. Los riesgos examinados —homogeneización representacional, clasificación cultural, producción sintética engañosa y concentración de intermediación— no convierten a la tecnología en una amenaza inevitable. Identifican situaciones en las que la ausencia de participación, transparencia o evaluación puede transformar una diferencia técnica en una afectación jurídicamente relevante.</w:t>
      </w:r>
    </w:p>
    <w:p>
      <w:pPr/>
      <w:r>
        <w:t>La evolución del derecho a la identidad cultural debería orientarse, por ello, hacia tres garantías: agencia cultural en entornos algorítmicos, transparencia sobre la procedencia de representaciones sintéticas y evaluación proporcional de impactos culturales cuando la escala o función del sistema puedan afectar derechos. Estas herramientas deben preservar un equilibrio decisivo: proteger la diversidad sin esencializar las culturas, y regular la mediación tecnológica sin impedir que personas y comunidades utilicen la inteligencia artificial para transformar voluntariamente sus propias expresiones.</w:t>
      </w:r>
    </w:p>
    <w:p>
      <w:pPr/>
      <w:r>
        <w:t>El desafío jurídico frente a la ventaja tecnológica no consiste en hacer que el Derecho compita con la velocidad de cada innovación. Consiste en formular principios suficientemente estables para gobernar tecnologías cambiantes. En materia de identidad cultural, ese principio puede expresarse de forma concreta: ninguna eficiencia algorítmica debería justificar que personas y comunidades pierdan capacidad efectiva para participar en la construcción, transmisión y representación de aquello que culturalmente las identifica.</w:t>
      </w:r>
    </w:p>
    <w:p>
      <w:pPr>
        <w:pStyle w:val="Ttulo1"/>
      </w:pPr>
      <w:r>
        <w:t>10. REFERENCIAS</w:t>
      </w:r>
    </w:p>
    <w:p>
      <w:pPr>
        <w:pStyle w:val="Bibliografa"/>
      </w:pPr>
      <w:r>
        <w:rPr>
          <w:i w:val="0"/>
        </w:rPr>
        <w:t xml:space="preserve">Comité de Derechos Económicos, Sociales y Culturales. (2009). </w:t>
      </w:r>
      <w:r>
        <w:rPr>
          <w:i/>
        </w:rPr>
        <w:t>Observación general núm. 21: Derecho de toda persona a participar en la vida cultural (artículo 15, párrafo 1 a), del Pacto Internacional de Derechos Económicos, Sociales y Culturales)</w:t>
      </w:r>
      <w:r>
        <w:rPr>
          <w:i w:val="0"/>
        </w:rPr>
        <w:t xml:space="preserve"> (E/C.12/GC/21). Naciones Unidas.</w:t>
      </w:r>
    </w:p>
    <w:p>
      <w:pPr>
        <w:pStyle w:val="Bibliografa"/>
      </w:pPr>
      <w:r>
        <w:rPr>
          <w:i w:val="0"/>
        </w:rPr>
        <w:t xml:space="preserve">Corte Interamericana de Derechos Humanos. (2012). </w:t>
      </w:r>
      <w:r>
        <w:rPr>
          <w:i/>
        </w:rPr>
        <w:t>Caso Pueblo Indígena Kichwa de Sarayaku vs. Ecuador. Fondo y reparaciones. Sentencia de 27 de junio de 2012. Serie C No. 245</w:t>
      </w:r>
      <w:r>
        <w:rPr>
          <w:i w:val="0"/>
        </w:rPr>
        <w:t>.</w:t>
      </w:r>
    </w:p>
    <w:p>
      <w:pPr>
        <w:pStyle w:val="Bibliografa"/>
      </w:pPr>
      <w:r>
        <w:rPr>
          <w:i w:val="0"/>
        </w:rPr>
        <w:t xml:space="preserve">Ecuador. (2008). </w:t>
      </w:r>
      <w:r>
        <w:rPr>
          <w:i/>
        </w:rPr>
        <w:t>Constitución de la República del Ecuador</w:t>
      </w:r>
      <w:r>
        <w:rPr>
          <w:i w:val="0"/>
        </w:rPr>
        <w:t>. Registro Oficial 449, 20 de octubre de 2008.</w:t>
      </w:r>
    </w:p>
    <w:p>
      <w:pPr>
        <w:pStyle w:val="Bibliografa"/>
      </w:pPr>
      <w:r>
        <w:rPr>
          <w:i w:val="0"/>
        </w:rPr>
        <w:t xml:space="preserve">Mohamed, S., Png, M.-T., &amp; Isaac, W. (2020). Decolonial AI: Decolonial theory as sociotechnical foresight in artificial intelligence. </w:t>
      </w:r>
      <w:r>
        <w:rPr>
          <w:i/>
        </w:rPr>
        <w:t>Philosophy &amp; Technology, 33</w:t>
      </w:r>
      <w:r>
        <w:rPr>
          <w:i w:val="0"/>
        </w:rPr>
        <w:t>, 659–684. https://doi.org/10.1007/s13347-020-00405-8</w:t>
      </w:r>
    </w:p>
    <w:p>
      <w:pPr>
        <w:pStyle w:val="Bibliografa"/>
      </w:pPr>
      <w:r>
        <w:rPr>
          <w:i w:val="0"/>
        </w:rPr>
        <w:t xml:space="preserve">Naciones Unidas. (1966a). </w:t>
      </w:r>
      <w:r>
        <w:rPr>
          <w:i/>
        </w:rPr>
        <w:t>Pacto Internacional de Derechos Civiles y Políticos</w:t>
      </w:r>
      <w:r>
        <w:rPr>
          <w:i w:val="0"/>
        </w:rPr>
        <w:t>, 999 U.N.T.S. 171.</w:t>
      </w:r>
    </w:p>
    <w:p>
      <w:pPr>
        <w:pStyle w:val="Bibliografa"/>
      </w:pPr>
      <w:r>
        <w:rPr>
          <w:i w:val="0"/>
        </w:rPr>
        <w:t xml:space="preserve">Naciones Unidas. (1966b). </w:t>
      </w:r>
      <w:r>
        <w:rPr>
          <w:i/>
        </w:rPr>
        <w:t>Pacto Internacional de Derechos Económicos, Sociales y Culturales</w:t>
      </w:r>
      <w:r>
        <w:rPr>
          <w:i w:val="0"/>
        </w:rPr>
        <w:t>, 993 U.N.T.S. 3.</w:t>
      </w:r>
    </w:p>
    <w:p>
      <w:pPr>
        <w:pStyle w:val="Bibliografa"/>
      </w:pPr>
      <w:r>
        <w:rPr>
          <w:i w:val="0"/>
        </w:rPr>
        <w:t xml:space="preserve">Naciones Unidas. (2007). </w:t>
      </w:r>
      <w:r>
        <w:rPr>
          <w:i/>
        </w:rPr>
        <w:t>Declaración de las Naciones Unidas sobre los derechos de los pueblos indígenas</w:t>
      </w:r>
      <w:r>
        <w:rPr>
          <w:i w:val="0"/>
        </w:rPr>
        <w:t xml:space="preserve"> (A/RES/61/295).</w:t>
      </w:r>
    </w:p>
    <w:p>
      <w:pPr>
        <w:pStyle w:val="Bibliografa"/>
      </w:pPr>
      <w:r>
        <w:rPr>
          <w:i w:val="0"/>
        </w:rPr>
        <w:t xml:space="preserve">Naous, T., Ryan, M. J., Ritter, A., &amp; Xu, W. (2024). Having beer after prayer? Measuring cultural bias in large language models. In </w:t>
      </w:r>
      <w:r>
        <w:rPr>
          <w:i/>
        </w:rPr>
        <w:t>Proceedings of the 62nd Annual Meeting of the Association for Computational Linguistics (Volume 1: Long Papers)</w:t>
      </w:r>
      <w:r>
        <w:rPr>
          <w:i w:val="0"/>
        </w:rPr>
        <w:t xml:space="preserve"> (pp. 16366–16393). Association for Computational Linguistics. https://doi.org/10.18653/v1/2024.acl-long.862</w:t>
      </w:r>
    </w:p>
    <w:p>
      <w:pPr>
        <w:pStyle w:val="Bibliografa"/>
      </w:pPr>
      <w:r>
        <w:rPr>
          <w:i w:val="0"/>
        </w:rPr>
        <w:t xml:space="preserve">Tao, Y., Viberg, O., Baker, R. S., &amp; Kizilcec, R. F. (2024). Cultural bias and cultural alignment of large language models. </w:t>
      </w:r>
      <w:r>
        <w:rPr>
          <w:i/>
        </w:rPr>
        <w:t>PNAS Nexus, 3</w:t>
      </w:r>
      <w:r>
        <w:rPr>
          <w:i w:val="0"/>
        </w:rPr>
        <w:t>(9), pgae346. https://doi.org/10.1093/pnasnexus/pgae346</w:t>
      </w:r>
    </w:p>
    <w:p>
      <w:pPr>
        <w:pStyle w:val="Bibliografa"/>
      </w:pPr>
      <w:r>
        <w:rPr>
          <w:i w:val="0"/>
        </w:rPr>
        <w:t xml:space="preserve">UNESCO. (2001). </w:t>
      </w:r>
      <w:r>
        <w:rPr>
          <w:i/>
        </w:rPr>
        <w:t>Declaración Universal de la UNESCO sobre la Diversidad Cultural</w:t>
      </w:r>
      <w:r>
        <w:rPr>
          <w:i w:val="0"/>
        </w:rPr>
        <w:t>.</w:t>
      </w:r>
    </w:p>
    <w:p>
      <w:pPr>
        <w:pStyle w:val="Bibliografa"/>
      </w:pPr>
      <w:r>
        <w:rPr>
          <w:i w:val="0"/>
        </w:rPr>
        <w:t xml:space="preserve">UNESCO. (2003). </w:t>
      </w:r>
      <w:r>
        <w:rPr>
          <w:i/>
        </w:rPr>
        <w:t>Convención para la Salvaguardia del Patrimonio Cultural Inmaterial</w:t>
      </w:r>
      <w:r>
        <w:rPr>
          <w:i w:val="0"/>
        </w:rPr>
        <w:t>.</w:t>
      </w:r>
    </w:p>
    <w:p>
      <w:pPr>
        <w:pStyle w:val="Bibliografa"/>
      </w:pPr>
      <w:r>
        <w:rPr>
          <w:i w:val="0"/>
        </w:rPr>
        <w:t xml:space="preserve">UNESCO. (2005). </w:t>
      </w:r>
      <w:r>
        <w:rPr>
          <w:i/>
        </w:rPr>
        <w:t>Convención sobre la Protección y Promoción de la Diversidad de las Expresiones Culturales</w:t>
      </w:r>
      <w:r>
        <w:rPr>
          <w:i w:val="0"/>
        </w:rPr>
        <w:t>.</w:t>
      </w:r>
    </w:p>
    <w:p>
      <w:pPr>
        <w:pStyle w:val="Bibliografa"/>
      </w:pPr>
      <w:r>
        <w:rPr>
          <w:i w:val="0"/>
        </w:rPr>
        <w:t xml:space="preserve">UNESCO. (2017). </w:t>
      </w:r>
      <w:r>
        <w:rPr>
          <w:i/>
        </w:rPr>
        <w:t>Operational guidelines on the implementation of the Convention in the digital environment</w:t>
      </w:r>
      <w:r>
        <w:rPr>
          <w:i w:val="0"/>
        </w:rPr>
        <w:t xml:space="preserve"> (Resolution 6.CP 11). Conference of Parties to the Convention on the Protection and Promotion of the Diversity of Cultural Expressions.</w:t>
      </w:r>
    </w:p>
    <w:p>
      <w:pPr>
        <w:pStyle w:val="Bibliografa"/>
      </w:pPr>
      <w:r>
        <w:rPr>
          <w:i w:val="0"/>
        </w:rPr>
        <w:t xml:space="preserve">UNESCO. (2021). </w:t>
      </w:r>
      <w:r>
        <w:rPr>
          <w:i/>
        </w:rPr>
        <w:t>Recomendación sobre la ética de la inteligencia artificial</w:t>
      </w:r>
      <w:r>
        <w:rPr>
          <w:i w:val="0"/>
        </w:rPr>
        <w:t>. 41.ª Conferencia General.</w:t>
      </w:r>
    </w:p>
    <w:p>
      <w:pPr>
        <w:pStyle w:val="Bibliografa"/>
      </w:pPr>
      <w:r>
        <w:rPr>
          <w:i w:val="0"/>
        </w:rPr>
        <w:t xml:space="preserve">UNESCO. (2026, 19 de enero). </w:t>
      </w:r>
      <w:r>
        <w:rPr>
          <w:i/>
        </w:rPr>
        <w:t>DCE/26/19.IGC/7.b Rev: Proposed revisions to the Operational Guidelines on the implementation of the Convention in the digital environment</w:t>
      </w:r>
      <w:r>
        <w:rPr>
          <w:i w:val="0"/>
        </w:rPr>
        <w:t>. Intergovernmental Committee for the Protection and Promotion of the Diversity of Cultural Expressions.</w:t>
      </w:r>
    </w:p>
    <w:p>
      <w:pPr>
        <w:pStyle w:val="Bibliografa"/>
      </w:pPr>
      <w:r>
        <w:rPr>
          <w:i w:val="0"/>
        </w:rPr>
        <w:t xml:space="preserve">Unión Europea. (2012). </w:t>
      </w:r>
      <w:r>
        <w:rPr>
          <w:i/>
        </w:rPr>
        <w:t>Carta de los Derechos Fundamentales de la Unión Europea</w:t>
      </w:r>
      <w:r>
        <w:rPr>
          <w:i w:val="0"/>
        </w:rPr>
        <w:t>. Diario Oficial de la Unión Europea, C 326, 391–407.</w:t>
      </w:r>
    </w:p>
    <w:p>
      <w:pPr>
        <w:pStyle w:val="Bibliografa"/>
      </w:pPr>
      <w:r>
        <w:rPr>
          <w:i w:val="0"/>
        </w:rPr>
        <w:t xml:space="preserve">Unión Europea. (2024). Reglamento (UE) 2024/1689 del Parlamento Europeo y del Consejo, de 13 de junio de 2024, por el que se establecen normas armonizadas en materia de inteligencia artificial (Reglamento de Inteligencia Artificial). </w:t>
      </w:r>
      <w:r>
        <w:rPr>
          <w:i/>
        </w:rPr>
        <w:t>Diario Oficial de la Unión Europea</w:t>
      </w:r>
      <w:r>
        <w:rPr>
          <w:i w:val="0"/>
        </w:rPr>
        <w:t>, L 2024/1689, 12 de julio de 2024.</w:t>
      </w:r>
    </w:p>
    <w:sectPr w:rsidR="00A13F3F"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6A53E" w14:textId="77777777" w:rsidR="00CD7F95" w:rsidRDefault="00CD7F95" w:rsidP="00EB0247">
      <w:pPr>
        <w:spacing w:after="0" w:line="240" w:lineRule="auto"/>
      </w:pPr>
      <w:r>
        <w:separator/>
      </w:r>
    </w:p>
  </w:endnote>
  <w:endnote w:type="continuationSeparator" w:id="0">
    <w:p w14:paraId="55D5278F" w14:textId="77777777" w:rsidR="00CD7F95" w:rsidRDefault="00CD7F95"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A32C0" w14:textId="77777777" w:rsidR="00CD7F95" w:rsidRDefault="00CD7F95" w:rsidP="00EB0247">
      <w:pPr>
        <w:spacing w:after="0" w:line="240" w:lineRule="auto"/>
      </w:pPr>
      <w:r>
        <w:separator/>
      </w:r>
    </w:p>
  </w:footnote>
  <w:footnote w:type="continuationSeparator" w:id="0">
    <w:p w14:paraId="177ACDA1" w14:textId="77777777" w:rsidR="00CD7F95" w:rsidRDefault="00CD7F95"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5999"/>
    <w:rsid w:val="00393131"/>
    <w:rsid w:val="0039591A"/>
    <w:rsid w:val="003C4D9F"/>
    <w:rsid w:val="003E66F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42AC5"/>
    <w:rsid w:val="00755476"/>
    <w:rsid w:val="007701F1"/>
    <w:rsid w:val="00775F05"/>
    <w:rsid w:val="00792960"/>
    <w:rsid w:val="007A0F17"/>
    <w:rsid w:val="007E4E94"/>
    <w:rsid w:val="007F0944"/>
    <w:rsid w:val="008238DE"/>
    <w:rsid w:val="00863A4D"/>
    <w:rsid w:val="008A4085"/>
    <w:rsid w:val="008A483F"/>
    <w:rsid w:val="008B6A98"/>
    <w:rsid w:val="008C1056"/>
    <w:rsid w:val="008C2B2C"/>
    <w:rsid w:val="008F1330"/>
    <w:rsid w:val="008F3F8E"/>
    <w:rsid w:val="0091337D"/>
    <w:rsid w:val="00915CE3"/>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13F3F"/>
    <w:rsid w:val="00A206F1"/>
    <w:rsid w:val="00A8553F"/>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D7F95"/>
    <w:rsid w:val="00CE0F4B"/>
    <w:rsid w:val="00D0381D"/>
    <w:rsid w:val="00D05D1F"/>
    <w:rsid w:val="00D36F76"/>
    <w:rsid w:val="00D47BD3"/>
    <w:rsid w:val="00D86CAA"/>
    <w:rsid w:val="00DA0BED"/>
    <w:rsid w:val="00DC3839"/>
    <w:rsid w:val="00DC5E7D"/>
    <w:rsid w:val="00DE0B74"/>
    <w:rsid w:val="00DF1B76"/>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5</TotalTime>
  <Pages>16</Pages>
  <Words>5227</Words>
  <Characters>28753</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inteligencia artificial generativa y su implicación en la evolución del derecho a la identidad cultural</dc:title>
  <dc:subject>Inteligencia artificial generativa, identidad cultural y derechos fundamentales</dc:subject>
  <dc:creator>Víctor Alessandro Díaz Ruiz</dc:creator>
  <cp:keywords>inteligencia artificial generativa; identidad cultural; derechos fundamentales; diversidad cultural</cp:keywords>
  <dc:description/>
  <cp:lastModifiedBy>Víctor Alessandro Díaz Ruiz</cp:lastModifiedBy>
  <cp:revision>2</cp:revision>
  <dcterms:created xsi:type="dcterms:W3CDTF">2026-09-06T05:32:00Z</dcterms:created>
  <dcterms:modified xsi:type="dcterms:W3CDTF">2026-09-06T05:32:00Z</dcterms:modified>
  <cp:category>Categoria</cp:category>
  <cp:contentStatus>Estado</cp:contentStatus>
</cp:coreProperties>
</file>