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C0BB5" w14:textId="77777777" w:rsidR="00A13F3F" w:rsidRDefault="00CD7F95">
      <w:pPr>
        <w:pStyle w:val="Captulo"/>
      </w:pPr>
      <w:r>
        <w:t>CAPÍTULO XXX</w:t>
      </w:r>
    </w:p>
    <w:p w14:paraId="58F9CC16" w14:textId="77777777" w:rsidR="00A13F3F" w:rsidRDefault="00CD7F95">
      <w:pPr>
        <w:pStyle w:val="TtCap"/>
      </w:pPr>
      <w:r w:rsidRPr="00775F05">
        <w:t xml:space="preserve">LA LEGITIMIDAD DEL </w:t>
      </w:r>
      <w:r w:rsidRPr="00775F05">
        <w:rPr>
          <w:i/>
        </w:rPr>
        <w:t>CORPUS IURIS SPATIALIS</w:t>
      </w:r>
      <w:r w:rsidRPr="00775F05">
        <w:t xml:space="preserve"> FRENTE A LA REGULACIÓN DE LAS ACTIVIDADES ESPACIALES PRIVADAS EN AMÉRICA LATINA: VACÍOS NORMATIVOS Y RESPONSABILIDAD INTERNACIONAL DE LOS ESTADOS</w:t>
      </w:r>
    </w:p>
    <w:p w14:paraId="02173DB7" w14:textId="77777777" w:rsidR="00A13F3F" w:rsidRDefault="00CD7F95">
      <w:pPr>
        <w:pStyle w:val="Autor"/>
      </w:pPr>
      <w:r>
        <w:t>VÍCTOR ALESSANDRO DÍAZ RUIZ</w:t>
      </w:r>
    </w:p>
    <w:p w14:paraId="50A7412A" w14:textId="77777777" w:rsidR="00A13F3F" w:rsidRDefault="00CD7F95">
      <w:pPr>
        <w:pStyle w:val="Adscripcin"/>
      </w:pPr>
      <w:r>
        <w:t>Universidad Católica de Santiago de Guayaquil</w:t>
      </w:r>
    </w:p>
    <w:p w14:paraId="3B7BBE21" w14:textId="77777777" w:rsidR="00A13F3F" w:rsidRDefault="00CD7F95">
      <w:pPr>
        <w:pStyle w:val="Ttulo1"/>
      </w:pPr>
      <w:r>
        <w:t>1. INTRODUCCIÓN</w:t>
      </w:r>
    </w:p>
    <w:p w14:paraId="1539C89D" w14:textId="77777777" w:rsidR="00A13F3F" w:rsidRDefault="00CD7F95">
      <w:r>
        <w:t xml:space="preserve">El Derecho Espacial Internacional se estructuró durante la segunda mitad del siglo XX en un escenario dominado por los Estados y por capacidades científicas, militares y económicas concentradas en pocas potencias. A partir de esa realidad se consolidó un conjunto de tratados, principios y resoluciones que, con el Tratado sobre el Espacio Ultraterrestre de 1967 como eje, suele identificarse doctrinalmente como </w:t>
      </w:r>
      <w:r>
        <w:rPr>
          <w:i/>
        </w:rPr>
        <w:t xml:space="preserve">Corpus Iuris </w:t>
      </w:r>
      <w:proofErr w:type="spellStart"/>
      <w:r>
        <w:rPr>
          <w:i/>
        </w:rPr>
        <w:t>Spatialis</w:t>
      </w:r>
      <w:proofErr w:type="spellEnd"/>
      <w:r>
        <w:t>. Su arquitectura proscribe la apropiación nacional del espacio, somete las actividades espaciales al Derecho internacional, distribuye deberes y responsabilidades entre los Estados y exige que la exploración y utilización se desarrollen en beneficio e interés de todos los países (Naciones Unidas, 1967).</w:t>
      </w:r>
    </w:p>
    <w:p w14:paraId="64D1F398" w14:textId="77777777" w:rsidR="00A13F3F" w:rsidRDefault="00CD7F95">
      <w:r>
        <w:t xml:space="preserve">El escenario contemporáneo, sin embargo, difiere sustancialmente de aquel en el que se adoptaron esas normas. Empresas privadas diseñan, fabrican y operan satélites; prestan servicios de observación terrestre, telecomunicaciones y navegación; desarrollan vehículos de lanzamiento y participan en proyectos vinculados con estaciones orbitales, turismo espacial, remoción de desechos y explotación futura de recursos. La denominada nueva economía espacial ha desplazado, por lo tanto, la idea de que la actividad espacial pueda ser comprendida únicamente como una manifestación directa del poder estatal. Ello no ha eliminado el protagonismo jurídico del Estado; por el contrario, lo ha </w:t>
      </w:r>
      <w:r>
        <w:lastRenderedPageBreak/>
        <w:t xml:space="preserve">hecho más complejo, puesto que el Derecho internacional le atribuye obligaciones respecto de actividades que materialmente pueden ser ejecutadas por sujetos privados (Paladini &amp; </w:t>
      </w:r>
      <w:proofErr w:type="spellStart"/>
      <w:r>
        <w:t>Castellucci</w:t>
      </w:r>
      <w:proofErr w:type="spellEnd"/>
      <w:r>
        <w:t xml:space="preserve">, 2022; de </w:t>
      </w:r>
      <w:proofErr w:type="spellStart"/>
      <w:r>
        <w:t>Zwart</w:t>
      </w:r>
      <w:proofErr w:type="spellEnd"/>
      <w:r>
        <w:t>, 2025).</w:t>
      </w:r>
    </w:p>
    <w:p w14:paraId="657AEFC6" w14:textId="77777777" w:rsidR="00A13F3F" w:rsidRDefault="00CD7F95">
      <w:r>
        <w:t>Esta transformación adquiere especial importancia en América Latina. La región combina Estados con programas espaciales consolidados o en expansión, experiencias regulatorias recientes y ordenamientos sin legislación espacial integral. El problema no radica únicamente en la capacidad tecnológica, sino en la existencia de estructuras jurídicas capaces de traducir obligaciones internacionales en mecanismos internos de autorización, supervisión, registro y control. Como advirtió Ospina (2017), la falta de marcos jurídicos coherentes ha sido un desafío histórico para el desarrollo espacial latinoamericano, hoy intensificado por la expansión del sector privado.</w:t>
      </w:r>
    </w:p>
    <w:p w14:paraId="384D6BCD" w14:textId="77777777" w:rsidR="00A13F3F" w:rsidRDefault="00CD7F95">
      <w:r>
        <w:t xml:space="preserve">El problema de investigación consiste en determinar en qué medida el </w:t>
      </w:r>
      <w:r>
        <w:rPr>
          <w:i/>
        </w:rPr>
        <w:t xml:space="preserve">Corpus Iuris </w:t>
      </w:r>
      <w:proofErr w:type="spellStart"/>
      <w:r>
        <w:rPr>
          <w:i/>
        </w:rPr>
        <w:t>Spatialis</w:t>
      </w:r>
      <w:proofErr w:type="spellEnd"/>
      <w:r>
        <w:t xml:space="preserve"> mantiene legitimidad y eficacia frente a las actividades espaciales privadas desarrolladas o proyectadas desde América Latina cuando las obligaciones internacionales no encuentran siempre un correlato interno suficiente. Esta formulación exige separar dos categorías. La fuerza vinculante de un tratado deriva del consentimiento estatal y del principio </w:t>
      </w:r>
      <w:r>
        <w:rPr>
          <w:i/>
        </w:rPr>
        <w:t xml:space="preserve">pacta sunt </w:t>
      </w:r>
      <w:proofErr w:type="spellStart"/>
      <w:r>
        <w:rPr>
          <w:i/>
        </w:rPr>
        <w:t>servanda</w:t>
      </w:r>
      <w:proofErr w:type="spellEnd"/>
      <w:r>
        <w:t>, conforme al cual todo tratado en vigor obliga a las partes y debe cumplirse de buena fe (Naciones Unidas, 1969, art. 26). La legitimidad es una categoría crítica distinta, útil para examinar representatividad, equidad, adaptación y aceptación sustantiva del orden jurídico. Una objeción de legitimidad no extingue, por sí misma, una obligación convencional vigente.</w:t>
      </w:r>
    </w:p>
    <w:p w14:paraId="0D2D6E65" w14:textId="77777777" w:rsidR="00A13F3F" w:rsidRDefault="00CD7F95">
      <w:r>
        <w:t xml:space="preserve">El objetivo general consiste en analizar la legitimidad y alcance del </w:t>
      </w:r>
      <w:r>
        <w:rPr>
          <w:i/>
        </w:rPr>
        <w:t xml:space="preserve">Corpus Iuris </w:t>
      </w:r>
      <w:proofErr w:type="spellStart"/>
      <w:r>
        <w:rPr>
          <w:i/>
        </w:rPr>
        <w:t>Spatialis</w:t>
      </w:r>
      <w:proofErr w:type="spellEnd"/>
      <w:r>
        <w:t xml:space="preserve"> frente a la expansión de las actividades espaciales privadas en América Latina, con especial atención a la obligación de autorización y supervisión </w:t>
      </w:r>
      <w:proofErr w:type="gramStart"/>
      <w:r>
        <w:t>continua</w:t>
      </w:r>
      <w:proofErr w:type="gramEnd"/>
      <w:r>
        <w:t xml:space="preserve"> prevista en el artículo VI del Tratado sobre el Espacio Ultraterrestre. La hipótesis que orienta este estudio sostiene que la insuficiencia de legislación interna no elimina la obligatoriedad de los compromisos internacionales asumidos por los Estados, pero sí genera una brecha de implementación que reduce su </w:t>
      </w:r>
      <w:r>
        <w:lastRenderedPageBreak/>
        <w:t>eficacia, incrementa la incertidumbre para operadores públicos y privados y profundiza tensiones de legitimidad en una región cuya capacidad de incidencia material en la gobernanza espacial ha sido históricamente desigual.</w:t>
      </w:r>
    </w:p>
    <w:p w14:paraId="22F0C0C8" w14:textId="77777777" w:rsidR="00A13F3F" w:rsidRDefault="00CD7F95">
      <w:pPr>
        <w:pStyle w:val="Ttulo1"/>
      </w:pPr>
      <w:r>
        <w:t>2. METODOLOGÍA</w:t>
      </w:r>
    </w:p>
    <w:p w14:paraId="092072F4" w14:textId="77777777" w:rsidR="00A13F3F" w:rsidRDefault="00CD7F95">
      <w:r>
        <w:t>La investigación adopta un enfoque cualitativo, teórico, dogmático-jurídico y comparado. Desde la dimensión dogmática se examinan las reglas relevantes del Tratado sobre el Espacio Ultraterrestre, particularmente sus artículos I, VI y VII, el Convenio sobre la Responsabilidad Internacional por Daños Causados por Objetos Espaciales, el Convenio sobre el Registro de Objetos Lanzados al Espacio Ultraterrestre y las recomendaciones de la Asamblea General de las Naciones Unidas en materia de legislación espacial nacional. El análisis se complementa con doctrina especializada sobre responsabilidad internacional, actividades no gubernamentales, legislación espacial nacional y perspectivas críticas del Sur Global.</w:t>
      </w:r>
    </w:p>
    <w:p w14:paraId="3CE6BA41" w14:textId="77777777" w:rsidR="00A13F3F" w:rsidRDefault="00CD7F95">
      <w:r>
        <w:t>La dimensión comparada se concentra en Brasil, Colombia y Chile, tres experiencias que reflejan distintos grados de desarrollo regulatorio. Brasil cuenta con una legislación general reciente; Colombia regula determinadas actividades espaciales controladas mediante la Ley 2302 de 2023 y su desarrollo reglamentario; y Chile ha avanzado mediante una política nacional y coordinación institucional, sin un régimen general de autorización comparable al brasileño. Ecuador se utiliza como caso de estudio para identificar la distancia entre incorporación de obligaciones internacionales y mecanismos internos especializados para ejecutarlas.</w:t>
      </w:r>
    </w:p>
    <w:p w14:paraId="7A84319E" w14:textId="77777777" w:rsidR="00A13F3F" w:rsidRDefault="00CD7F95">
      <w:pPr>
        <w:pStyle w:val="Ttulo1"/>
      </w:pPr>
      <w:r>
        <w:t xml:space="preserve">3. EL </w:t>
      </w:r>
      <w:r>
        <w:rPr>
          <w:i/>
        </w:rPr>
        <w:t>CORPUS IURIS SPATIALIS</w:t>
      </w:r>
      <w:r>
        <w:t xml:space="preserve"> ANTE LA PRIVATIZACIÓN DE LA ACTIVIDAD ESPACIAL</w:t>
      </w:r>
    </w:p>
    <w:p w14:paraId="3C706AB7" w14:textId="77777777" w:rsidR="00A13F3F" w:rsidRDefault="00CD7F95">
      <w:r>
        <w:t xml:space="preserve">El </w:t>
      </w:r>
      <w:r>
        <w:rPr>
          <w:i/>
        </w:rPr>
        <w:t xml:space="preserve">Corpus Iuris </w:t>
      </w:r>
      <w:proofErr w:type="spellStart"/>
      <w:r>
        <w:rPr>
          <w:i/>
        </w:rPr>
        <w:t>Spatialis</w:t>
      </w:r>
      <w:proofErr w:type="spellEnd"/>
      <w:r>
        <w:t xml:space="preserve"> no constituye un código único ni una fuente autónoma formalmente reconocida bajo esa denominación. Es una expresión doctrinal útil para identificar el entramado integrado por los cinco tratados de las Naciones Unidas sobre el espacio ultraterrestre, </w:t>
      </w:r>
      <w:r>
        <w:lastRenderedPageBreak/>
        <w:t xml:space="preserve">principios de la Asamblea General y práctica interpretativa. El Tratado de 1967 permanece como su piedra angular: consagra, entre otros elementos, la libertad de exploración y utilización, la no apropiación y la responsabilidad de los Estados por las actividades nacionales en el espacio (Naciones Unidas, 1967; </w:t>
      </w:r>
      <w:proofErr w:type="spellStart"/>
      <w:r>
        <w:t>Hobe</w:t>
      </w:r>
      <w:proofErr w:type="spellEnd"/>
      <w:r>
        <w:t xml:space="preserve"> et al., 2009).</w:t>
      </w:r>
    </w:p>
    <w:p w14:paraId="3FBAD31C" w14:textId="77777777" w:rsidR="00A13F3F" w:rsidRDefault="00CD7F95">
      <w:r>
        <w:t>El hecho de que estas reglas hayan sido concebidas en una etapa predominantemente estatal no significa que los actores privados se encuentren fuera de su ámbito. El artículo VI incorpora expresamente las actividades de entidades no gubernamentales al régimen convencional: exige al Estado asegurar su conformidad con el Tratado y someterlas a autorización y supervisión continua. En consecuencia, la privatización material de la actividad no produce una privatización equivalente del régimen internacional de responsabilidad. Como explica Gerhard (2009), el artículo VI articula una relación particular entre actividad privada y responsabilidad internacional, sometiendo a las entidades no gubernamentales a un deber de autorización y supervisión a cargo del Estado apropiado.</w:t>
      </w:r>
    </w:p>
    <w:p w14:paraId="7D41B0D6" w14:textId="77777777" w:rsidR="00A13F3F" w:rsidRDefault="00CD7F95">
      <w:r>
        <w:t xml:space="preserve">La dificultad actual radica en que el Tratado fija la obligación, pero no diseña el aparato administrativo que debe ejecutarla. No establece una licencia uniforme, un estándar de solvencia, un modelo obligatorio de seguro, una periodicidad de supervisión ni reglas detalladas para transferir el control de un objeto espacial. Por ello, la legislación nacional se ha convertido en el principal mecanismo de implementación. </w:t>
      </w:r>
      <w:proofErr w:type="spellStart"/>
      <w:r>
        <w:t>Von</w:t>
      </w:r>
      <w:proofErr w:type="spellEnd"/>
      <w:r>
        <w:t xml:space="preserve"> </w:t>
      </w:r>
      <w:proofErr w:type="spellStart"/>
      <w:r>
        <w:t>der</w:t>
      </w:r>
      <w:proofErr w:type="spellEnd"/>
      <w:r>
        <w:t xml:space="preserve"> </w:t>
      </w:r>
      <w:proofErr w:type="spellStart"/>
      <w:r>
        <w:t>Dunk</w:t>
      </w:r>
      <w:proofErr w:type="spellEnd"/>
      <w:r>
        <w:t xml:space="preserve"> (2020) identifica al artículo VI como la fuente internacional fundamental que impulsa leyes nacionales destinadas a delimitar las actividades privadas sujetas a autorización y control estatal.</w:t>
      </w:r>
    </w:p>
    <w:p w14:paraId="5C29EF83" w14:textId="77777777" w:rsidR="00A13F3F" w:rsidRDefault="00CD7F95">
      <w:r>
        <w:t xml:space="preserve">Esta función de implementación fue reforzada por la Asamblea General mediante la Resolución 68/74, que recomienda que los Estados consideren marcos regulatorios nacionales coherentes con sus obligaciones internacionales y que las actividades espaciales de entidades no gubernamentales requieran autorización por una autoridad nacional competente, acompañada de condiciones claras y mecanismos de supervisión continua (Naciones Unidas, 2013). Estas recomendaciones no sustituyen al tratado ni poseen idéntica fuerza jurídica, pero sistematizan una </w:t>
      </w:r>
      <w:r>
        <w:lastRenderedPageBreak/>
        <w:t>orientación regulatoria capaz de reducir la distancia entre una obligación internacional general y su aplicación administrativa concreta.</w:t>
      </w:r>
    </w:p>
    <w:p w14:paraId="4FD65279" w14:textId="77777777" w:rsidR="00A13F3F" w:rsidRDefault="00CD7F95">
      <w:pPr>
        <w:pStyle w:val="Ttulo1"/>
      </w:pPr>
      <w:r>
        <w:t>4. ARTÍCULO VI: RESPONSABILIDAD INTERNACIONAL, AUTORIZACIÓN Y SUPERVISIÓN CONTINUA</w:t>
      </w:r>
    </w:p>
    <w:p w14:paraId="6C26DCA6" w14:textId="77777777" w:rsidR="00A13F3F" w:rsidRDefault="00CD7F95">
      <w:r>
        <w:t>El artículo VI contiene una regla especial de responsabilidad internacional que no debe equipararse sin más a las reglas generales de atribución de conductas al Estado. El Tratado dispone que los Estados partes serán internacionalmente responsables por las actividades nacionales en el espacio, sean realizadas por organismos gubernamentales o entidades no gubernamentales, y les impone asegurar su conformidad con el propio Tratado. Para las entidades no gubernamentales añade autorización y supervisión continua por el Estado parte apropiado, expresión que no define exhaustivamente y cuya delimitación ha generado debate doctrinal. El concepto no remite de manera automática a un único vínculo jurisdiccional: en una actividad transnacional pueden concurrir la nacionalidad o incorporación del operador, el territorio o instalación desde la que se efectúa el lanzamiento, la condición de Estado de lanzamiento y, posteriormente, la jurisdicción y control del Estado de registro. Cheng (1998) admite que puede existir más de un Estado apropiado, circunstancia especialmente relevante cuando una misma misión distribuye operador, lanzamiento, control y explotación comercial entre jurisdicciones distintas. La consecuencia regulatoria no es liberar de control a la actividad, sino exigir coordinación suficiente para evitar vacíos o solapamientos de autorización y supervisión. Así, no es necesario afirmar que toda conducta privada sea automáticamente atribuible al Estado: el propio artículo VI establece el marco convencional especial aplicable (Naciones Unidas, 1967; Cheng, 1998).</w:t>
      </w:r>
    </w:p>
    <w:p w14:paraId="29EBAD57" w14:textId="77777777" w:rsidR="00A13F3F" w:rsidRDefault="00CD7F95">
      <w:r>
        <w:t xml:space="preserve">Autorización y supervisión cumplen funciones distintas. La primera </w:t>
      </w:r>
      <w:proofErr w:type="spellStart"/>
      <w:r>
        <w:t>opera</w:t>
      </w:r>
      <w:proofErr w:type="spellEnd"/>
      <w:r>
        <w:t xml:space="preserve">, principalmente, como un control jurídico previo: el Estado evalúa si el operador, la misión, la tecnología, el riesgo y las condiciones de ejecución son compatibles con su Derecho interno y con sus compromisos internacionales. La supervisión, por su parte, no se agota con la expedición de la licencia, sino que acompaña la actividad durante su </w:t>
      </w:r>
      <w:r>
        <w:lastRenderedPageBreak/>
        <w:t xml:space="preserve">ejecución y puede exigir información, inspecciones, actualización de seguros, modificaciones de condiciones, suspensión o revocación. La literatura reciente insiste en que el crecimiento de la industria privada vuelve indispensable preservar esta dimensión continuada del control estatal (de </w:t>
      </w:r>
      <w:proofErr w:type="spellStart"/>
      <w:r>
        <w:t>Zwart</w:t>
      </w:r>
      <w:proofErr w:type="spellEnd"/>
      <w:r>
        <w:t>, 2025).</w:t>
      </w:r>
    </w:p>
    <w:p w14:paraId="51659EC6" w14:textId="77777777" w:rsidR="00A13F3F" w:rsidRDefault="00CD7F95">
      <w:r>
        <w:t>Debe distinguirse la responsabilidad internacional por el cumplimiento del artículo VI —</w:t>
      </w:r>
      <w:proofErr w:type="spellStart"/>
      <w:r>
        <w:rPr>
          <w:i/>
        </w:rPr>
        <w:t>international</w:t>
      </w:r>
      <w:proofErr w:type="spellEnd"/>
      <w:r>
        <w:rPr>
          <w:i/>
        </w:rPr>
        <w:t xml:space="preserve"> </w:t>
      </w:r>
      <w:proofErr w:type="spellStart"/>
      <w:r>
        <w:rPr>
          <w:i/>
        </w:rPr>
        <w:t>responsibility</w:t>
      </w:r>
      <w:proofErr w:type="spellEnd"/>
      <w:r>
        <w:t>— de la responsabilidad internacional por daños —</w:t>
      </w:r>
      <w:proofErr w:type="spellStart"/>
      <w:r>
        <w:rPr>
          <w:i/>
        </w:rPr>
        <w:t>international</w:t>
      </w:r>
      <w:proofErr w:type="spellEnd"/>
      <w:r>
        <w:rPr>
          <w:i/>
        </w:rPr>
        <w:t xml:space="preserve"> </w:t>
      </w:r>
      <w:proofErr w:type="spellStart"/>
      <w:r>
        <w:rPr>
          <w:i/>
        </w:rPr>
        <w:t>liability</w:t>
      </w:r>
      <w:proofErr w:type="spellEnd"/>
      <w:r>
        <w:t>— prevista en el artículo VII y desarrollada por el Convenio de 1972. La primera se vincula con el deber de asegurar la conformidad de las actividades nacionales y, tratándose de entidades no gubernamentales, con su autorización y supervisión continua; la segunda opera frente a daños causados por objetos espaciales a partir de la categoría de Estado de lanzamiento. Por ello, una infracción del artículo VI no requiere necesariamente un daño indemnizable bajo el Convenio de Responsabilidad, y la inexistencia de daño tampoco demuestra el cumplimiento de aquellas obligaciones (Cheng, 1998).</w:t>
      </w:r>
    </w:p>
    <w:p w14:paraId="4288E64D" w14:textId="77777777" w:rsidR="00A13F3F" w:rsidRDefault="00CD7F95">
      <w:r>
        <w:t>En términos regulatorios, esta diferencia explica por qué una ley espacial moderna no puede limitarse a reglas indemnizatorias. Debe delimitar las actividades sometidas a control, identificar a la autoridad competente, exigir condiciones técnicas y de seguridad, prever el registro, regular transferencias de control, imponer deberes posteriores al lanzamiento y establecer sanciones. La lógica es preventiva: el artículo VI procura evitar que la ausencia de regulación interna convierta la actividad privada en un espacio de irresponsabilidad jurídica.</w:t>
      </w:r>
    </w:p>
    <w:p w14:paraId="18F7DFAF" w14:textId="77777777" w:rsidR="00A13F3F" w:rsidRDefault="00CD7F95">
      <w:pPr>
        <w:pStyle w:val="Ttulo1"/>
      </w:pPr>
      <w:r>
        <w:t>5. AMÉRICA LATINA: ENTRE LA FRAGMENTACIÓN REGULATORIA Y LA CONSTRUCCIÓN DE CAPACIDAD NORMATIVA</w:t>
      </w:r>
    </w:p>
    <w:p w14:paraId="784CE987" w14:textId="77777777" w:rsidR="00A13F3F" w:rsidRDefault="00CD7F95">
      <w:r>
        <w:t xml:space="preserve">La comparación latinoamericana revela que la región no puede describirse de manera uniforme. Existen diferencias importantes en capacidades tecnológicas, organización institucional y densidad normativa. Precisamente por ello, la afirmación de que América Latina carece de </w:t>
      </w:r>
      <w:r>
        <w:lastRenderedPageBreak/>
        <w:t xml:space="preserve">Derecho espacial nacional debe evitarse en términos absolutos. El fenómeno relevante es la fragmentación: algunos Estados han comenzado a construir regímenes específicos mientras otros mantienen políticas, normas sectoriales o acuerdos de cooperación que no necesariamente satisfacen, por sí solos, todas las exigencias de autorización y supervisión </w:t>
      </w:r>
      <w:proofErr w:type="gramStart"/>
      <w:r>
        <w:t>continua</w:t>
      </w:r>
      <w:proofErr w:type="gramEnd"/>
      <w:r>
        <w:t xml:space="preserve"> derivadas de la actividad privada.</w:t>
      </w:r>
    </w:p>
    <w:p w14:paraId="39A7DFA6" w14:textId="77777777" w:rsidR="00A13F3F" w:rsidRDefault="00CD7F95">
      <w:r>
        <w:t>Brasil constituye el ejemplo regional más desarrollado de legislación general reciente. La Ley núm. 14.946, de 31 de julio de 2024, estableció normas aplicables a las actividades espaciales nacionales y reconoce al operador espacial público o privado. Para actividades civiles, la Agencia Espacial Brasileña ejerce las competencias regulatorias previstas por la ley; las de defensa corresponden al Comando de la Aeronáutica. El régimen incorpora licencias y autorizaciones, garantías, seguros, deberes de información, supervisión, facultades de suspensión o cancelación y un Registro Espacial Brasileño orientado también al cumplimiento de obligaciones internacionales (Brasil, 2024). El diseño constituye una recepción legislativa concreta de los elementos centrales del artículo VI.</w:t>
      </w:r>
    </w:p>
    <w:p w14:paraId="783BA3AA" w14:textId="77777777" w:rsidR="00A13F3F" w:rsidRDefault="00CD7F95">
      <w:r>
        <w:t>Colombia ofrece un modelo más acotado. La Ley 2302 de 2023 permite que personas naturales o jurídicas, públicas o privadas, desarrollen actividades espaciales dentro del territorio nacional y somete determinadas actividades —entre ellas, lanzamientos y pruebas de vehículos orbitales y suborbitales— al control y supervisión previa del Ministerio de Defensa Nacional y de la Fuerza Aérea Colombiana. El Decreto 1064 de 2024 desarrolló reglamentariamente ese sistema dentro del Decreto Único Reglamentario del Sector Defensa. Se trata de un avance relevante, aunque su alcance material es más específico que el de una ley general destinada a cubrir integralmente las múltiples manifestaciones contemporáneas de actividad espacial (Colombia, 2023, 2024).</w:t>
      </w:r>
    </w:p>
    <w:p w14:paraId="2302B216" w14:textId="77777777" w:rsidR="00A13F3F" w:rsidRDefault="00CD7F95">
      <w:r>
        <w:t xml:space="preserve">Chile, por su parte, aprobó mediante Decreto núm. 30, promulgado el 4 de julio de 2024 y publicado el 22 de julio de 2025, su Política Nacional Espacial. El instrumento involucra al Estado, la academia, la industria y la sociedad civil, y contempla el desarrollo de políticas y regulaciones para un uso responsable del espacio en conformidad con los compromisos internacionales del país (Chile, 2025). Su relevancia radica en </w:t>
      </w:r>
      <w:r>
        <w:lastRenderedPageBreak/>
        <w:t>demostrar que la construcción de gobernanza puede avanzar mediante política pública e institucionalidad; sin embargo, la existencia de una política nacional no reemplaza, por sí sola, las funciones propias de un régimen general de autorización y supervisión de actividades privadas.</w:t>
      </w:r>
    </w:p>
    <w:p w14:paraId="3976BD40" w14:textId="77777777" w:rsidR="00A13F3F" w:rsidRDefault="00CD7F95">
      <w:r>
        <w:t>Estas experiencias permiten sostener que América Latina atraviesa una fase de transición regulatoria. La brecha no consiste en una ausencia total de actividad normativa, sino en la desigual velocidad con la que cada Estado traduce sus compromisos internacionales en instituciones internas. Ello tiene consecuencias económicas y jurídicas: una empresa requiere previsibilidad sobre la autoridad competente, requisitos de licencia, seguros, tratamiento de datos, registro, obligaciones ambientales y régimen de responsabilidad. La falta de esas reglas puede operar como desincentivo a la inversión y, al mismo tiempo, dificultar el cumplimiento estatal de obligaciones internacionales.</w:t>
      </w:r>
    </w:p>
    <w:p w14:paraId="1B471020" w14:textId="77777777" w:rsidR="00A13F3F" w:rsidRDefault="00CD7F95">
      <w:pPr>
        <w:pStyle w:val="Ttulo1"/>
      </w:pPr>
      <w:r>
        <w:t>6. ECUADOR COMO CASO DE ESTUDIO: AVANCES INTERNACIONALES Y BRECHA DE IMPLEMENTACIÓN</w:t>
      </w:r>
    </w:p>
    <w:p w14:paraId="1042673B" w14:textId="77777777" w:rsidR="00A13F3F" w:rsidRDefault="00CD7F95">
      <w:r>
        <w:t>El caso ecuatoriano permite observar la diferencia entre vinculación internacional y capacidad regulatoria interna. Ecuador es parte del Tratado sobre el Espacio Ultraterrestre, del Acuerdo sobre el Salvamento y la Devolución de Astronautas y la Restitución de Objetos Lanzados al Espacio Ultraterrestre y del Convenio sobre la Responsabilidad Internacional por Daños Causados por Objetos Espaciales. Respecto del Convenio de Registro debe hacerse una precisión: en el plano interno, el Decreto Ejecutivo núm. 530, publicado el 19 de febrero de 2025, ratificó su contenido, luego de que la Corte Constitucional determinara que no requería aprobación legislativa (Corte Constitucional del Ecuador, 2024; Ecuador, 2025a). En el plano internacional, el depositario registró una adhesión: Ecuador depositó el instrumento el 17 de marzo de 2025 y el Convenio entró en vigor ese mismo día (Secretaría General de las Naciones Unidas, 2025). El texto se publicó en el Registro Oficial el 30 de abril de 2025 (Ecuador, 2025b).</w:t>
      </w:r>
    </w:p>
    <w:p w14:paraId="5E7F0079" w14:textId="77777777" w:rsidR="00A13F3F" w:rsidRDefault="00CD7F95">
      <w:r>
        <w:lastRenderedPageBreak/>
        <w:t>Este avance fortalece la integración del Ecuador al sistema multilateral, pero no resuelve por sí mismo el problema de la autorización y supervisión de operadores privados. El Convenio de Registro persigue finalidades distintas y complementarias: establece deberes de registro e información respecto de objetos espaciales, pero no crea un procedimiento interno integral de autorización. En otras palabras, la incorporación de un tratado adicional amplía las obligaciones internacionales del Estado y, precisamente por ello, hace más evidente la necesidad de contar con mecanismos internos capaces de ejecutarlas.</w:t>
      </w:r>
    </w:p>
    <w:p w14:paraId="49420B15" w14:textId="77777777" w:rsidR="00A13F3F" w:rsidRDefault="00CD7F95">
      <w:r>
        <w:t>La dimensión institucional también exige actualización. El Instituto Espacial Ecuatoriano fue suprimido por el Decreto Ejecutivo núm. 714 de 2019 y sus competencias pasaron al Instituto Geográfico Militar (Ecuador, 2019). En 2025, el Decreto Ejecutivo núm. 143 transfirió a la Fuerza Aérea Ecuatoriana, bajo la rectoría del Ministerio de Defensa, varias atribuciones espaciales del Instituto Geográfico Militar, incluidas la investigación científica, la coordinación de programas y proyectos, el desarrollo tecnológico y funciones vinculadas con los derechos del Estado ecuatoriano sobre segmentos de la órbita sincrónica geoestacionaria; determinadas atribuciones de promoción del uso pacífico y representación internacional fueron asignadas al Ministerio de Relaciones Exteriores (Ecuador, 2025c). ARCOTEL, además, mantiene regulación sectorial y títulos habilitantes para telecomunicaciones por satélite y provisión de segmento espacial (ARCOTEL, 2019). El diagnóstico correcto no es, por tanto, el de inexistencia absoluta de institucionalidad, sino el de falta de un régimen general e integral de autorización y supervisión continua de actividades espaciales privadas conforme al artículo VI.</w:t>
      </w:r>
    </w:p>
    <w:p w14:paraId="05AFF867" w14:textId="77777777" w:rsidR="00A13F3F" w:rsidRDefault="00CD7F95">
      <w:r>
        <w:t xml:space="preserve">El vacío regulatorio ecuatoriano es, por tanto, relativo. Existen competencias públicas y regulación sectorial, pero no se identifica un procedimiento transversal que determine qué actividades espaciales privadas requieren autorización como actividades nacionales, qué autoridad evalúa integralmente su compatibilidad con las obligaciones internacionales y cómo se ejerce la supervisión durante el ciclo de vida de la misión. Esta fragmentación dificulta articular registro, transferencia de control, garantías financieras, seguridad operacional y mitigación de desechos. </w:t>
      </w:r>
      <w:r>
        <w:lastRenderedPageBreak/>
        <w:t>Lejos de eximir al Ecuador de sus obligaciones bajo el Tratado de 1967, ello evidencia la necesidad de conectar las competencias existentes mediante un marco coherente de implementación.</w:t>
      </w:r>
    </w:p>
    <w:p w14:paraId="4AD93DBE" w14:textId="77777777" w:rsidR="00A13F3F" w:rsidRDefault="00CD7F95">
      <w:r>
        <w:t>El momento resulta oportuno para una actualización normativa. La adhesión al Convenio de Registro y la redistribución institucional introducida por el Decreto Ejecutivo núm. 143 muestran una reactivación reciente del sector espacial ecuatoriano. Una ley nacional no debería concebirse únicamente para un mercado ya consolidado, sino como infraestructura jurídica para permitir su desarrollo: coordinar competencias existentes, definir el alcance de la autorización, establecer supervisión continua y proporcionar seguridad jurídica a operadores, inversionistas y autoridades antes de que la expansión tecnológica supere la capacidad estatal de control.</w:t>
      </w:r>
    </w:p>
    <w:p w14:paraId="0B226FF4" w14:textId="77777777" w:rsidR="00A13F3F" w:rsidRDefault="00CD7F95">
      <w:pPr>
        <w:pStyle w:val="Ttulo1"/>
      </w:pPr>
      <w:r>
        <w:t xml:space="preserve">7. LEGITIMIDAD Y EFICACIA DEL </w:t>
      </w:r>
      <w:r>
        <w:rPr>
          <w:i/>
        </w:rPr>
        <w:t>CORPUS IURIS SPATIALIS</w:t>
      </w:r>
      <w:r>
        <w:t xml:space="preserve"> DESDE UNA PERSPECTIVA LATINOAMERICANA</w:t>
      </w:r>
    </w:p>
    <w:p w14:paraId="432D9385" w14:textId="77777777" w:rsidR="00A13F3F" w:rsidRDefault="00CD7F95">
      <w:r>
        <w:t xml:space="preserve">El análisis de legitimidad exige evitar una conclusión incorrecta: una participación histórica limitada, una capacidad tecnológica reducida o una posición periférica no permiten desconocer tratados válidamente aceptados. Fuerza vinculante y legitimidad pertenecen a planos distintos. El artículo 26 de la Convención de Viena expresa el principio </w:t>
      </w:r>
      <w:r>
        <w:rPr>
          <w:i/>
        </w:rPr>
        <w:t xml:space="preserve">pacta sunt </w:t>
      </w:r>
      <w:proofErr w:type="spellStart"/>
      <w:r>
        <w:rPr>
          <w:i/>
        </w:rPr>
        <w:t>servanda</w:t>
      </w:r>
      <w:proofErr w:type="spellEnd"/>
      <w:r>
        <w:t xml:space="preserve"> y su artículo 27 impide invocar el Derecho interno para justificar el incumplimiento (Naciones Unidas, 1969). La cuestión crítica consiste en determinar si la gobernanza espacial conserva capacidad de inclusión, adaptación y distribución equitativa de oportunidades y cargas en un escenario tecnológico muy distinto del existente durante su formación.</w:t>
      </w:r>
    </w:p>
    <w:p w14:paraId="468131C7" w14:textId="77777777" w:rsidR="00A13F3F" w:rsidRDefault="00CD7F95">
      <w:r>
        <w:t xml:space="preserve">La crítica tampoco debe construirse sobre una supuesta exclusión latinoamericana absoluta en los orígenes del sistema. Argentina, Brasil y México integraron el Comité </w:t>
      </w:r>
      <w:r>
        <w:rPr>
          <w:i/>
        </w:rPr>
        <w:t>ad hoc</w:t>
      </w:r>
      <w:r>
        <w:t xml:space="preserve"> establecido en 1958 y los tres formaron parte del Comité permanente de veinticuatro Estados creado por la Asamblea General en 1959 (Naciones Unidas, 1958, 1959). La presencia regional existió, aunque limitada a determinados Estados y dentro </w:t>
      </w:r>
      <w:r>
        <w:lastRenderedPageBreak/>
        <w:t>de un contexto de fuerte concentración tecnológica, económica y estratégica. El problema de legitimidad se desplaza así desde una supuesta ausencia latinoamericana hacia la desigual capacidad material para influir, beneficiarse y participar sostenidamente en la evolución de la gobernanza espacial.</w:t>
      </w:r>
    </w:p>
    <w:p w14:paraId="655F7EAD" w14:textId="77777777" w:rsidR="00A13F3F" w:rsidRDefault="00CD7F95">
      <w:r>
        <w:t xml:space="preserve">Las aproximaciones del Sur Global resultan útiles en ese segundo plano. </w:t>
      </w:r>
      <w:proofErr w:type="spellStart"/>
      <w:r>
        <w:t>Vazhapully</w:t>
      </w:r>
      <w:proofErr w:type="spellEnd"/>
      <w:r>
        <w:t xml:space="preserve"> (2024), desde una perspectiva TWAIL, examina la formación del Derecho Espacial Internacional durante la Guerra Fría y cuestiona relaciones de poder asociadas con la concentración tecnológica. </w:t>
      </w:r>
      <w:proofErr w:type="spellStart"/>
      <w:r>
        <w:t>Palit</w:t>
      </w:r>
      <w:proofErr w:type="spellEnd"/>
      <w:r>
        <w:t xml:space="preserve"> et al. (2025) reclaman, a su vez, una gobernanza más inclusiva en sostenibilidad, acceso y representación. Estas perspectivas no obligan a desconocer la vigencia de los tratados; permiten evaluar si los mecanismos contemporáneos de elaboración normativa y distribución de beneficios reproducen asimetrías que el lenguaje universalista del régimen pretende superar.</w:t>
      </w:r>
    </w:p>
    <w:p w14:paraId="1B8B9575" w14:textId="77777777" w:rsidR="00A13F3F" w:rsidRDefault="00CD7F95">
      <w:r>
        <w:t xml:space="preserve">El propio </w:t>
      </w:r>
      <w:r>
        <w:rPr>
          <w:i/>
        </w:rPr>
        <w:t xml:space="preserve">Corpus Iuris </w:t>
      </w:r>
      <w:proofErr w:type="spellStart"/>
      <w:r>
        <w:rPr>
          <w:i/>
        </w:rPr>
        <w:t>Spatialis</w:t>
      </w:r>
      <w:proofErr w:type="spellEnd"/>
      <w:r>
        <w:t xml:space="preserve"> contiene bases para una lectura inclusiva. El artículo I del Tratado de 1967 dispone que la exploración y utilización del espacio deben realizarse en beneficio e interés de todos los países, cualquiera que sea su grado de desarrollo económico o científico. La Declaración sobre Cooperación Internacional de 1996 exige particular consideración a las necesidades de los países en desarrollo (Naciones Unidas, 1996). La legitimidad se fortalece cuando los Estados latinoamericanos participan activamente en COPUOS, elaboran legislación nacional, articulan posiciones regionales y generan práctica estatal capaz de incidir en la evolución del Derecho. El desafío es preservar el núcleo convencional y adaptar su implementación a una economía espacial caracterizada por actores privados y capacidades estatales profundamente diversas.</w:t>
      </w:r>
    </w:p>
    <w:p w14:paraId="54F15E7A" w14:textId="77777777" w:rsidR="00A13F3F" w:rsidRDefault="00CD7F95">
      <w:pPr>
        <w:pStyle w:val="Ttulo1"/>
      </w:pPr>
      <w:r>
        <w:t>8. BASES PARA UNA REGULACIÓN LATINOAMERICANA DE LAS ACTIVIDADES ESPACIALES PRIVADAS</w:t>
      </w:r>
    </w:p>
    <w:p w14:paraId="4AC25845" w14:textId="77777777" w:rsidR="00A13F3F" w:rsidRDefault="00CD7F95">
      <w:r>
        <w:t xml:space="preserve">El análisis comparado permite identificar un conjunto mínimo de elementos regulatorios compatibles con el artículo VI y con las recomendaciones de la Asamblea General. En primer término, la legislación </w:t>
      </w:r>
      <w:r>
        <w:lastRenderedPageBreak/>
        <w:t>debe delimitar de forma suficientemente clara qué actividades se consideran nacionales y cuáles quedan sometidas a autorización. La respuesta puede combinar criterios de territorio, nacionalidad, establecimiento empresarial y control efectivo, evitando tanto vacíos de jurisdicción como duplicidades regulatorias. En segundo lugar, resulta indispensable identificar una autoridad competente con capacidad técnica y jurídica para expedir, modificar, suspender y revocar licencias.</w:t>
      </w:r>
    </w:p>
    <w:p w14:paraId="1CC122C4" w14:textId="77777777" w:rsidR="00A13F3F" w:rsidRDefault="00CD7F95">
      <w:r>
        <w:t>En tercer término, la supervisión continua debe estructurarse como una función autónoma y no como una mera consecuencia formal de la autorización. Ello supone deberes periódicos de información, facultades de inspección, control sobre cambios sustanciales de misión, mecanismos para la transferencia de control de objetos espaciales y obligaciones relacionadas con mitigación de desechos, seguridad operacional y final de vida. Brasil ofrece en este punto una referencia regional útil al regular de manera expresa el acceso de las autoridades a instalaciones, la entrega de información y la posibilidad de alterar o cancelar autorizaciones cuando existan incumplimientos o conflictos con compromisos internacionales (Brasil, 2024).</w:t>
      </w:r>
    </w:p>
    <w:p w14:paraId="385F688F" w14:textId="77777777" w:rsidR="00A13F3F" w:rsidRDefault="00CD7F95">
      <w:r>
        <w:t>En cuarto lugar, debe existir una relación coherente entre autorización, registro y responsabilidad financiera. El Estado puede exigir seguros u otras garantías proporcionadas al riesgo de la misión, sin convertirlas en barreras económicas que excluyan automáticamente a operadores emergentes. El objetivo no es hacer oponible a terceros Estados una transferencia interna de las obligaciones internacionales del Estado —resultado que la legislación nacional no puede producir—, sino crear mecanismos internos de prevención, indemnización y eventual repetición. Finalmente, la regulación debe articularse con normas ambientales, de telecomunicaciones, ciberseguridad, protección de datos, defensa y control de exportaciones, evitando que la ley espacial opere como un compartimento aislado.</w:t>
      </w:r>
    </w:p>
    <w:p w14:paraId="3F3B07FF" w14:textId="77777777" w:rsidR="00A13F3F" w:rsidRDefault="00CD7F95">
      <w:r>
        <w:t>Para América Latina, estos elementos deberían acompañarse de cooperación regional. Estándares compatibles pueden reducir costos regulatorios, facilitar proyectos conjuntos y fortalecer la capacidad negociadora de Estados con mercados de menor escala. No se requiere legisla</w:t>
      </w:r>
      <w:r>
        <w:lastRenderedPageBreak/>
        <w:t xml:space="preserve">ción regional uniforme, sino principios convergentes para que autorización, supervisión y registro respondan a criterios previsibles y el cumplimiento del Corpus Iuris </w:t>
      </w:r>
      <w:proofErr w:type="spellStart"/>
      <w:r>
        <w:t>Spatialis</w:t>
      </w:r>
      <w:proofErr w:type="spellEnd"/>
      <w:r>
        <w:t xml:space="preserve"> contribuya también al fortalecimiento institucional.</w:t>
      </w:r>
    </w:p>
    <w:p w14:paraId="56AE9781" w14:textId="77777777" w:rsidR="00A13F3F" w:rsidRDefault="00CD7F95">
      <w:pPr>
        <w:pStyle w:val="Ttulo1"/>
      </w:pPr>
      <w:r>
        <w:t>9. CONCLUSIONES</w:t>
      </w:r>
    </w:p>
    <w:p w14:paraId="02F70FDA" w14:textId="77777777" w:rsidR="00A13F3F" w:rsidRDefault="00CD7F95">
      <w:r>
        <w:t>La expansión de las actividades espaciales privadas no ha desplazado al Estado del centro jurídico del Derecho Espacial Internacional. Por el contrario, el artículo VI del Tratado sobre el Espacio Ultraterrestre convierte al crecimiento de actores no gubernamentales en una razón adicional para fortalecer la capacidad regulatoria estatal. La autorización previa y la supervisión continua constituyen obligaciones diferenciadas cuya eficacia depende, en gran medida, de la existencia de instituciones y procedimientos nacionales adecuados.</w:t>
      </w:r>
    </w:p>
    <w:p w14:paraId="5B27C575" w14:textId="77777777" w:rsidR="00A13F3F" w:rsidRDefault="00CD7F95">
      <w:r>
        <w:t>América Latina presenta un escenario heterogéneo. Brasil ha avanzado hacia una legislación general que incorpora autorización, supervisión, garantías, registro y control de operadores; Colombia ha establecido un régimen específico sobre actividades espaciales controladas; y Chile ha fortalecido su política e institucionalidad espacial. Estas experiencias desmienten una visión de absoluta ausencia normativa, pero al mismo tiempo evidencian que la región mantiene importantes diferencias en la implementación interna de obligaciones internacionales.</w:t>
      </w:r>
    </w:p>
    <w:p w14:paraId="1FCEFA3E" w14:textId="77777777" w:rsidR="00A13F3F" w:rsidRDefault="00CD7F95">
      <w:r>
        <w:t>Ecuador representa un caso particularmente ilustrativo. Su adhesión al Convenio de Registro en 2025, la transferencia de determinadas competencias espaciales a la Fuerza Aérea Ecuatoriana mediante el Decreto Ejecutivo núm. 143 y la existencia de regulación sectorial administrada por ARCOTEL impiden describir al país como un vacío institucional absoluto. Sin embargo, en la normativa oficial examinada no se identifica todavía una ley espacial integral que estructure, de manera transversal, la autorización y supervisión continua de actividades espaciales privadas en los términos funcionales del artículo VI. El desafío consiste, por ello, en coordinar las competencias existentes y construir un régimen general que permita cumplir las obligaciones internacionales sin desconocer la institucionalidad ya desarrollada.</w:t>
      </w:r>
    </w:p>
    <w:p w14:paraId="6262D3BE" w14:textId="77777777" w:rsidR="00A13F3F" w:rsidRDefault="00CD7F95">
      <w:r>
        <w:lastRenderedPageBreak/>
        <w:t xml:space="preserve">Finalmente, la legitimidad del régimen no debe confundirse con su obligatoriedad ni apoyarse en una premisa de exclusión latinoamericana total que la historia no confirma. La presencia temprana de Argentina, Brasil y México demuestra participación regional; la crítica más sólida se dirige a las asimetrías de capacidad, continuidad e incidencia que han condicionado a numerosos Estados del Sur Global. El Corpus Iuris </w:t>
      </w:r>
      <w:proofErr w:type="spellStart"/>
      <w:r>
        <w:t>Spatialis</w:t>
      </w:r>
      <w:proofErr w:type="spellEnd"/>
      <w:r>
        <w:t xml:space="preserve"> conserva un núcleo normativo esencial, pero su legitimidad futura dependerá de traducir sus principios universalistas en participación efectiva, construcción de capacidades y distribución de beneficios. Legislación nacional coherente, cooperación regional y mayor participación internacional son condiciones para que América Latina pase de una recepción fragmentaria a una verdadera capacidad de incidencia en la evolución del Derecho espacial.</w:t>
      </w:r>
    </w:p>
    <w:p w14:paraId="04621B36" w14:textId="77777777" w:rsidR="00A13F3F" w:rsidRDefault="00CD7F95">
      <w:pPr>
        <w:pStyle w:val="Ttulo1"/>
      </w:pPr>
      <w:r>
        <w:t>10. REFERENCIAS</w:t>
      </w:r>
    </w:p>
    <w:p w14:paraId="42BA8B68" w14:textId="77777777" w:rsidR="00A13F3F" w:rsidRDefault="00CD7F95">
      <w:pPr>
        <w:pStyle w:val="Bibliografa"/>
      </w:pPr>
      <w:r>
        <w:t>Agencia de Regulación y Control de las Telecomunicaciones [ARCOTEL]. (2019). Resolución 15-16-ARCOTEL-2019: Reforma y codificación al Reglamento para otorgar títulos habilitantes para servicios del régimen general de telecomunicaciones y frecuencias del espectro radioeléctrico. Registro Oficial, Edición Especial 144, 29 de noviembre de 2019.</w:t>
      </w:r>
    </w:p>
    <w:p w14:paraId="0982F5BE" w14:textId="77777777" w:rsidR="00A13F3F" w:rsidRDefault="00CD7F95">
      <w:pPr>
        <w:pStyle w:val="Bibliografa"/>
      </w:pPr>
      <w:r>
        <w:t xml:space="preserve">Brasil. (2024). </w:t>
      </w:r>
      <w:proofErr w:type="spellStart"/>
      <w:r>
        <w:t>Lei</w:t>
      </w:r>
      <w:proofErr w:type="spellEnd"/>
      <w:r>
        <w:t xml:space="preserve"> </w:t>
      </w:r>
      <w:proofErr w:type="spellStart"/>
      <w:r>
        <w:t>nº</w:t>
      </w:r>
      <w:proofErr w:type="spellEnd"/>
      <w:r>
        <w:t xml:space="preserve"> 14.946, de 31 de </w:t>
      </w:r>
      <w:proofErr w:type="spellStart"/>
      <w:r>
        <w:t>julho</w:t>
      </w:r>
      <w:proofErr w:type="spellEnd"/>
      <w:r>
        <w:t xml:space="preserve"> de 2024. </w:t>
      </w:r>
      <w:proofErr w:type="spellStart"/>
      <w:r>
        <w:t>Institui</w:t>
      </w:r>
      <w:proofErr w:type="spellEnd"/>
      <w:r>
        <w:t xml:space="preserve"> normas </w:t>
      </w:r>
      <w:proofErr w:type="spellStart"/>
      <w:r>
        <w:t>aplicáveis</w:t>
      </w:r>
      <w:proofErr w:type="spellEnd"/>
      <w:r>
        <w:t xml:space="preserve"> a </w:t>
      </w:r>
      <w:proofErr w:type="spellStart"/>
      <w:r>
        <w:t>atividades</w:t>
      </w:r>
      <w:proofErr w:type="spellEnd"/>
      <w:r>
        <w:t xml:space="preserve"> </w:t>
      </w:r>
      <w:proofErr w:type="spellStart"/>
      <w:r>
        <w:t>espaciais</w:t>
      </w:r>
      <w:proofErr w:type="spellEnd"/>
      <w:r>
        <w:t xml:space="preserve"> </w:t>
      </w:r>
      <w:proofErr w:type="spellStart"/>
      <w:r>
        <w:t>nacionais</w:t>
      </w:r>
      <w:proofErr w:type="spellEnd"/>
      <w:r>
        <w:t xml:space="preserve">. </w:t>
      </w:r>
      <w:proofErr w:type="spellStart"/>
      <w:r>
        <w:t>Presidência</w:t>
      </w:r>
      <w:proofErr w:type="spellEnd"/>
      <w:r>
        <w:t xml:space="preserve"> da República.</w:t>
      </w:r>
    </w:p>
    <w:p w14:paraId="001A2F27" w14:textId="77777777" w:rsidR="00A13F3F" w:rsidRDefault="00CD7F95">
      <w:pPr>
        <w:pStyle w:val="Bibliografa"/>
      </w:pPr>
      <w:r>
        <w:t xml:space="preserve">Cheng, B. (1998). </w:t>
      </w:r>
      <w:proofErr w:type="spellStart"/>
      <w:r>
        <w:t>Article</w:t>
      </w:r>
      <w:proofErr w:type="spellEnd"/>
      <w:r>
        <w:t xml:space="preserve"> VI </w:t>
      </w:r>
      <w:proofErr w:type="spellStart"/>
      <w:r>
        <w:t>of</w:t>
      </w:r>
      <w:proofErr w:type="spellEnd"/>
      <w:r>
        <w:t xml:space="preserve"> </w:t>
      </w:r>
      <w:proofErr w:type="spellStart"/>
      <w:r>
        <w:t>the</w:t>
      </w:r>
      <w:proofErr w:type="spellEnd"/>
      <w:r>
        <w:t xml:space="preserve"> 1967 </w:t>
      </w:r>
      <w:proofErr w:type="spellStart"/>
      <w:r>
        <w:t>Space</w:t>
      </w:r>
      <w:proofErr w:type="spellEnd"/>
      <w:r>
        <w:t xml:space="preserve"> </w:t>
      </w:r>
      <w:proofErr w:type="spellStart"/>
      <w:r>
        <w:t>Treaty</w:t>
      </w:r>
      <w:proofErr w:type="spellEnd"/>
      <w:r>
        <w:t xml:space="preserve"> </w:t>
      </w:r>
      <w:proofErr w:type="spellStart"/>
      <w:r>
        <w:t>revisited</w:t>
      </w:r>
      <w:proofErr w:type="spellEnd"/>
      <w:r>
        <w:t xml:space="preserve">: ‘International </w:t>
      </w:r>
      <w:proofErr w:type="spellStart"/>
      <w:r>
        <w:t>responsibility</w:t>
      </w:r>
      <w:proofErr w:type="spellEnd"/>
      <w:r>
        <w:t>’, ‘</w:t>
      </w:r>
      <w:proofErr w:type="spellStart"/>
      <w:r>
        <w:t>national</w:t>
      </w:r>
      <w:proofErr w:type="spellEnd"/>
      <w:r>
        <w:t xml:space="preserve"> </w:t>
      </w:r>
      <w:proofErr w:type="spellStart"/>
      <w:r>
        <w:t>activities</w:t>
      </w:r>
      <w:proofErr w:type="spellEnd"/>
      <w:r>
        <w:t>’, and ‘</w:t>
      </w:r>
      <w:proofErr w:type="spellStart"/>
      <w:r>
        <w:t>the</w:t>
      </w:r>
      <w:proofErr w:type="spellEnd"/>
      <w:r>
        <w:t xml:space="preserve"> </w:t>
      </w:r>
      <w:proofErr w:type="spellStart"/>
      <w:r>
        <w:t>appropriate</w:t>
      </w:r>
      <w:proofErr w:type="spellEnd"/>
      <w:r>
        <w:t xml:space="preserve"> </w:t>
      </w:r>
      <w:proofErr w:type="spellStart"/>
      <w:r>
        <w:t>State</w:t>
      </w:r>
      <w:proofErr w:type="spellEnd"/>
      <w:r>
        <w:t xml:space="preserve">’. </w:t>
      </w:r>
      <w:proofErr w:type="spellStart"/>
      <w:r>
        <w:t>Journal</w:t>
      </w:r>
      <w:proofErr w:type="spellEnd"/>
      <w:r>
        <w:t xml:space="preserve"> </w:t>
      </w:r>
      <w:proofErr w:type="spellStart"/>
      <w:r>
        <w:t>of</w:t>
      </w:r>
      <w:proofErr w:type="spellEnd"/>
      <w:r>
        <w:t xml:space="preserve"> </w:t>
      </w:r>
      <w:proofErr w:type="spellStart"/>
      <w:r>
        <w:t>Space</w:t>
      </w:r>
      <w:proofErr w:type="spellEnd"/>
      <w:r>
        <w:t xml:space="preserve"> </w:t>
      </w:r>
      <w:proofErr w:type="spellStart"/>
      <w:r>
        <w:t>Law</w:t>
      </w:r>
      <w:proofErr w:type="spellEnd"/>
      <w:r>
        <w:t>, 26(1), 7–32. https://doi.org/10.56702/PJKX6569/jspalaw_2601.5</w:t>
      </w:r>
    </w:p>
    <w:p w14:paraId="078F9655" w14:textId="77777777" w:rsidR="00A13F3F" w:rsidRDefault="00CD7F95">
      <w:pPr>
        <w:pStyle w:val="Bibliografa"/>
      </w:pPr>
      <w:r>
        <w:t xml:space="preserve">Chile. (2025). Decreto </w:t>
      </w:r>
      <w:proofErr w:type="spellStart"/>
      <w:r>
        <w:t>nº</w:t>
      </w:r>
      <w:proofErr w:type="spellEnd"/>
      <w:r>
        <w:t xml:space="preserve"> 30, de 4 de julio de 2024, publicado el 22 de julio de 2025. Aprueba Política Nacional Espacial. Ministerio de Ciencia, Tecnología, Conocimiento e Innovación.</w:t>
      </w:r>
    </w:p>
    <w:p w14:paraId="2A86DFF9" w14:textId="77777777" w:rsidR="00A13F3F" w:rsidRDefault="00CD7F95">
      <w:pPr>
        <w:pStyle w:val="Bibliografa"/>
      </w:pPr>
      <w:r>
        <w:t>Colombia. (2023). Ley 2302 de 2023. Por medio de la cual se adoptan medidas para garantizar la defensa e integridad territorial en el ámbito espacial y se dictan otras disposiciones.</w:t>
      </w:r>
    </w:p>
    <w:p w14:paraId="134B11F1" w14:textId="77777777" w:rsidR="00A13F3F" w:rsidRDefault="00CD7F95">
      <w:pPr>
        <w:pStyle w:val="Bibliografa"/>
      </w:pPr>
      <w:r>
        <w:t>Colombia. (2024). Decreto 1064 de 2024. Reglamentación de las actividades espaciales controladas en desarrollo de la Ley 2302 de 2023. Presidencia de la República.</w:t>
      </w:r>
    </w:p>
    <w:p w14:paraId="41FC0183" w14:textId="77777777" w:rsidR="00A13F3F" w:rsidRDefault="00CD7F95">
      <w:pPr>
        <w:pStyle w:val="Bibliografa"/>
      </w:pPr>
      <w:r>
        <w:t>Corte Constitucional del Ecuador. (2024). Dictamen 14-24-TI/24, 24 de octubre de 2024.</w:t>
      </w:r>
    </w:p>
    <w:p w14:paraId="7BD2CE33" w14:textId="77777777" w:rsidR="00A13F3F" w:rsidRDefault="00CD7F95">
      <w:pPr>
        <w:pStyle w:val="Bibliografa"/>
      </w:pPr>
      <w:r>
        <w:lastRenderedPageBreak/>
        <w:t xml:space="preserve">de </w:t>
      </w:r>
      <w:proofErr w:type="spellStart"/>
      <w:r>
        <w:t>Zwart</w:t>
      </w:r>
      <w:proofErr w:type="spellEnd"/>
      <w:r>
        <w:t xml:space="preserve">, M. (2025). </w:t>
      </w:r>
      <w:proofErr w:type="spellStart"/>
      <w:r>
        <w:t>Authorization</w:t>
      </w:r>
      <w:proofErr w:type="spellEnd"/>
      <w:r>
        <w:t xml:space="preserve"> and </w:t>
      </w:r>
      <w:proofErr w:type="spellStart"/>
      <w:r>
        <w:t>continuing</w:t>
      </w:r>
      <w:proofErr w:type="spellEnd"/>
      <w:r>
        <w:t xml:space="preserve"> </w:t>
      </w:r>
      <w:proofErr w:type="spellStart"/>
      <w:r>
        <w:t>supervision</w:t>
      </w:r>
      <w:proofErr w:type="spellEnd"/>
      <w:r>
        <w:t xml:space="preserve"> (</w:t>
      </w:r>
      <w:proofErr w:type="spellStart"/>
      <w:r>
        <w:t>Article</w:t>
      </w:r>
      <w:proofErr w:type="spellEnd"/>
      <w:r>
        <w:t xml:space="preserve"> VI). En M. Hofmann &amp; P. J. </w:t>
      </w:r>
      <w:proofErr w:type="spellStart"/>
      <w:r>
        <w:t>Blount</w:t>
      </w:r>
      <w:proofErr w:type="spellEnd"/>
      <w:r>
        <w:t xml:space="preserve"> (Eds.), </w:t>
      </w:r>
      <w:r>
        <w:rPr>
          <w:i/>
        </w:rPr>
        <w:t xml:space="preserve">Elgar Concise </w:t>
      </w:r>
      <w:proofErr w:type="spellStart"/>
      <w:r>
        <w:rPr>
          <w:i/>
        </w:rPr>
        <w:t>Encyclopedia</w:t>
      </w:r>
      <w:proofErr w:type="spellEnd"/>
      <w:r>
        <w:rPr>
          <w:i/>
        </w:rPr>
        <w:t xml:space="preserve"> </w:t>
      </w:r>
      <w:proofErr w:type="spellStart"/>
      <w:r>
        <w:rPr>
          <w:i/>
        </w:rPr>
        <w:t>of</w:t>
      </w:r>
      <w:proofErr w:type="spellEnd"/>
      <w:r>
        <w:rPr>
          <w:i/>
        </w:rPr>
        <w:t xml:space="preserve"> </w:t>
      </w:r>
      <w:proofErr w:type="spellStart"/>
      <w:r>
        <w:rPr>
          <w:i/>
        </w:rPr>
        <w:t>Space</w:t>
      </w:r>
      <w:proofErr w:type="spellEnd"/>
      <w:r>
        <w:rPr>
          <w:i/>
        </w:rPr>
        <w:t xml:space="preserve"> </w:t>
      </w:r>
      <w:proofErr w:type="spellStart"/>
      <w:r>
        <w:rPr>
          <w:i/>
        </w:rPr>
        <w:t>Law</w:t>
      </w:r>
      <w:proofErr w:type="spellEnd"/>
      <w:r>
        <w:t xml:space="preserve"> (pp. 17–20). Edward Elgar Publishing. https://doi.org/10.4337/9781802207361.00011</w:t>
      </w:r>
    </w:p>
    <w:p w14:paraId="613D6752" w14:textId="77777777" w:rsidR="00A13F3F" w:rsidRDefault="00CD7F95">
      <w:pPr>
        <w:pStyle w:val="Bibliografa"/>
      </w:pPr>
      <w:r>
        <w:t xml:space="preserve">Ecuador. (2019). Decreto Ejecutivo </w:t>
      </w:r>
      <w:proofErr w:type="spellStart"/>
      <w:r>
        <w:t>nº</w:t>
      </w:r>
      <w:proofErr w:type="spellEnd"/>
      <w:r>
        <w:t xml:space="preserve"> 714. </w:t>
      </w:r>
      <w:proofErr w:type="spellStart"/>
      <w:r>
        <w:t>Suprímese</w:t>
      </w:r>
      <w:proofErr w:type="spellEnd"/>
      <w:r>
        <w:t xml:space="preserve"> el Instituto Espacial Ecuatoriano. Registro Oficial, Suplemento 481, 6 de mayo de 2019.</w:t>
      </w:r>
    </w:p>
    <w:p w14:paraId="0BB1AB1B" w14:textId="77777777" w:rsidR="00A13F3F" w:rsidRDefault="00CD7F95">
      <w:pPr>
        <w:pStyle w:val="Bibliografa"/>
      </w:pPr>
      <w:r>
        <w:t xml:space="preserve">Ecuador. (2025a). Decreto Ejecutivo </w:t>
      </w:r>
      <w:proofErr w:type="spellStart"/>
      <w:r>
        <w:t>nº</w:t>
      </w:r>
      <w:proofErr w:type="spellEnd"/>
      <w:r>
        <w:t xml:space="preserve"> 530. Se ratifica en todo su contenido el Convenio sobre el Registro de Objetos Lanzados al Espacio Ultraterrestre. Registro Oficial, Cuarto Suplemento 747, 19 de febrero de 2025.</w:t>
      </w:r>
    </w:p>
    <w:p w14:paraId="39FDD704" w14:textId="77777777" w:rsidR="00A13F3F" w:rsidRDefault="00CD7F95">
      <w:pPr>
        <w:pStyle w:val="Bibliografa"/>
      </w:pPr>
      <w:r>
        <w:t>Ecuador. (2025b). Convenio sobre el Registro de Objetos Lanzados al Espacio Ultraterrestre. Registro Oficial, Suplemento 29, 30 de abril de 2025.</w:t>
      </w:r>
    </w:p>
    <w:p w14:paraId="5A2E94BC" w14:textId="77777777" w:rsidR="00A13F3F" w:rsidRDefault="00CD7F95">
      <w:pPr>
        <w:pStyle w:val="Bibliografa"/>
      </w:pPr>
      <w:r>
        <w:t xml:space="preserve">Ecuador. (2025c). Decreto Ejecutivo </w:t>
      </w:r>
      <w:proofErr w:type="spellStart"/>
      <w:r>
        <w:t>nº</w:t>
      </w:r>
      <w:proofErr w:type="spellEnd"/>
      <w:r>
        <w:t xml:space="preserve"> 143. Se transfieren a la Fuerza Aérea Ecuatoriana, bajo la rectoría del Ministerio de Defensa Nacional, varias atribuciones que correspondían al Instituto Geográfico Militar. Registro Oficial, Sexto Suplemento 127, 18 de septiembre de 2025.</w:t>
      </w:r>
    </w:p>
    <w:p w14:paraId="480CD9CC" w14:textId="77777777" w:rsidR="00A13F3F" w:rsidRDefault="00CD7F95">
      <w:pPr>
        <w:pStyle w:val="Bibliografa"/>
      </w:pPr>
      <w:r>
        <w:t xml:space="preserve">Gerhard, M. (2009). </w:t>
      </w:r>
      <w:proofErr w:type="spellStart"/>
      <w:r>
        <w:t>Article</w:t>
      </w:r>
      <w:proofErr w:type="spellEnd"/>
      <w:r>
        <w:t xml:space="preserve"> VI. En S. </w:t>
      </w:r>
      <w:proofErr w:type="spellStart"/>
      <w:r>
        <w:t>Hobe</w:t>
      </w:r>
      <w:proofErr w:type="spellEnd"/>
      <w:r>
        <w:t>, B. Schmidt-</w:t>
      </w:r>
      <w:proofErr w:type="spellStart"/>
      <w:r>
        <w:t>Tedd</w:t>
      </w:r>
      <w:proofErr w:type="spellEnd"/>
      <w:r>
        <w:t xml:space="preserve"> &amp; K.-U. </w:t>
      </w:r>
      <w:proofErr w:type="spellStart"/>
      <w:r>
        <w:t>Schrogl</w:t>
      </w:r>
      <w:proofErr w:type="spellEnd"/>
      <w:r>
        <w:t xml:space="preserve"> (Eds.), </w:t>
      </w:r>
      <w:proofErr w:type="spellStart"/>
      <w:r>
        <w:rPr>
          <w:i/>
        </w:rPr>
        <w:t>Cologne</w:t>
      </w:r>
      <w:proofErr w:type="spellEnd"/>
      <w:r>
        <w:rPr>
          <w:i/>
        </w:rPr>
        <w:t xml:space="preserve"> </w:t>
      </w:r>
      <w:proofErr w:type="spellStart"/>
      <w:r>
        <w:rPr>
          <w:i/>
        </w:rPr>
        <w:t>Commentary</w:t>
      </w:r>
      <w:proofErr w:type="spellEnd"/>
      <w:r>
        <w:rPr>
          <w:i/>
        </w:rPr>
        <w:t xml:space="preserve"> </w:t>
      </w:r>
      <w:proofErr w:type="spellStart"/>
      <w:r>
        <w:rPr>
          <w:i/>
        </w:rPr>
        <w:t>on</w:t>
      </w:r>
      <w:proofErr w:type="spellEnd"/>
      <w:r>
        <w:rPr>
          <w:i/>
        </w:rPr>
        <w:t xml:space="preserve"> </w:t>
      </w:r>
      <w:proofErr w:type="spellStart"/>
      <w:r>
        <w:rPr>
          <w:i/>
        </w:rPr>
        <w:t>Space</w:t>
      </w:r>
      <w:proofErr w:type="spellEnd"/>
      <w:r>
        <w:rPr>
          <w:i/>
        </w:rPr>
        <w:t xml:space="preserve"> </w:t>
      </w:r>
      <w:proofErr w:type="spellStart"/>
      <w:r>
        <w:rPr>
          <w:i/>
        </w:rPr>
        <w:t>Law</w:t>
      </w:r>
      <w:proofErr w:type="spellEnd"/>
      <w:r>
        <w:rPr>
          <w:i/>
        </w:rPr>
        <w:t xml:space="preserve">: Vol. I. </w:t>
      </w:r>
      <w:proofErr w:type="spellStart"/>
      <w:r>
        <w:rPr>
          <w:i/>
        </w:rPr>
        <w:t>Outer</w:t>
      </w:r>
      <w:proofErr w:type="spellEnd"/>
      <w:r>
        <w:rPr>
          <w:i/>
        </w:rPr>
        <w:t xml:space="preserve"> </w:t>
      </w:r>
      <w:proofErr w:type="spellStart"/>
      <w:r>
        <w:rPr>
          <w:i/>
        </w:rPr>
        <w:t>Space</w:t>
      </w:r>
      <w:proofErr w:type="spellEnd"/>
      <w:r>
        <w:rPr>
          <w:i/>
        </w:rPr>
        <w:t xml:space="preserve"> </w:t>
      </w:r>
      <w:proofErr w:type="spellStart"/>
      <w:r>
        <w:rPr>
          <w:i/>
        </w:rPr>
        <w:t>Treaty</w:t>
      </w:r>
      <w:proofErr w:type="spellEnd"/>
      <w:r>
        <w:t xml:space="preserve"> (pp. 103–125). Carl </w:t>
      </w:r>
      <w:proofErr w:type="spellStart"/>
      <w:r>
        <w:t>Heymanns</w:t>
      </w:r>
      <w:proofErr w:type="spellEnd"/>
      <w:r>
        <w:t xml:space="preserve"> </w:t>
      </w:r>
      <w:proofErr w:type="spellStart"/>
      <w:r>
        <w:t>Verlag</w:t>
      </w:r>
      <w:proofErr w:type="spellEnd"/>
      <w:r>
        <w:t>.</w:t>
      </w:r>
    </w:p>
    <w:p w14:paraId="300C375C" w14:textId="77777777" w:rsidR="00A13F3F" w:rsidRDefault="00CD7F95">
      <w:pPr>
        <w:pStyle w:val="Bibliografa"/>
      </w:pPr>
      <w:proofErr w:type="spellStart"/>
      <w:r>
        <w:t>Hobe</w:t>
      </w:r>
      <w:proofErr w:type="spellEnd"/>
      <w:r>
        <w:t>, S., Schmidt-</w:t>
      </w:r>
      <w:proofErr w:type="spellStart"/>
      <w:r>
        <w:t>Tedd</w:t>
      </w:r>
      <w:proofErr w:type="spellEnd"/>
      <w:r>
        <w:t xml:space="preserve">, B., &amp; </w:t>
      </w:r>
      <w:proofErr w:type="spellStart"/>
      <w:r>
        <w:t>Schrogl</w:t>
      </w:r>
      <w:proofErr w:type="spellEnd"/>
      <w:r>
        <w:t xml:space="preserve">, K.-U. (Eds.). (2009). </w:t>
      </w:r>
      <w:proofErr w:type="spellStart"/>
      <w:r>
        <w:rPr>
          <w:i/>
        </w:rPr>
        <w:t>Cologne</w:t>
      </w:r>
      <w:proofErr w:type="spellEnd"/>
      <w:r>
        <w:rPr>
          <w:i/>
        </w:rPr>
        <w:t xml:space="preserve"> </w:t>
      </w:r>
      <w:proofErr w:type="spellStart"/>
      <w:r>
        <w:rPr>
          <w:i/>
        </w:rPr>
        <w:t>Commentary</w:t>
      </w:r>
      <w:proofErr w:type="spellEnd"/>
      <w:r>
        <w:rPr>
          <w:i/>
        </w:rPr>
        <w:t xml:space="preserve"> </w:t>
      </w:r>
      <w:proofErr w:type="spellStart"/>
      <w:r>
        <w:rPr>
          <w:i/>
        </w:rPr>
        <w:t>on</w:t>
      </w:r>
      <w:proofErr w:type="spellEnd"/>
      <w:r>
        <w:rPr>
          <w:i/>
        </w:rPr>
        <w:t xml:space="preserve"> </w:t>
      </w:r>
      <w:proofErr w:type="spellStart"/>
      <w:r>
        <w:rPr>
          <w:i/>
        </w:rPr>
        <w:t>Space</w:t>
      </w:r>
      <w:proofErr w:type="spellEnd"/>
      <w:r>
        <w:rPr>
          <w:i/>
        </w:rPr>
        <w:t xml:space="preserve"> </w:t>
      </w:r>
      <w:proofErr w:type="spellStart"/>
      <w:r>
        <w:rPr>
          <w:i/>
        </w:rPr>
        <w:t>Law</w:t>
      </w:r>
      <w:proofErr w:type="spellEnd"/>
      <w:r>
        <w:rPr>
          <w:i/>
        </w:rPr>
        <w:t xml:space="preserve">: Vol. I. </w:t>
      </w:r>
      <w:proofErr w:type="spellStart"/>
      <w:r>
        <w:rPr>
          <w:i/>
        </w:rPr>
        <w:t>Outer</w:t>
      </w:r>
      <w:proofErr w:type="spellEnd"/>
      <w:r>
        <w:rPr>
          <w:i/>
        </w:rPr>
        <w:t xml:space="preserve"> </w:t>
      </w:r>
      <w:proofErr w:type="spellStart"/>
      <w:r>
        <w:rPr>
          <w:i/>
        </w:rPr>
        <w:t>Space</w:t>
      </w:r>
      <w:proofErr w:type="spellEnd"/>
      <w:r>
        <w:rPr>
          <w:i/>
        </w:rPr>
        <w:t xml:space="preserve"> </w:t>
      </w:r>
      <w:proofErr w:type="spellStart"/>
      <w:r>
        <w:rPr>
          <w:i/>
        </w:rPr>
        <w:t>Treaty</w:t>
      </w:r>
      <w:proofErr w:type="spellEnd"/>
      <w:r>
        <w:t xml:space="preserve">. Carl </w:t>
      </w:r>
      <w:proofErr w:type="spellStart"/>
      <w:r>
        <w:t>Heymanns</w:t>
      </w:r>
      <w:proofErr w:type="spellEnd"/>
      <w:r>
        <w:t xml:space="preserve"> </w:t>
      </w:r>
      <w:proofErr w:type="spellStart"/>
      <w:r>
        <w:t>Verlag</w:t>
      </w:r>
      <w:proofErr w:type="spellEnd"/>
      <w:r>
        <w:t>.</w:t>
      </w:r>
    </w:p>
    <w:p w14:paraId="5FB48C80" w14:textId="77777777" w:rsidR="00A13F3F" w:rsidRDefault="00CD7F95">
      <w:pPr>
        <w:pStyle w:val="Bibliografa"/>
      </w:pPr>
      <w:r>
        <w:t>Naciones Unidas. (1958). Resolución 1348 (XIII) de la Asamblea General. Cuestión del uso pacífico del espacio ultraterrestre.</w:t>
      </w:r>
    </w:p>
    <w:p w14:paraId="2C7F00AA" w14:textId="77777777" w:rsidR="00A13F3F" w:rsidRDefault="00CD7F95">
      <w:pPr>
        <w:pStyle w:val="Bibliografa"/>
      </w:pPr>
      <w:r>
        <w:t>Naciones Unidas. (1959). Resolución 1472 A (XIV) de la Asamblea General. Cooperación internacional en la utilización del espacio ultraterrestre con fines pacíficos.</w:t>
      </w:r>
    </w:p>
    <w:p w14:paraId="1F493E65" w14:textId="77777777" w:rsidR="00A13F3F" w:rsidRDefault="00CD7F95">
      <w:pPr>
        <w:pStyle w:val="Bibliografa"/>
      </w:pPr>
      <w:r>
        <w:t>Naciones Unidas. (1967). Tratado sobre los principios que deben regir las actividades de los Estados en la exploración y utilización del espacio ultraterrestre, incluso la Luna y otros cuerpos celestes, 610 U.N.T.S. 205.</w:t>
      </w:r>
    </w:p>
    <w:p w14:paraId="57EB6ADA" w14:textId="77777777" w:rsidR="00A13F3F" w:rsidRDefault="00CD7F95">
      <w:pPr>
        <w:pStyle w:val="Bibliografa"/>
      </w:pPr>
      <w:r>
        <w:t>Naciones Unidas. (1969). Convención de Viena sobre el Derecho de los Tratados, 1155 U.N.T.S. 331.</w:t>
      </w:r>
    </w:p>
    <w:p w14:paraId="7D6F15F1" w14:textId="77777777" w:rsidR="00A13F3F" w:rsidRDefault="00CD7F95">
      <w:pPr>
        <w:pStyle w:val="Bibliografa"/>
      </w:pPr>
      <w:r>
        <w:t>Naciones Unidas. (1996). Resolución 51/122 de la Asamblea General. Declaración sobre la cooperación internacional en la exploración y utilización del espacio ultraterrestre en beneficio e interés de todos los Estados, teniendo especialmente en cuenta las necesidades de los países en desarrollo.</w:t>
      </w:r>
    </w:p>
    <w:p w14:paraId="29A9BC35" w14:textId="77777777" w:rsidR="00A13F3F" w:rsidRDefault="00CD7F95">
      <w:pPr>
        <w:pStyle w:val="Bibliografa"/>
      </w:pPr>
      <w:r>
        <w:lastRenderedPageBreak/>
        <w:t>Naciones Unidas. (2013). Resolución 68/74 de la Asamblea General. Recomendaciones sobre la legislación nacional pertinente a la exploración y utilización del espacio ultraterrestre con fines pacíficos.</w:t>
      </w:r>
    </w:p>
    <w:p w14:paraId="6FA60841" w14:textId="77777777" w:rsidR="00A13F3F" w:rsidRDefault="00CD7F95">
      <w:pPr>
        <w:pStyle w:val="Bibliografa"/>
      </w:pPr>
      <w:r>
        <w:t xml:space="preserve">Ospina, S. (2017). Actividades latinoamericanas en el espacio ultraterrestre en el siglo XXI: Una actualización. </w:t>
      </w:r>
      <w:proofErr w:type="spellStart"/>
      <w:r>
        <w:rPr>
          <w:i/>
        </w:rPr>
        <w:t>Novum</w:t>
      </w:r>
      <w:proofErr w:type="spellEnd"/>
      <w:r>
        <w:rPr>
          <w:i/>
        </w:rPr>
        <w:t xml:space="preserve"> </w:t>
      </w:r>
      <w:proofErr w:type="spellStart"/>
      <w:r>
        <w:rPr>
          <w:i/>
        </w:rPr>
        <w:t>Jus</w:t>
      </w:r>
      <w:proofErr w:type="spellEnd"/>
      <w:r>
        <w:rPr>
          <w:i/>
        </w:rPr>
        <w:t>, 11</w:t>
      </w:r>
      <w:r>
        <w:t>(1), 15–38. https://doi.org/10.14718/NovumJus.2017.11.1.1</w:t>
      </w:r>
    </w:p>
    <w:p w14:paraId="4F979EFF" w14:textId="77777777" w:rsidR="00A13F3F" w:rsidRDefault="00CD7F95">
      <w:pPr>
        <w:pStyle w:val="Bibliografa"/>
      </w:pPr>
      <w:r>
        <w:t xml:space="preserve">Paladini, S., &amp; </w:t>
      </w:r>
      <w:proofErr w:type="spellStart"/>
      <w:r>
        <w:t>Castellucci</w:t>
      </w:r>
      <w:proofErr w:type="spellEnd"/>
      <w:r>
        <w:t xml:space="preserve">, I. (2022). </w:t>
      </w:r>
      <w:proofErr w:type="spellStart"/>
      <w:r>
        <w:t>Sovereign</w:t>
      </w:r>
      <w:proofErr w:type="spellEnd"/>
      <w:r>
        <w:t xml:space="preserve"> </w:t>
      </w:r>
      <w:proofErr w:type="spellStart"/>
      <w:r>
        <w:t>states</w:t>
      </w:r>
      <w:proofErr w:type="spellEnd"/>
      <w:r>
        <w:t xml:space="preserve">, </w:t>
      </w:r>
      <w:proofErr w:type="spellStart"/>
      <w:r>
        <w:t>private</w:t>
      </w:r>
      <w:proofErr w:type="spellEnd"/>
      <w:r>
        <w:t xml:space="preserve"> </w:t>
      </w:r>
      <w:proofErr w:type="spellStart"/>
      <w:r>
        <w:t>actors</w:t>
      </w:r>
      <w:proofErr w:type="spellEnd"/>
      <w:r>
        <w:t>, and (</w:t>
      </w:r>
      <w:proofErr w:type="spellStart"/>
      <w:r>
        <w:t>national</w:t>
      </w:r>
      <w:proofErr w:type="spellEnd"/>
      <w:r>
        <w:t xml:space="preserve">) </w:t>
      </w:r>
      <w:proofErr w:type="spellStart"/>
      <w:r>
        <w:t>space</w:t>
      </w:r>
      <w:proofErr w:type="spellEnd"/>
      <w:r>
        <w:t xml:space="preserve"> </w:t>
      </w:r>
      <w:proofErr w:type="spellStart"/>
      <w:r>
        <w:t>laws</w:t>
      </w:r>
      <w:proofErr w:type="spellEnd"/>
      <w:r>
        <w:t xml:space="preserve">: A </w:t>
      </w:r>
      <w:proofErr w:type="spellStart"/>
      <w:r>
        <w:t>rapidly</w:t>
      </w:r>
      <w:proofErr w:type="spellEnd"/>
      <w:r>
        <w:t xml:space="preserve"> </w:t>
      </w:r>
      <w:proofErr w:type="spellStart"/>
      <w:r>
        <w:t>evolving</w:t>
      </w:r>
      <w:proofErr w:type="spellEnd"/>
      <w:r>
        <w:t xml:space="preserve"> </w:t>
      </w:r>
      <w:proofErr w:type="spellStart"/>
      <w:r>
        <w:t>landscape</w:t>
      </w:r>
      <w:proofErr w:type="spellEnd"/>
      <w:r>
        <w:t xml:space="preserve">. En C. S. </w:t>
      </w:r>
      <w:proofErr w:type="spellStart"/>
      <w:r>
        <w:t>Cockell</w:t>
      </w:r>
      <w:proofErr w:type="spellEnd"/>
      <w:r>
        <w:t xml:space="preserve"> (Ed.), </w:t>
      </w:r>
      <w:proofErr w:type="spellStart"/>
      <w:r>
        <w:rPr>
          <w:i/>
        </w:rPr>
        <w:t>The</w:t>
      </w:r>
      <w:proofErr w:type="spellEnd"/>
      <w:r>
        <w:rPr>
          <w:i/>
        </w:rPr>
        <w:t xml:space="preserve"> </w:t>
      </w:r>
      <w:proofErr w:type="spellStart"/>
      <w:r>
        <w:rPr>
          <w:i/>
        </w:rPr>
        <w:t>Institutions</w:t>
      </w:r>
      <w:proofErr w:type="spellEnd"/>
      <w:r>
        <w:rPr>
          <w:i/>
        </w:rPr>
        <w:t xml:space="preserve"> </w:t>
      </w:r>
      <w:proofErr w:type="spellStart"/>
      <w:r>
        <w:rPr>
          <w:i/>
        </w:rPr>
        <w:t>of</w:t>
      </w:r>
      <w:proofErr w:type="spellEnd"/>
      <w:r>
        <w:rPr>
          <w:i/>
        </w:rPr>
        <w:t xml:space="preserve"> </w:t>
      </w:r>
      <w:proofErr w:type="spellStart"/>
      <w:r>
        <w:rPr>
          <w:i/>
        </w:rPr>
        <w:t>Extraterrestrial</w:t>
      </w:r>
      <w:proofErr w:type="spellEnd"/>
      <w:r>
        <w:rPr>
          <w:i/>
        </w:rPr>
        <w:t xml:space="preserve"> Liberty</w:t>
      </w:r>
      <w:r>
        <w:t xml:space="preserve"> (pp. 366–383). Oxford </w:t>
      </w:r>
      <w:proofErr w:type="spellStart"/>
      <w:r>
        <w:t>University</w:t>
      </w:r>
      <w:proofErr w:type="spellEnd"/>
      <w:r>
        <w:t xml:space="preserve"> </w:t>
      </w:r>
      <w:proofErr w:type="spellStart"/>
      <w:r>
        <w:t>Press</w:t>
      </w:r>
      <w:proofErr w:type="spellEnd"/>
      <w:r>
        <w:t>. https://doi.org/10.1093/oso/9780192897985.003.0022</w:t>
      </w:r>
    </w:p>
    <w:p w14:paraId="06BB805F" w14:textId="77777777" w:rsidR="00A13F3F" w:rsidRDefault="00CD7F95">
      <w:pPr>
        <w:pStyle w:val="Bibliografa"/>
      </w:pPr>
      <w:proofErr w:type="spellStart"/>
      <w:r>
        <w:t>Palit</w:t>
      </w:r>
      <w:proofErr w:type="spellEnd"/>
      <w:r>
        <w:t xml:space="preserve">, S., </w:t>
      </w:r>
      <w:proofErr w:type="spellStart"/>
      <w:r>
        <w:t>Dias</w:t>
      </w:r>
      <w:proofErr w:type="spellEnd"/>
      <w:r>
        <w:t xml:space="preserve">, T. S., &amp; </w:t>
      </w:r>
      <w:proofErr w:type="spellStart"/>
      <w:r>
        <w:t>Hazra</w:t>
      </w:r>
      <w:proofErr w:type="spellEnd"/>
      <w:r>
        <w:t xml:space="preserve">, S. (2025). </w:t>
      </w:r>
      <w:proofErr w:type="spellStart"/>
      <w:r>
        <w:t>Rebalancing</w:t>
      </w:r>
      <w:proofErr w:type="spellEnd"/>
      <w:r>
        <w:t xml:space="preserve"> </w:t>
      </w:r>
      <w:proofErr w:type="spellStart"/>
      <w:r>
        <w:t>space</w:t>
      </w:r>
      <w:proofErr w:type="spellEnd"/>
      <w:r>
        <w:t xml:space="preserve"> </w:t>
      </w:r>
      <w:proofErr w:type="spellStart"/>
      <w:r>
        <w:t>governance</w:t>
      </w:r>
      <w:proofErr w:type="spellEnd"/>
      <w:r>
        <w:t xml:space="preserve">: A Global South </w:t>
      </w:r>
      <w:proofErr w:type="spellStart"/>
      <w:r>
        <w:t>perspective</w:t>
      </w:r>
      <w:proofErr w:type="spellEnd"/>
      <w:r>
        <w:t xml:space="preserve"> </w:t>
      </w:r>
      <w:proofErr w:type="spellStart"/>
      <w:r>
        <w:t>on</w:t>
      </w:r>
      <w:proofErr w:type="spellEnd"/>
      <w:r>
        <w:t xml:space="preserve"> </w:t>
      </w:r>
      <w:proofErr w:type="spellStart"/>
      <w:r>
        <w:t>outer</w:t>
      </w:r>
      <w:proofErr w:type="spellEnd"/>
      <w:r>
        <w:t xml:space="preserve"> </w:t>
      </w:r>
      <w:proofErr w:type="spellStart"/>
      <w:r>
        <w:t>space</w:t>
      </w:r>
      <w:proofErr w:type="spellEnd"/>
      <w:r>
        <w:t xml:space="preserve"> as a global </w:t>
      </w:r>
      <w:proofErr w:type="spellStart"/>
      <w:r>
        <w:t>commons</w:t>
      </w:r>
      <w:proofErr w:type="spellEnd"/>
      <w:r>
        <w:t xml:space="preserve">. </w:t>
      </w:r>
      <w:proofErr w:type="spellStart"/>
      <w:r>
        <w:rPr>
          <w:i/>
        </w:rPr>
        <w:t>Frontiers</w:t>
      </w:r>
      <w:proofErr w:type="spellEnd"/>
      <w:r>
        <w:rPr>
          <w:i/>
        </w:rPr>
        <w:t xml:space="preserve"> in </w:t>
      </w:r>
      <w:proofErr w:type="spellStart"/>
      <w:r>
        <w:rPr>
          <w:i/>
        </w:rPr>
        <w:t>Space</w:t>
      </w:r>
      <w:proofErr w:type="spellEnd"/>
      <w:r>
        <w:rPr>
          <w:i/>
        </w:rPr>
        <w:t xml:space="preserve"> Technologies, 6</w:t>
      </w:r>
      <w:r>
        <w:t>, 1594352. https://doi.org/10.3389/frspt.2025.1594352</w:t>
      </w:r>
    </w:p>
    <w:p w14:paraId="623866EB" w14:textId="77777777" w:rsidR="00A13F3F" w:rsidRDefault="00CD7F95">
      <w:pPr>
        <w:pStyle w:val="Bibliografa"/>
      </w:pPr>
      <w:r>
        <w:t>Secretaría General de las Naciones Unidas. (2025). C.N.</w:t>
      </w:r>
      <w:proofErr w:type="gramStart"/>
      <w:r>
        <w:t>138.2025.TREATIES</w:t>
      </w:r>
      <w:proofErr w:type="gramEnd"/>
      <w:r>
        <w:t xml:space="preserve">-XXIV.1: </w:t>
      </w:r>
      <w:proofErr w:type="spellStart"/>
      <w:r>
        <w:t>Convention</w:t>
      </w:r>
      <w:proofErr w:type="spellEnd"/>
      <w:r>
        <w:t xml:space="preserve"> </w:t>
      </w:r>
      <w:proofErr w:type="spellStart"/>
      <w:r>
        <w:t>on</w:t>
      </w:r>
      <w:proofErr w:type="spellEnd"/>
      <w:r>
        <w:t xml:space="preserve"> </w:t>
      </w:r>
      <w:proofErr w:type="spellStart"/>
      <w:r>
        <w:t>Registration</w:t>
      </w:r>
      <w:proofErr w:type="spellEnd"/>
      <w:r>
        <w:t xml:space="preserve"> </w:t>
      </w:r>
      <w:proofErr w:type="spellStart"/>
      <w:r>
        <w:t>of</w:t>
      </w:r>
      <w:proofErr w:type="spellEnd"/>
      <w:r>
        <w:t xml:space="preserve"> </w:t>
      </w:r>
      <w:proofErr w:type="spellStart"/>
      <w:r>
        <w:t>Objects</w:t>
      </w:r>
      <w:proofErr w:type="spellEnd"/>
      <w:r>
        <w:t xml:space="preserve"> </w:t>
      </w:r>
      <w:proofErr w:type="spellStart"/>
      <w:r>
        <w:t>Launched</w:t>
      </w:r>
      <w:proofErr w:type="spellEnd"/>
      <w:r>
        <w:t xml:space="preserve"> </w:t>
      </w:r>
      <w:proofErr w:type="spellStart"/>
      <w:r>
        <w:t>into</w:t>
      </w:r>
      <w:proofErr w:type="spellEnd"/>
      <w:r>
        <w:t xml:space="preserve"> </w:t>
      </w:r>
      <w:proofErr w:type="spellStart"/>
      <w:r>
        <w:t>Outer</w:t>
      </w:r>
      <w:proofErr w:type="spellEnd"/>
      <w:r>
        <w:t xml:space="preserve"> </w:t>
      </w:r>
      <w:proofErr w:type="spellStart"/>
      <w:r>
        <w:t>Space</w:t>
      </w:r>
      <w:proofErr w:type="spellEnd"/>
      <w:r>
        <w:t xml:space="preserve"> — Ecuador: </w:t>
      </w:r>
      <w:proofErr w:type="spellStart"/>
      <w:r>
        <w:t>Accession</w:t>
      </w:r>
      <w:proofErr w:type="spellEnd"/>
      <w:r>
        <w:t>, 18 de marzo de 2025.</w:t>
      </w:r>
    </w:p>
    <w:p w14:paraId="28D13E3B" w14:textId="77777777" w:rsidR="00A13F3F" w:rsidRDefault="00CD7F95">
      <w:pPr>
        <w:pStyle w:val="Bibliografa"/>
      </w:pPr>
      <w:proofErr w:type="spellStart"/>
      <w:r>
        <w:t>Vazhapully</w:t>
      </w:r>
      <w:proofErr w:type="spellEnd"/>
      <w:r>
        <w:t xml:space="preserve">, K. M. (2024). </w:t>
      </w:r>
      <w:proofErr w:type="spellStart"/>
      <w:r>
        <w:t>Third</w:t>
      </w:r>
      <w:proofErr w:type="spellEnd"/>
      <w:r>
        <w:t xml:space="preserve"> </w:t>
      </w:r>
      <w:proofErr w:type="spellStart"/>
      <w:r>
        <w:t>World</w:t>
      </w:r>
      <w:proofErr w:type="spellEnd"/>
      <w:r>
        <w:t xml:space="preserve"> </w:t>
      </w:r>
      <w:proofErr w:type="spellStart"/>
      <w:r>
        <w:t>approaches</w:t>
      </w:r>
      <w:proofErr w:type="spellEnd"/>
      <w:r>
        <w:t xml:space="preserve"> </w:t>
      </w:r>
      <w:proofErr w:type="spellStart"/>
      <w:r>
        <w:t>to</w:t>
      </w:r>
      <w:proofErr w:type="spellEnd"/>
      <w:r>
        <w:t xml:space="preserve"> </w:t>
      </w:r>
      <w:proofErr w:type="spellStart"/>
      <w:r>
        <w:t>international</w:t>
      </w:r>
      <w:proofErr w:type="spellEnd"/>
      <w:r>
        <w:t xml:space="preserve"> </w:t>
      </w:r>
      <w:proofErr w:type="spellStart"/>
      <w:r>
        <w:t>space</w:t>
      </w:r>
      <w:proofErr w:type="spellEnd"/>
      <w:r>
        <w:t xml:space="preserve"> </w:t>
      </w:r>
      <w:proofErr w:type="spellStart"/>
      <w:r>
        <w:t>law</w:t>
      </w:r>
      <w:proofErr w:type="spellEnd"/>
      <w:r>
        <w:t xml:space="preserve">. En S. B. </w:t>
      </w:r>
      <w:proofErr w:type="spellStart"/>
      <w:r>
        <w:t>Bhat</w:t>
      </w:r>
      <w:proofErr w:type="spellEnd"/>
      <w:r>
        <w:t xml:space="preserve">, D. </w:t>
      </w:r>
      <w:proofErr w:type="spellStart"/>
      <w:r>
        <w:t>Ukey</w:t>
      </w:r>
      <w:proofErr w:type="spellEnd"/>
      <w:r>
        <w:t xml:space="preserve">, &amp; A. </w:t>
      </w:r>
      <w:proofErr w:type="spellStart"/>
      <w:r>
        <w:t>Variath</w:t>
      </w:r>
      <w:proofErr w:type="spellEnd"/>
      <w:r>
        <w:t xml:space="preserve"> (Eds.), </w:t>
      </w:r>
      <w:r>
        <w:rPr>
          <w:i/>
        </w:rPr>
        <w:t xml:space="preserve">International </w:t>
      </w:r>
      <w:proofErr w:type="spellStart"/>
      <w:r>
        <w:rPr>
          <w:i/>
        </w:rPr>
        <w:t>Space</w:t>
      </w:r>
      <w:proofErr w:type="spellEnd"/>
      <w:r>
        <w:rPr>
          <w:i/>
        </w:rPr>
        <w:t xml:space="preserve"> </w:t>
      </w:r>
      <w:proofErr w:type="spellStart"/>
      <w:r>
        <w:rPr>
          <w:i/>
        </w:rPr>
        <w:t>Law</w:t>
      </w:r>
      <w:proofErr w:type="spellEnd"/>
      <w:r>
        <w:rPr>
          <w:i/>
        </w:rPr>
        <w:t xml:space="preserve"> in </w:t>
      </w:r>
      <w:proofErr w:type="spellStart"/>
      <w:r>
        <w:rPr>
          <w:i/>
        </w:rPr>
        <w:t>the</w:t>
      </w:r>
      <w:proofErr w:type="spellEnd"/>
      <w:r>
        <w:rPr>
          <w:i/>
        </w:rPr>
        <w:t xml:space="preserve"> New </w:t>
      </w:r>
      <w:proofErr w:type="spellStart"/>
      <w:r>
        <w:rPr>
          <w:i/>
        </w:rPr>
        <w:t>Space</w:t>
      </w:r>
      <w:proofErr w:type="spellEnd"/>
      <w:r>
        <w:rPr>
          <w:i/>
        </w:rPr>
        <w:t xml:space="preserve"> Era: </w:t>
      </w:r>
      <w:proofErr w:type="spellStart"/>
      <w:r>
        <w:rPr>
          <w:i/>
        </w:rPr>
        <w:t>Principles</w:t>
      </w:r>
      <w:proofErr w:type="spellEnd"/>
      <w:r>
        <w:rPr>
          <w:i/>
        </w:rPr>
        <w:t xml:space="preserve"> and </w:t>
      </w:r>
      <w:proofErr w:type="spellStart"/>
      <w:r>
        <w:rPr>
          <w:i/>
        </w:rPr>
        <w:t>Challenges</w:t>
      </w:r>
      <w:proofErr w:type="spellEnd"/>
      <w:r>
        <w:t xml:space="preserve"> (pp. 294–320). Oxford </w:t>
      </w:r>
      <w:proofErr w:type="spellStart"/>
      <w:r>
        <w:t>University</w:t>
      </w:r>
      <w:proofErr w:type="spellEnd"/>
      <w:r>
        <w:t xml:space="preserve"> </w:t>
      </w:r>
      <w:proofErr w:type="spellStart"/>
      <w:r>
        <w:t>Press</w:t>
      </w:r>
      <w:proofErr w:type="spellEnd"/>
      <w:r>
        <w:t>. https://doi.org/10.1093/9780198909415.003.0015</w:t>
      </w:r>
    </w:p>
    <w:p w14:paraId="7E4D36BF" w14:textId="77777777" w:rsidR="00A13F3F" w:rsidRDefault="00CD7F95">
      <w:pPr>
        <w:pStyle w:val="Bibliografa"/>
      </w:pPr>
      <w:proofErr w:type="spellStart"/>
      <w:r>
        <w:t>von</w:t>
      </w:r>
      <w:proofErr w:type="spellEnd"/>
      <w:r>
        <w:t xml:space="preserve"> </w:t>
      </w:r>
      <w:proofErr w:type="spellStart"/>
      <w:r>
        <w:t>der</w:t>
      </w:r>
      <w:proofErr w:type="spellEnd"/>
      <w:r>
        <w:t xml:space="preserve"> </w:t>
      </w:r>
      <w:proofErr w:type="spellStart"/>
      <w:r>
        <w:t>Dunk</w:t>
      </w:r>
      <w:proofErr w:type="spellEnd"/>
      <w:r>
        <w:t xml:space="preserve">, F. G. (2020). </w:t>
      </w:r>
      <w:proofErr w:type="spellStart"/>
      <w:r>
        <w:t>Scoping</w:t>
      </w:r>
      <w:proofErr w:type="spellEnd"/>
      <w:r>
        <w:t xml:space="preserve"> </w:t>
      </w:r>
      <w:proofErr w:type="spellStart"/>
      <w:r>
        <w:t>national</w:t>
      </w:r>
      <w:proofErr w:type="spellEnd"/>
      <w:r>
        <w:t xml:space="preserve"> </w:t>
      </w:r>
      <w:proofErr w:type="spellStart"/>
      <w:r>
        <w:t>space</w:t>
      </w:r>
      <w:proofErr w:type="spellEnd"/>
      <w:r>
        <w:t xml:space="preserve"> </w:t>
      </w:r>
      <w:proofErr w:type="spellStart"/>
      <w:r>
        <w:t>law</w:t>
      </w:r>
      <w:proofErr w:type="spellEnd"/>
      <w:r>
        <w:t xml:space="preserve">: </w:t>
      </w:r>
      <w:proofErr w:type="spellStart"/>
      <w:r>
        <w:t>The</w:t>
      </w:r>
      <w:proofErr w:type="spellEnd"/>
      <w:r>
        <w:t xml:space="preserve"> true </w:t>
      </w:r>
      <w:proofErr w:type="spellStart"/>
      <w:r>
        <w:t>meaning</w:t>
      </w:r>
      <w:proofErr w:type="spellEnd"/>
      <w:r>
        <w:t xml:space="preserve"> </w:t>
      </w:r>
      <w:proofErr w:type="spellStart"/>
      <w:r>
        <w:t>of</w:t>
      </w:r>
      <w:proofErr w:type="spellEnd"/>
      <w:r>
        <w:t xml:space="preserve"> ‘</w:t>
      </w:r>
      <w:proofErr w:type="spellStart"/>
      <w:r>
        <w:t>national</w:t>
      </w:r>
      <w:proofErr w:type="spellEnd"/>
      <w:r>
        <w:t xml:space="preserve"> </w:t>
      </w:r>
      <w:proofErr w:type="spellStart"/>
      <w:r>
        <w:t>activities</w:t>
      </w:r>
      <w:proofErr w:type="spellEnd"/>
      <w:r>
        <w:t xml:space="preserve"> in </w:t>
      </w:r>
      <w:proofErr w:type="spellStart"/>
      <w:r>
        <w:t>outer</w:t>
      </w:r>
      <w:proofErr w:type="spellEnd"/>
      <w:r>
        <w:t xml:space="preserve"> </w:t>
      </w:r>
      <w:proofErr w:type="spellStart"/>
      <w:r>
        <w:t>space</w:t>
      </w:r>
      <w:proofErr w:type="spellEnd"/>
      <w:r>
        <w:t xml:space="preserve">’ </w:t>
      </w:r>
      <w:proofErr w:type="spellStart"/>
      <w:r>
        <w:t>of</w:t>
      </w:r>
      <w:proofErr w:type="spellEnd"/>
      <w:r>
        <w:t xml:space="preserve"> </w:t>
      </w:r>
      <w:proofErr w:type="spellStart"/>
      <w:r>
        <w:t>Article</w:t>
      </w:r>
      <w:proofErr w:type="spellEnd"/>
      <w:r>
        <w:t xml:space="preserve"> VI </w:t>
      </w:r>
      <w:proofErr w:type="spellStart"/>
      <w:r>
        <w:t>of</w:t>
      </w:r>
      <w:proofErr w:type="spellEnd"/>
      <w:r>
        <w:t xml:space="preserve"> </w:t>
      </w:r>
      <w:proofErr w:type="spellStart"/>
      <w:r>
        <w:t>the</w:t>
      </w:r>
      <w:proofErr w:type="spellEnd"/>
      <w:r>
        <w:t xml:space="preserve"> </w:t>
      </w:r>
      <w:proofErr w:type="spellStart"/>
      <w:r>
        <w:t>Outer</w:t>
      </w:r>
      <w:proofErr w:type="spellEnd"/>
      <w:r>
        <w:t xml:space="preserve"> </w:t>
      </w:r>
      <w:proofErr w:type="spellStart"/>
      <w:r>
        <w:t>Space</w:t>
      </w:r>
      <w:proofErr w:type="spellEnd"/>
      <w:r>
        <w:t xml:space="preserve"> </w:t>
      </w:r>
      <w:proofErr w:type="spellStart"/>
      <w:r>
        <w:t>Treaty</w:t>
      </w:r>
      <w:proofErr w:type="spellEnd"/>
      <w:r>
        <w:t xml:space="preserve">. </w:t>
      </w:r>
      <w:proofErr w:type="spellStart"/>
      <w:r>
        <w:rPr>
          <w:i/>
        </w:rPr>
        <w:t>Proceedings</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International </w:t>
      </w:r>
      <w:proofErr w:type="spellStart"/>
      <w:r>
        <w:rPr>
          <w:i/>
        </w:rPr>
        <w:t>Institute</w:t>
      </w:r>
      <w:proofErr w:type="spellEnd"/>
      <w:r>
        <w:rPr>
          <w:i/>
        </w:rPr>
        <w:t xml:space="preserve"> </w:t>
      </w:r>
      <w:proofErr w:type="spellStart"/>
      <w:r>
        <w:rPr>
          <w:i/>
        </w:rPr>
        <w:t>of</w:t>
      </w:r>
      <w:proofErr w:type="spellEnd"/>
      <w:r>
        <w:rPr>
          <w:i/>
        </w:rPr>
        <w:t xml:space="preserve"> </w:t>
      </w:r>
      <w:proofErr w:type="spellStart"/>
      <w:r>
        <w:rPr>
          <w:i/>
        </w:rPr>
        <w:t>Space</w:t>
      </w:r>
      <w:proofErr w:type="spellEnd"/>
      <w:r>
        <w:rPr>
          <w:i/>
        </w:rPr>
        <w:t xml:space="preserve"> </w:t>
      </w:r>
      <w:proofErr w:type="spellStart"/>
      <w:r>
        <w:rPr>
          <w:i/>
        </w:rPr>
        <w:t>Law</w:t>
      </w:r>
      <w:proofErr w:type="spellEnd"/>
      <w:r>
        <w:rPr>
          <w:i/>
        </w:rPr>
        <w:t xml:space="preserve"> 2019, 62</w:t>
      </w:r>
      <w:r>
        <w:t>(3), 227–237. https://doi.org/10.5553/IISL/2019062003002</w:t>
      </w:r>
    </w:p>
    <w:sectPr w:rsidR="00A13F3F"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6A53E" w14:textId="77777777" w:rsidR="00CD7F95" w:rsidRDefault="00CD7F95" w:rsidP="00EB0247">
      <w:pPr>
        <w:spacing w:after="0" w:line="240" w:lineRule="auto"/>
      </w:pPr>
      <w:r>
        <w:separator/>
      </w:r>
    </w:p>
  </w:endnote>
  <w:endnote w:type="continuationSeparator" w:id="0">
    <w:p w14:paraId="55D5278F" w14:textId="77777777" w:rsidR="00CD7F95" w:rsidRDefault="00CD7F95"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A32C0" w14:textId="77777777" w:rsidR="00CD7F95" w:rsidRDefault="00CD7F95" w:rsidP="00EB0247">
      <w:pPr>
        <w:spacing w:after="0" w:line="240" w:lineRule="auto"/>
      </w:pPr>
      <w:r>
        <w:separator/>
      </w:r>
    </w:p>
  </w:footnote>
  <w:footnote w:type="continuationSeparator" w:id="0">
    <w:p w14:paraId="177ACDA1" w14:textId="77777777" w:rsidR="00CD7F95" w:rsidRDefault="00CD7F95"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3131"/>
    <w:rsid w:val="0039591A"/>
    <w:rsid w:val="003C4D9F"/>
    <w:rsid w:val="003E66FB"/>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55476"/>
    <w:rsid w:val="007701F1"/>
    <w:rsid w:val="00775F05"/>
    <w:rsid w:val="00792960"/>
    <w:rsid w:val="007A0F17"/>
    <w:rsid w:val="007E4E94"/>
    <w:rsid w:val="007F0944"/>
    <w:rsid w:val="008238DE"/>
    <w:rsid w:val="00863A4D"/>
    <w:rsid w:val="008A4085"/>
    <w:rsid w:val="008A483F"/>
    <w:rsid w:val="008B6A98"/>
    <w:rsid w:val="008C1056"/>
    <w:rsid w:val="008C2B2C"/>
    <w:rsid w:val="008F1330"/>
    <w:rsid w:val="008F3F8E"/>
    <w:rsid w:val="0091337D"/>
    <w:rsid w:val="00915CE3"/>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13F3F"/>
    <w:rsid w:val="00A206F1"/>
    <w:rsid w:val="00A8553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D7F95"/>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5</TotalTime>
  <Pages>16</Pages>
  <Words>5227</Words>
  <Characters>28753</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legitimidad del Corpus Iuris Spatialis frente a la regulación de las actividades espaciales privadas en América Latina</dc:title>
  <dc:subject>Asunto</dc:subject>
  <dc:creator>Víctor Alessandro Díaz Ruiz</dc:creator>
  <cp:keywords>Etiqueta</cp:keywords>
  <dc:description/>
  <cp:lastModifiedBy>Alessandro Díaz R.</cp:lastModifiedBy>
  <cp:revision>2</cp:revision>
  <dcterms:created xsi:type="dcterms:W3CDTF">2026-09-06T05:32:00Z</dcterms:created>
  <dcterms:modified xsi:type="dcterms:W3CDTF">2026-09-06T05:32:00Z</dcterms:modified>
  <cp:category>Categoria</cp:category>
  <cp:contentStatus>Estado</cp:contentStatus>
</cp:coreProperties>
</file>