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A9923" w14:textId="77777777" w:rsidR="007D26EC" w:rsidRDefault="001933A3">
      <w:pPr>
        <w:pStyle w:val="Captulo"/>
      </w:pPr>
      <w:r>
        <w:t>Capítulo</w:t>
      </w:r>
    </w:p>
    <w:p w14:paraId="3761B905" w14:textId="066076FC" w:rsidR="007D26EC" w:rsidRDefault="00901910">
      <w:pPr>
        <w:pStyle w:val="TtCap"/>
      </w:pPr>
      <w:r w:rsidRPr="00901910">
        <w:t>NARRATIVAS TRANSMEDIA EN LA COMUNICACIÓN POLÍTICA: INFLUENCIA EN LA DECISIÓN ELECTORAL JUVENIL EN EL CANTÓN SANTA ELENA</w:t>
      </w:r>
    </w:p>
    <w:p w14:paraId="3B03BE79" w14:textId="1EDCE384" w:rsidR="007D26EC" w:rsidRDefault="00901910">
      <w:pPr>
        <w:pStyle w:val="Autor"/>
      </w:pPr>
      <w:r>
        <w:t xml:space="preserve">María </w:t>
      </w:r>
      <w:proofErr w:type="spellStart"/>
      <w:r>
        <w:t>isabel</w:t>
      </w:r>
      <w:proofErr w:type="spellEnd"/>
      <w:r>
        <w:t xml:space="preserve"> </w:t>
      </w:r>
      <w:proofErr w:type="spellStart"/>
      <w:r>
        <w:t>posligua</w:t>
      </w:r>
      <w:proofErr w:type="spellEnd"/>
      <w:r>
        <w:t xml:space="preserve"> quinde</w:t>
      </w:r>
    </w:p>
    <w:p w14:paraId="614B3DC8" w14:textId="79E04754" w:rsidR="00901910" w:rsidRDefault="00901910">
      <w:pPr>
        <w:pStyle w:val="Adscripcin"/>
      </w:pPr>
      <w:r>
        <w:t xml:space="preserve">Universidad Católica </w:t>
      </w:r>
      <w:r w:rsidR="006F3AF2">
        <w:t xml:space="preserve">de </w:t>
      </w:r>
      <w:r>
        <w:t>Santiago de Guayaquil</w:t>
      </w:r>
    </w:p>
    <w:p w14:paraId="19AEF0A4" w14:textId="546D3981" w:rsidR="007D26EC" w:rsidRDefault="001933A3">
      <w:pPr>
        <w:pStyle w:val="Adscripcin"/>
      </w:pPr>
      <w:r>
        <w:t>Universidad Estatal Península de Santa Elena</w:t>
      </w:r>
    </w:p>
    <w:p w14:paraId="62C7D915" w14:textId="124FC11D" w:rsidR="007D26EC" w:rsidRDefault="00901910">
      <w:pPr>
        <w:pStyle w:val="Autor"/>
      </w:pPr>
      <w:proofErr w:type="spellStart"/>
      <w:r>
        <w:t>martha</w:t>
      </w:r>
      <w:proofErr w:type="spellEnd"/>
      <w:r>
        <w:t xml:space="preserve"> </w:t>
      </w:r>
      <w:proofErr w:type="spellStart"/>
      <w:r>
        <w:t>suntaxi</w:t>
      </w:r>
      <w:proofErr w:type="spellEnd"/>
      <w:r>
        <w:t xml:space="preserve"> </w:t>
      </w:r>
      <w:proofErr w:type="spellStart"/>
      <w:r>
        <w:t>andrade</w:t>
      </w:r>
      <w:proofErr w:type="spellEnd"/>
    </w:p>
    <w:p w14:paraId="4968D820" w14:textId="424394D0" w:rsidR="00901910" w:rsidRDefault="00901910" w:rsidP="00901910">
      <w:pPr>
        <w:pStyle w:val="Adscripcin"/>
      </w:pPr>
      <w:r>
        <w:t xml:space="preserve">Universidad Católica </w:t>
      </w:r>
      <w:r w:rsidR="006F3AF2">
        <w:t xml:space="preserve">de </w:t>
      </w:r>
      <w:r>
        <w:t>Santiago de Guayaquil</w:t>
      </w:r>
    </w:p>
    <w:p w14:paraId="27DFE627" w14:textId="451EF13F" w:rsidR="007D26EC" w:rsidRDefault="001933A3">
      <w:pPr>
        <w:pStyle w:val="Adscripcin"/>
      </w:pPr>
      <w:r>
        <w:t>Universidad Estatal Península de Santa Elena</w:t>
      </w:r>
    </w:p>
    <w:p w14:paraId="10EB3CC9" w14:textId="77777777" w:rsidR="002626E7" w:rsidRDefault="002626E7" w:rsidP="00901910">
      <w:pPr>
        <w:pStyle w:val="Adscripcin"/>
        <w:rPr>
          <w:i w:val="0"/>
          <w:iCs w:val="0"/>
          <w:smallCaps/>
          <w:szCs w:val="24"/>
        </w:rPr>
      </w:pPr>
    </w:p>
    <w:p w14:paraId="6E1E3A1E" w14:textId="18A8705C" w:rsidR="002626E7" w:rsidRDefault="002626E7" w:rsidP="00901910">
      <w:pPr>
        <w:pStyle w:val="Adscripcin"/>
        <w:rPr>
          <w:i w:val="0"/>
          <w:iCs w:val="0"/>
          <w:smallCaps/>
          <w:szCs w:val="24"/>
        </w:rPr>
      </w:pPr>
      <w:r w:rsidRPr="002626E7">
        <w:rPr>
          <w:i w:val="0"/>
          <w:iCs w:val="0"/>
          <w:smallCaps/>
          <w:szCs w:val="24"/>
        </w:rPr>
        <w:t>Gregory Peter Santa María Romero</w:t>
      </w:r>
    </w:p>
    <w:p w14:paraId="22B85E37" w14:textId="160325C5" w:rsidR="002626E7" w:rsidRDefault="002626E7" w:rsidP="002626E7">
      <w:pPr>
        <w:pStyle w:val="Adscripcin"/>
      </w:pPr>
      <w:r>
        <w:t>Instituto Central de Ciencias Pedagógicas La Habana / Cuba</w:t>
      </w:r>
    </w:p>
    <w:p w14:paraId="6AE09549" w14:textId="7D43FFB9" w:rsidR="007D26EC" w:rsidRDefault="00901910" w:rsidP="006F3AF2">
      <w:pPr>
        <w:pStyle w:val="Adscripcin"/>
      </w:pPr>
      <w:r>
        <w:t>Universidad Estatal Península de Santa Elena</w:t>
      </w:r>
    </w:p>
    <w:p w14:paraId="44CC11CC" w14:textId="4C4E1099" w:rsidR="007D26EC" w:rsidRDefault="00A93E3C" w:rsidP="00A93E3C">
      <w:pPr>
        <w:pStyle w:val="Ttulo1"/>
        <w:rPr>
          <w:color w:val="000000"/>
        </w:rPr>
      </w:pPr>
      <w:r>
        <w:rPr>
          <w:color w:val="000000"/>
        </w:rPr>
        <w:t xml:space="preserve">1. </w:t>
      </w:r>
      <w:r w:rsidR="001933A3">
        <w:rPr>
          <w:color w:val="000000"/>
        </w:rPr>
        <w:t>Introducción</w:t>
      </w:r>
    </w:p>
    <w:p w14:paraId="73B8BED8" w14:textId="327AEBB1" w:rsidR="00A93E3C" w:rsidRPr="00A93E3C" w:rsidRDefault="00A93E3C" w:rsidP="00A93E3C">
      <w:pPr>
        <w:rPr>
          <w:color w:val="000000"/>
        </w:rPr>
      </w:pPr>
      <w:r w:rsidRPr="00A93E3C">
        <w:rPr>
          <w:color w:val="000000"/>
        </w:rPr>
        <w:t>La comunicación política contemporánea se desarrolla en un ecosistema mediático caracterizado por la circulación de mensajes en múltiples plataformas y formatos. Las campañas incorporan videos breves, transmisiones en vivo, imágenes, memes, etiquetas, historias y piezas interactivas, junto con recursos tradicionales. Esta transformación resulta especialmente relevante entre los jóvenes, quienes acceden a información pública desde dispositivos móviles y participan mediante reacciones, comentarios, contenidos compartidos y reelaboraciones propias. En este escenario, la atención electoral se disputa en flujos informativos donde convergen comunicación, entretenimiento, identidad y conversación pública.</w:t>
      </w:r>
    </w:p>
    <w:p w14:paraId="388170E3" w14:textId="044EC009" w:rsidR="00A93E3C" w:rsidRPr="00A93E3C" w:rsidRDefault="00A93E3C" w:rsidP="00A93E3C">
      <w:pPr>
        <w:rPr>
          <w:color w:val="000000"/>
        </w:rPr>
      </w:pPr>
      <w:r w:rsidRPr="00A93E3C">
        <w:rPr>
          <w:color w:val="000000"/>
        </w:rPr>
        <w:t xml:space="preserve">La narrativa transmedia permite comprender esta reconfiguración. Jenkins (2006) vincula la convergencia con el desplazamiento de contenidos entre diferentes medios y la participación activa de las audiencias. Desde esta perspectiva, el relato no se replica de manera idéntica, sino </w:t>
      </w:r>
      <w:r w:rsidRPr="00A93E3C">
        <w:rPr>
          <w:color w:val="000000"/>
        </w:rPr>
        <w:lastRenderedPageBreak/>
        <w:t>que se expande a partir de las posibilidades específicas de cada plataforma. Amador-</w:t>
      </w:r>
      <w:proofErr w:type="spellStart"/>
      <w:r w:rsidRPr="00A93E3C">
        <w:rPr>
          <w:color w:val="000000"/>
        </w:rPr>
        <w:t>Baquiro</w:t>
      </w:r>
      <w:proofErr w:type="spellEnd"/>
      <w:r w:rsidRPr="00A93E3C">
        <w:rPr>
          <w:color w:val="000000"/>
        </w:rPr>
        <w:t xml:space="preserve"> (2018) señala que estas narrativas articulan sistemas verbales, audiovisuales, icónicos e interactivos dentro de una experiencia comunicativa integrada.</w:t>
      </w:r>
    </w:p>
    <w:p w14:paraId="6D9AB58C" w14:textId="30B0A8F6" w:rsidR="00A93E3C" w:rsidRPr="00A93E3C" w:rsidRDefault="00A93E3C" w:rsidP="00A93E3C">
      <w:pPr>
        <w:rPr>
          <w:color w:val="000000"/>
        </w:rPr>
      </w:pPr>
      <w:r w:rsidRPr="00A93E3C">
        <w:rPr>
          <w:color w:val="000000"/>
        </w:rPr>
        <w:t xml:space="preserve">Esta expansión modifica también el papel de las audiencias. </w:t>
      </w:r>
      <w:proofErr w:type="spellStart"/>
      <w:r w:rsidRPr="00A93E3C">
        <w:rPr>
          <w:color w:val="000000"/>
        </w:rPr>
        <w:t>Aparici</w:t>
      </w:r>
      <w:proofErr w:type="spellEnd"/>
      <w:r w:rsidRPr="00A93E3C">
        <w:rPr>
          <w:color w:val="000000"/>
        </w:rPr>
        <w:t xml:space="preserve"> y García-Marín (2018) analizan el tránsito del consumidor hacia sujetos capaces de producir, reinterpretar y distribuir mensajes. En las campañas políticas, esta participación se manifiesta al comentar propuestas, compartir videos, crear memes o trasladar discusiones entre plataformas. Azurmendi (2018) sostiene que los productos transmedia pueden conectar con las audiencias jóvenes al aproximarse a sus prácticas comunicativas y favorecer su participación. Sin embargo, la presencia en varias redes no constituye por sí misma una estrategia transmedia; requiere continuidad narrativa, adaptación a los lenguajes de cada medio y posibilidades efectivas de involucramiento.</w:t>
      </w:r>
    </w:p>
    <w:p w14:paraId="5274E6FA" w14:textId="7D8D5821" w:rsidR="00A93E3C" w:rsidRPr="00A93E3C" w:rsidRDefault="00A93E3C" w:rsidP="00A93E3C">
      <w:pPr>
        <w:rPr>
          <w:color w:val="000000"/>
        </w:rPr>
      </w:pPr>
      <w:r w:rsidRPr="00A93E3C">
        <w:rPr>
          <w:color w:val="000000"/>
        </w:rPr>
        <w:t>En el ámbito político, las plataformas digitales han facilitado intercambios más inmediatos entre candidatos y ciudadanía. Hidalgo y Laureano (2021) destacan que las redes favorecen una comunicación participativa y bidireccional, mientras que Posligua Quinde y Ramírez Rodríguez (2024) resaltan la función de los medios como proveedores de información para la toma de decisiones políticas. No obstante, esta dinámica también implica riesgos asociados con la simplificación del debate, la polarización, la desinformación y la exposición selectiva. Rossi (2018) advierte que los entornos algorítmicos pueden restringir la diversidad de contenidos, por lo que resulta necesario considerar tanto el alcance de los mensajes como las condiciones de su circulación e interpretación.</w:t>
      </w:r>
    </w:p>
    <w:p w14:paraId="193FF271" w14:textId="3B0D0533" w:rsidR="00A93E3C" w:rsidRPr="00A93E3C" w:rsidRDefault="00A93E3C" w:rsidP="00A93E3C">
      <w:pPr>
        <w:rPr>
          <w:color w:val="000000"/>
        </w:rPr>
      </w:pPr>
      <w:r w:rsidRPr="00A93E3C">
        <w:rPr>
          <w:color w:val="000000"/>
        </w:rPr>
        <w:t xml:space="preserve">En Ecuador, el uso político de Facebook, Instagram y TikTok ha transformado la construcción de imagen, la difusión de propuestas y la interacción con el electorado. Altamirano-Benítez, Ruíz-Aguirre y Baquerizo-Neira (2022) señalan que la política 2.0 integra discursos, recursos audiovisuales e interacción en redes, mientras que Moya (2020) sostiene que la </w:t>
      </w:r>
      <w:proofErr w:type="spellStart"/>
      <w:r w:rsidRPr="00A93E3C">
        <w:rPr>
          <w:color w:val="000000"/>
        </w:rPr>
        <w:t>transmedialidad</w:t>
      </w:r>
      <w:proofErr w:type="spellEnd"/>
      <w:r w:rsidRPr="00A93E3C">
        <w:rPr>
          <w:color w:val="000000"/>
        </w:rPr>
        <w:t xml:space="preserve"> amplía las formas de intervención política mediante la articulación de lenguajes, plataformas y comunidades. En este contexto, el </w:t>
      </w:r>
      <w:proofErr w:type="spellStart"/>
      <w:r w:rsidRPr="00A93E3C">
        <w:rPr>
          <w:color w:val="000000"/>
        </w:rPr>
        <w:t>storytelling</w:t>
      </w:r>
      <w:proofErr w:type="spellEnd"/>
      <w:r w:rsidRPr="00A93E3C">
        <w:rPr>
          <w:color w:val="000000"/>
        </w:rPr>
        <w:t xml:space="preserve">, los videos breves y los códigos de la </w:t>
      </w:r>
      <w:r w:rsidRPr="00A93E3C">
        <w:rPr>
          <w:color w:val="000000"/>
        </w:rPr>
        <w:lastRenderedPageBreak/>
        <w:t>cultura digital adquieren relevancia para captar atención y generar reconocimiento.</w:t>
      </w:r>
    </w:p>
    <w:p w14:paraId="7273C157" w14:textId="5C29C480" w:rsidR="00A93E3C" w:rsidRPr="00A93E3C" w:rsidRDefault="00A93E3C" w:rsidP="00A93E3C">
      <w:pPr>
        <w:rPr>
          <w:color w:val="000000"/>
        </w:rPr>
      </w:pPr>
      <w:r w:rsidRPr="00A93E3C">
        <w:rPr>
          <w:color w:val="000000"/>
        </w:rPr>
        <w:t>El cantón Santa Elena constituye un escenario pertinente para analizar estas prácticas debido a la coexistencia de estrategias territoriales y digitales. Mientras las campañas mantienen recorridos, reuniones, afiches y material promocional, los jóvenes de 16 a 29 años acceden a una parte importante de la información política mediante redes sociales. Durante la segunda vuelta presidencial ecuatoriana de 2025, las candidaturas de Luisa González y Daniel Noboa desarrollaron estrategias diferenciadas que permiten examinar los formatos empleados, la continuidad narrativa y la respuesta de las audiencias.</w:t>
      </w:r>
    </w:p>
    <w:p w14:paraId="21904DF2" w14:textId="49645B49" w:rsidR="00A93E3C" w:rsidRPr="00A93E3C" w:rsidRDefault="00A93E3C" w:rsidP="00A93E3C">
      <w:pPr>
        <w:rPr>
          <w:color w:val="000000"/>
        </w:rPr>
      </w:pPr>
      <w:r w:rsidRPr="00A93E3C">
        <w:rPr>
          <w:color w:val="000000"/>
        </w:rPr>
        <w:t>A partir de este contexto, el capítulo analiza las narrativas transmedia como estrategias de comunicación política y su relación con las percepciones de jóvenes electores del cantón Santa Elena. El estudio integra una encuesta aplicada a 150 jóvenes, entrevistas con especialistas y la observación de contenidos publicados por ambas candidaturas entre el 23 de marzo y el 10 de abril de 2025. Esta triangulación permite contrastar las percepciones juveniles, los criterios profesionales sobre la construcción de los mensajes y las prácticas observadas en las plataformas digitales.</w:t>
      </w:r>
    </w:p>
    <w:p w14:paraId="720C2D9B" w14:textId="380B0DB0" w:rsidR="00A93E3C" w:rsidRPr="00A93E3C" w:rsidRDefault="00A93E3C" w:rsidP="00A93E3C">
      <w:pPr>
        <w:rPr>
          <w:color w:val="000000"/>
        </w:rPr>
      </w:pPr>
      <w:r w:rsidRPr="00A93E3C">
        <w:rPr>
          <w:color w:val="000000"/>
        </w:rPr>
        <w:t>El aporte del estudio radica en abordar el fenómeno desde un contexto territorial específico y mediante fuentes complementarias, diferenciando tres dimensiones: la valoración de los jóvenes, las decisiones estratégicas identificadas por especialistas y los indicadores de producción e interacción digital. Esta distinción evita asumir que la presencia multiplataforma o un elevado número de seguidores y reacciones implica necesariamente participación política, deliberación informada o una decisión de voto atribuible a los contenidos. En consecuencia, los resultados se interpretan como asociaciones descriptivas e influencia percibida, de acuerdo con los alcances de un diseño no experimental.</w:t>
      </w:r>
    </w:p>
    <w:p w14:paraId="52D7A07C" w14:textId="77777777" w:rsidR="007D26EC" w:rsidRDefault="001933A3">
      <w:pPr>
        <w:pStyle w:val="Ttulo1"/>
      </w:pPr>
      <w:r>
        <w:rPr>
          <w:color w:val="000000"/>
        </w:rPr>
        <w:lastRenderedPageBreak/>
        <w:t>2. Objetivos</w:t>
      </w:r>
    </w:p>
    <w:p w14:paraId="09548651" w14:textId="7CDCD451" w:rsidR="009B1FA7" w:rsidRDefault="001933A3">
      <w:pPr>
        <w:rPr>
          <w:color w:val="000000"/>
        </w:rPr>
      </w:pPr>
      <w:r>
        <w:rPr>
          <w:color w:val="000000"/>
        </w:rPr>
        <w:t>El objetivo general fue analizar las narrativas transmedia empleadas como estrategias de comunicación política y su relación con la percepción, la interacción y el comportamiento electoral declarado por jóvenes del cantón Santa Elena.</w:t>
      </w:r>
    </w:p>
    <w:p w14:paraId="3ECA2E39" w14:textId="055C16C3" w:rsidR="00D21AD9" w:rsidRPr="00D21AD9" w:rsidRDefault="00D21AD9" w:rsidP="00D21AD9">
      <w:pPr>
        <w:pStyle w:val="Ttulo2"/>
        <w:keepNext/>
      </w:pPr>
      <w:r w:rsidRPr="00D21AD9">
        <w:t>2.1. OBJETIVOS ESPECÍFICOS</w:t>
      </w:r>
    </w:p>
    <w:p w14:paraId="1248551C" w14:textId="77777777" w:rsidR="00795066" w:rsidRPr="00795066" w:rsidRDefault="00795066" w:rsidP="00795066">
      <w:pPr>
        <w:pStyle w:val="Listado"/>
        <w:numPr>
          <w:ilvl w:val="0"/>
          <w:numId w:val="45"/>
        </w:numPr>
        <w:ind w:left="851" w:hanging="284"/>
      </w:pPr>
      <w:r w:rsidRPr="00795066">
        <w:t>Describir las estrategias de comunicación política, principales plataformas y formatos de las narrativas transmedia utilizadas en campañas políticas dirigidas a los jóvenes del cantón Santa Elena.</w:t>
      </w:r>
    </w:p>
    <w:p w14:paraId="7BF5CFDC" w14:textId="77777777" w:rsidR="00795066" w:rsidRPr="00795066" w:rsidRDefault="00795066" w:rsidP="00795066">
      <w:pPr>
        <w:pStyle w:val="Listado"/>
        <w:numPr>
          <w:ilvl w:val="0"/>
          <w:numId w:val="45"/>
        </w:numPr>
        <w:ind w:left="851" w:hanging="284"/>
      </w:pPr>
      <w:r w:rsidRPr="00795066">
        <w:t>Examinar la percepción y nivel interacción de los jóvenes electores con las narrativas transmedia y su impacto en la intención del voto y participación electoral en el cantón Santa Elena.</w:t>
      </w:r>
    </w:p>
    <w:p w14:paraId="20343012" w14:textId="77777777" w:rsidR="00795066" w:rsidRPr="00795066" w:rsidRDefault="00795066" w:rsidP="00795066">
      <w:pPr>
        <w:pStyle w:val="Listado"/>
        <w:numPr>
          <w:ilvl w:val="0"/>
          <w:numId w:val="45"/>
        </w:numPr>
        <w:ind w:left="851" w:hanging="284"/>
      </w:pPr>
      <w:r w:rsidRPr="00795066">
        <w:t>Determinar las ventajas de la narrativa transmedia como estrategias de comunicación política en los jóvenes electores del cantón Santa Elena.</w:t>
      </w:r>
    </w:p>
    <w:p w14:paraId="502405A4" w14:textId="01BC1015" w:rsidR="007D26EC" w:rsidRDefault="00795066">
      <w:pPr>
        <w:pStyle w:val="Ttulo1"/>
        <w:rPr>
          <w:color w:val="000000"/>
        </w:rPr>
      </w:pPr>
      <w:r>
        <w:rPr>
          <w:color w:val="000000"/>
        </w:rPr>
        <w:t>3</w:t>
      </w:r>
      <w:r w:rsidR="001933A3">
        <w:rPr>
          <w:color w:val="000000"/>
        </w:rPr>
        <w:t>. Metodología</w:t>
      </w:r>
    </w:p>
    <w:p w14:paraId="4B36A91E" w14:textId="77777777" w:rsidR="00A93E3C" w:rsidRPr="00921E36" w:rsidRDefault="00A93E3C"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La investigación adoptó un enfoque mixto, integrando evidencia cuantitativa y cualitativa para lograr una comprensión amplia del fenómeno (Hernández Sampieri y Mendoza Torres, 2018). Los datos de la encuesta permitieron identificar tendencias de percepción; las entrevistas aportaron criterios especializados; y la observación posibilitó analizar las estrategias comunicativas visibles de las candidaturas.</w:t>
      </w:r>
    </w:p>
    <w:p w14:paraId="0B02C768" w14:textId="77777777" w:rsidR="00A93E3C" w:rsidRPr="00921E36" w:rsidRDefault="00A93E3C"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Se aplicó un diseño no experimental, transversal y de alcance descriptivo, sin manipulación de variables y centrado en caracterizar percepciones, prácticas, formatos e interacciones en su contexto (Ramos-Galarza, 2020). Por esta razón, la influencia se entiende como una valoración declarada por los participantes y no como una relación causal demostrada.</w:t>
      </w:r>
    </w:p>
    <w:p w14:paraId="04A89CA7" w14:textId="77777777" w:rsidR="00A93E3C" w:rsidRPr="00921E36" w:rsidRDefault="00A93E3C"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lastRenderedPageBreak/>
        <w:t>La población estuvo conformada por 45.117 electores de 16 a 29 años registrados en el cantón Santa Elena para las elecciones presidenciales de 2025. Se seleccionó una muestra de 150 jóvenes mediante muestreo no probabilístico por conveniencia, considerando su accesibilidad y disponibilidad (Parra Velasco y Vázquez Martínez, 2017). En consecuencia, los resultados describen al grupo estudiado y no permiten generalizaciones estadísticas a toda la población juvenil del cantón.</w:t>
      </w:r>
    </w:p>
    <w:p w14:paraId="538E6B2A" w14:textId="77777777" w:rsidR="00A93E3C" w:rsidRPr="00921E36" w:rsidRDefault="00A93E3C"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Como técnica cuantitativa se aplicó una encuesta mediante un cuestionario con escala Likert de cinco opciones, orientado a medir aspectos como adaptación del lenguaje, presencia multiplataforma, atractivo narrativo, comprensión de propuestas, participación, cercanía, construcción de marca, contenidos multimedia e influencia percibida en la decisión de voto. Para el análisis se agruparon las respuestas «de acuerdo» y «muy de acuerdo» como valoración favorable, manteniendo las frecuencias originales.</w:t>
      </w:r>
    </w:p>
    <w:p w14:paraId="19B20273" w14:textId="77777777" w:rsidR="00A93E3C" w:rsidRPr="00921E36" w:rsidRDefault="00A93E3C"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La fase cualitativa comprendió entrevistas semiestructuradas a dos especialistas en comunicación y marketing político, cuyas respuestas fueron organizadas según convergencias y matices sobre formatos, estilos narrativos, interactividad y estrategias para conectar con audiencias jóvenes (Medina et al., 2023).</w:t>
      </w:r>
    </w:p>
    <w:p w14:paraId="26C19759" w14:textId="08F9A231" w:rsidR="00A93E3C" w:rsidRPr="00921E36" w:rsidRDefault="00A93E3C" w:rsidP="00921E36">
      <w:pPr>
        <w:pStyle w:val="NormalWeb"/>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Asimismo, se realizó una observación sistemática de los contenidos publicados en las cuentas de Luisa González y Daniel Noboa durante la segunda vuelta presidencial, entre el 23 de marzo y el 10 de abril de 2025. Se analizaron seguidores, tipos de contenido, recursos discursivos, formatos, interacciones, lenguaje juvenil, apropiación de contenidos e integración entre plataformas, mediante categorías comparables (Covarrubias y Lule Martínez, 2012). Finalmente, los instrumentos fueron sometidos a juicio de expertos</w:t>
      </w:r>
      <w:r w:rsidR="00921E36">
        <w:rPr>
          <w:rFonts w:eastAsiaTheme="minorHAnsi" w:cstheme="minorBidi"/>
          <w:color w:val="000000"/>
          <w:spacing w:val="1"/>
          <w:sz w:val="23"/>
          <w:szCs w:val="22"/>
          <w:lang w:val="es-ES" w:eastAsia="en-US"/>
          <w14:numForm w14:val="oldStyle"/>
        </w:rPr>
        <w:t xml:space="preserve">. </w:t>
      </w:r>
    </w:p>
    <w:p w14:paraId="604FEB6E" w14:textId="27B8E7EC" w:rsidR="007D26EC" w:rsidRDefault="00795066">
      <w:pPr>
        <w:pStyle w:val="Ttulo1"/>
      </w:pPr>
      <w:r>
        <w:rPr>
          <w:color w:val="000000"/>
        </w:rPr>
        <w:t xml:space="preserve">4. </w:t>
      </w:r>
      <w:r w:rsidR="001933A3">
        <w:rPr>
          <w:color w:val="000000"/>
        </w:rPr>
        <w:t>Resultados</w:t>
      </w:r>
    </w:p>
    <w:p w14:paraId="7507BF96" w14:textId="77777777" w:rsidR="007D26EC" w:rsidRDefault="001933A3">
      <w:r>
        <w:rPr>
          <w:color w:val="000000"/>
        </w:rPr>
        <w:t xml:space="preserve">Los resultados se presentan en tres bloques. El primero sintetiza la percepción de los 150 jóvenes encuestados; el segundo recoge los principales acuerdos de los especialistas; y el tercero compara la actividad </w:t>
      </w:r>
      <w:r>
        <w:rPr>
          <w:color w:val="000000"/>
        </w:rPr>
        <w:lastRenderedPageBreak/>
        <w:t>digital observada en las candidaturas. Esta organización permite relacionar valoración, estrategia y desempeño sin confundir indicadores de naturaleza diferente.</w:t>
      </w:r>
    </w:p>
    <w:p w14:paraId="454DDB86" w14:textId="2F0AB8C4" w:rsidR="007D26EC" w:rsidRDefault="00795066">
      <w:pPr>
        <w:pStyle w:val="Ttulo2"/>
        <w:keepNext/>
      </w:pPr>
      <w:r>
        <w:rPr>
          <w:color w:val="000000"/>
        </w:rPr>
        <w:t>4</w:t>
      </w:r>
      <w:r w:rsidR="001933A3">
        <w:rPr>
          <w:color w:val="000000"/>
        </w:rPr>
        <w:t>.1. Percepción de los jóvenes electores</w:t>
      </w:r>
    </w:p>
    <w:p w14:paraId="56EB6B3C" w14:textId="77777777" w:rsidR="007D26EC" w:rsidRDefault="001933A3">
      <w:r>
        <w:rPr>
          <w:color w:val="000000"/>
        </w:rPr>
        <w:t>La muestra estuvo integrada por 38 participantes de 16 a 19 años (25,3 %), 72 de 20 a 24 años (48,0 %) y 40 de 25 a 29 años (26,7 %). El grupo intermedio concentró casi la mitad de las respuestas. En términos generales, los ítems presentaron valoraciones favorables superiores al 68 %, lo que indica una amplia aceptación de las formas digitales y transmedia de comunicación política dentro del grupo consultado.</w:t>
      </w:r>
    </w:p>
    <w:p w14:paraId="207DC88C" w14:textId="77777777" w:rsidR="007D26EC" w:rsidRDefault="001933A3">
      <w:r>
        <w:rPr>
          <w:color w:val="000000"/>
        </w:rPr>
        <w:t>El 79,3 % consideró que los políticos utilizan estilos y lenguajes adaptados a las plataformas digitales de manera atractiva y comprensible. De forma similar, el 78,7 % reconoció que las campañas emplean diferentes plataformas para contar una misma historia y el 78,6 % señaló que resulta más atractivo seguir una campaña cuando el relato se extiende por varios medios. Estas respuestas muestran familiaridad con la distribución multiplataforma, aunque no permiten establecer si los participantes distinguen entre repetición y expansión narrativa.</w:t>
      </w:r>
    </w:p>
    <w:p w14:paraId="14835DFB" w14:textId="77777777" w:rsidR="007D26EC" w:rsidRDefault="001933A3">
      <w:r>
        <w:rPr>
          <w:color w:val="000000"/>
        </w:rPr>
        <w:t>La comprensión de las propuestas obtuvo una valoración favorable del 82,0 %. Este resultado sugiere que la combinación de lenguajes y formatos puede facilitar el acceso inicial a contenidos políticos. También el 82,7 % percibió que las narrativas transmedia vuelven las campañas más cercanas y relevantes para los jóvenes. La cercanía, por tanto, no se limita a la presencia del candidato en una red, sino que se relaciona con la adecuación del tono, la selección de temas y la posibilidad de reconocer experiencias juveniles en el mensaje.</w:t>
      </w:r>
    </w:p>
    <w:p w14:paraId="0EB925BA" w14:textId="77777777" w:rsidR="007D26EC" w:rsidRDefault="001933A3">
      <w:r>
        <w:rPr>
          <w:color w:val="000000"/>
        </w:rPr>
        <w:t xml:space="preserve">La relación con la participación presentó resultados más matizados. El 68,7 % manifestó que interactuar con contenido político en diferentes plataformas motiva a participar más en asuntos electorales, mientras que el 28,7 % adoptó una posición neutral. En cambio, el 81,4 % consideró que las estrategias en redes habían fomentado su participación en debates, encuestas o actividades vinculadas con procesos electorales. </w:t>
      </w:r>
      <w:r>
        <w:rPr>
          <w:color w:val="000000"/>
        </w:rPr>
        <w:lastRenderedPageBreak/>
        <w:t>La diferencia entre ambos ítems puede responder a la amplitud del concepto participación o al carácter situacional de las experiencias recordadas.</w:t>
      </w:r>
    </w:p>
    <w:p w14:paraId="6FE9053E" w14:textId="77777777" w:rsidR="007D26EC" w:rsidRDefault="001933A3">
      <w:r>
        <w:rPr>
          <w:color w:val="000000"/>
        </w:rPr>
        <w:t>En la dimensión de comunicación política, el 75,4 % identificó estrategias digitales capaces de proyectar una marca personal clara y reconocible; el 84,0 % observó la creación de contenidos multimedia específicamente orientados a captar la atención juvenil; y el 87,3 % afirmó que la forma actual de comunicar la política influye en su decisión sobre por quién votar. Este último porcentaje es el más alto de la escala, pero debe interpretarse como influencia percibida. La encuesta no midió cambio efectivo de preferencia ni comparó exposición con conducta electoral posterior.</w:t>
      </w:r>
    </w:p>
    <w:p w14:paraId="597B0FF6" w14:textId="15233A00" w:rsidR="007D26EC" w:rsidRPr="006F3AF2" w:rsidRDefault="001933A3" w:rsidP="006F3AF2">
      <w:pPr>
        <w:pStyle w:val="Figuras"/>
        <w:keepNext/>
        <w:spacing w:after="0"/>
      </w:pPr>
      <w:r w:rsidRPr="006F3AF2">
        <w:rPr>
          <w:b/>
          <w:color w:val="000000"/>
        </w:rPr>
        <w:t>TABLA 1.</w:t>
      </w:r>
      <w:r w:rsidRPr="006F3AF2">
        <w:rPr>
          <w:color w:val="000000"/>
        </w:rPr>
        <w:t xml:space="preserve"> Valoraciones favorables sobre comunicación política transmedia</w:t>
      </w:r>
    </w:p>
    <w:tbl>
      <w:tblPr>
        <w:tblStyle w:val="Tablaconcuadrcula"/>
        <w:tblW w:w="6516" w:type="dxa"/>
        <w:tblLayout w:type="fixed"/>
        <w:tblLook w:val="04A0" w:firstRow="1" w:lastRow="0" w:firstColumn="1" w:lastColumn="0" w:noHBand="0" w:noVBand="1"/>
      </w:tblPr>
      <w:tblGrid>
        <w:gridCol w:w="4300"/>
        <w:gridCol w:w="2216"/>
      </w:tblGrid>
      <w:tr w:rsidR="007D26EC" w14:paraId="2C4BBA2E" w14:textId="77777777" w:rsidTr="006F3AF2">
        <w:trPr>
          <w:tblHeader/>
        </w:trPr>
        <w:tc>
          <w:tcPr>
            <w:tcW w:w="4300" w:type="dxa"/>
            <w:tcMar>
              <w:top w:w="70" w:type="dxa"/>
              <w:left w:w="90" w:type="dxa"/>
              <w:bottom w:w="70" w:type="dxa"/>
              <w:right w:w="90" w:type="dxa"/>
            </w:tcMar>
            <w:vAlign w:val="center"/>
          </w:tcPr>
          <w:p w14:paraId="612034B2" w14:textId="77777777" w:rsidR="007D26EC" w:rsidRDefault="001933A3">
            <w:pPr>
              <w:pStyle w:val="tablas"/>
            </w:pPr>
            <w:r>
              <w:rPr>
                <w:b/>
                <w:color w:val="000000"/>
                <w:sz w:val="16"/>
              </w:rPr>
              <w:t>Indicador</w:t>
            </w:r>
          </w:p>
        </w:tc>
        <w:tc>
          <w:tcPr>
            <w:tcW w:w="2216" w:type="dxa"/>
            <w:tcMar>
              <w:top w:w="70" w:type="dxa"/>
              <w:left w:w="90" w:type="dxa"/>
              <w:bottom w:w="70" w:type="dxa"/>
              <w:right w:w="90" w:type="dxa"/>
            </w:tcMar>
            <w:vAlign w:val="center"/>
          </w:tcPr>
          <w:p w14:paraId="2B9272D2" w14:textId="77777777" w:rsidR="007D26EC" w:rsidRDefault="001933A3">
            <w:pPr>
              <w:pStyle w:val="tablas"/>
            </w:pPr>
            <w:r>
              <w:rPr>
                <w:b/>
                <w:color w:val="000000"/>
                <w:sz w:val="16"/>
              </w:rPr>
              <w:t>De acuerdo + muy de acuerdo</w:t>
            </w:r>
          </w:p>
        </w:tc>
      </w:tr>
      <w:tr w:rsidR="007D26EC" w14:paraId="24148B0D" w14:textId="77777777" w:rsidTr="006F3AF2">
        <w:tc>
          <w:tcPr>
            <w:tcW w:w="4300" w:type="dxa"/>
            <w:tcMar>
              <w:top w:w="70" w:type="dxa"/>
              <w:left w:w="90" w:type="dxa"/>
              <w:bottom w:w="70" w:type="dxa"/>
              <w:right w:w="90" w:type="dxa"/>
            </w:tcMar>
            <w:vAlign w:val="center"/>
          </w:tcPr>
          <w:p w14:paraId="70325305" w14:textId="77777777" w:rsidR="007D26EC" w:rsidRDefault="001933A3">
            <w:pPr>
              <w:pStyle w:val="tablas"/>
              <w:jc w:val="left"/>
            </w:pPr>
            <w:r>
              <w:rPr>
                <w:color w:val="000000"/>
                <w:sz w:val="16"/>
              </w:rPr>
              <w:t>Lenguaje adaptado y comprensible</w:t>
            </w:r>
          </w:p>
        </w:tc>
        <w:tc>
          <w:tcPr>
            <w:tcW w:w="2216" w:type="dxa"/>
            <w:tcMar>
              <w:top w:w="70" w:type="dxa"/>
              <w:left w:w="90" w:type="dxa"/>
              <w:bottom w:w="70" w:type="dxa"/>
              <w:right w:w="90" w:type="dxa"/>
            </w:tcMar>
            <w:vAlign w:val="center"/>
          </w:tcPr>
          <w:p w14:paraId="55A7DEA0" w14:textId="77777777" w:rsidR="007D26EC" w:rsidRDefault="001933A3">
            <w:pPr>
              <w:pStyle w:val="tablas"/>
            </w:pPr>
            <w:r>
              <w:rPr>
                <w:color w:val="000000"/>
                <w:sz w:val="16"/>
              </w:rPr>
              <w:t>79,3 %</w:t>
            </w:r>
          </w:p>
        </w:tc>
      </w:tr>
      <w:tr w:rsidR="007D26EC" w14:paraId="146903A8" w14:textId="77777777" w:rsidTr="006F3AF2">
        <w:tc>
          <w:tcPr>
            <w:tcW w:w="4300" w:type="dxa"/>
            <w:tcMar>
              <w:top w:w="70" w:type="dxa"/>
              <w:left w:w="90" w:type="dxa"/>
              <w:bottom w:w="70" w:type="dxa"/>
              <w:right w:w="90" w:type="dxa"/>
            </w:tcMar>
            <w:vAlign w:val="center"/>
          </w:tcPr>
          <w:p w14:paraId="43272CEB" w14:textId="77777777" w:rsidR="007D26EC" w:rsidRDefault="001933A3">
            <w:pPr>
              <w:pStyle w:val="tablas"/>
              <w:jc w:val="left"/>
            </w:pPr>
            <w:r>
              <w:rPr>
                <w:color w:val="000000"/>
                <w:sz w:val="16"/>
              </w:rPr>
              <w:t>Uso de varias plataformas para una misma historia</w:t>
            </w:r>
          </w:p>
        </w:tc>
        <w:tc>
          <w:tcPr>
            <w:tcW w:w="2216" w:type="dxa"/>
            <w:tcMar>
              <w:top w:w="70" w:type="dxa"/>
              <w:left w:w="90" w:type="dxa"/>
              <w:bottom w:w="70" w:type="dxa"/>
              <w:right w:w="90" w:type="dxa"/>
            </w:tcMar>
            <w:vAlign w:val="center"/>
          </w:tcPr>
          <w:p w14:paraId="50F2F9E1" w14:textId="77777777" w:rsidR="007D26EC" w:rsidRDefault="001933A3">
            <w:pPr>
              <w:pStyle w:val="tablas"/>
            </w:pPr>
            <w:r>
              <w:rPr>
                <w:color w:val="000000"/>
                <w:sz w:val="16"/>
              </w:rPr>
              <w:t>78,7 %</w:t>
            </w:r>
          </w:p>
        </w:tc>
      </w:tr>
      <w:tr w:rsidR="007D26EC" w14:paraId="24B9C496" w14:textId="77777777" w:rsidTr="006F3AF2">
        <w:tc>
          <w:tcPr>
            <w:tcW w:w="4300" w:type="dxa"/>
            <w:tcMar>
              <w:top w:w="70" w:type="dxa"/>
              <w:left w:w="90" w:type="dxa"/>
              <w:bottom w:w="70" w:type="dxa"/>
              <w:right w:w="90" w:type="dxa"/>
            </w:tcMar>
            <w:vAlign w:val="center"/>
          </w:tcPr>
          <w:p w14:paraId="1BBE127C" w14:textId="77777777" w:rsidR="007D26EC" w:rsidRDefault="001933A3">
            <w:pPr>
              <w:pStyle w:val="tablas"/>
              <w:jc w:val="left"/>
            </w:pPr>
            <w:r>
              <w:rPr>
                <w:color w:val="000000"/>
                <w:sz w:val="16"/>
              </w:rPr>
              <w:t>Mayor atractivo de una campaña extendida en varios medios</w:t>
            </w:r>
          </w:p>
        </w:tc>
        <w:tc>
          <w:tcPr>
            <w:tcW w:w="2216" w:type="dxa"/>
            <w:tcMar>
              <w:top w:w="70" w:type="dxa"/>
              <w:left w:w="90" w:type="dxa"/>
              <w:bottom w:w="70" w:type="dxa"/>
              <w:right w:w="90" w:type="dxa"/>
            </w:tcMar>
            <w:vAlign w:val="center"/>
          </w:tcPr>
          <w:p w14:paraId="65D7D957" w14:textId="77777777" w:rsidR="007D26EC" w:rsidRDefault="001933A3">
            <w:pPr>
              <w:pStyle w:val="tablas"/>
            </w:pPr>
            <w:r>
              <w:rPr>
                <w:color w:val="000000"/>
                <w:sz w:val="16"/>
              </w:rPr>
              <w:t>78,6 %</w:t>
            </w:r>
          </w:p>
        </w:tc>
      </w:tr>
      <w:tr w:rsidR="007D26EC" w14:paraId="1A27A6AD" w14:textId="77777777" w:rsidTr="006F3AF2">
        <w:tc>
          <w:tcPr>
            <w:tcW w:w="4300" w:type="dxa"/>
            <w:tcMar>
              <w:top w:w="70" w:type="dxa"/>
              <w:left w:w="90" w:type="dxa"/>
              <w:bottom w:w="70" w:type="dxa"/>
              <w:right w:w="90" w:type="dxa"/>
            </w:tcMar>
            <w:vAlign w:val="center"/>
          </w:tcPr>
          <w:p w14:paraId="05B76A24" w14:textId="77777777" w:rsidR="007D26EC" w:rsidRDefault="001933A3">
            <w:pPr>
              <w:pStyle w:val="tablas"/>
              <w:jc w:val="left"/>
            </w:pPr>
            <w:r>
              <w:rPr>
                <w:color w:val="000000"/>
                <w:sz w:val="16"/>
              </w:rPr>
              <w:t>Mejor comprensión de las propuestas</w:t>
            </w:r>
          </w:p>
        </w:tc>
        <w:tc>
          <w:tcPr>
            <w:tcW w:w="2216" w:type="dxa"/>
            <w:tcMar>
              <w:top w:w="70" w:type="dxa"/>
              <w:left w:w="90" w:type="dxa"/>
              <w:bottom w:w="70" w:type="dxa"/>
              <w:right w:w="90" w:type="dxa"/>
            </w:tcMar>
            <w:vAlign w:val="center"/>
          </w:tcPr>
          <w:p w14:paraId="686F8AAB" w14:textId="77777777" w:rsidR="007D26EC" w:rsidRDefault="001933A3">
            <w:pPr>
              <w:pStyle w:val="tablas"/>
            </w:pPr>
            <w:r>
              <w:rPr>
                <w:color w:val="000000"/>
                <w:sz w:val="16"/>
              </w:rPr>
              <w:t>82,0 %</w:t>
            </w:r>
          </w:p>
        </w:tc>
      </w:tr>
      <w:tr w:rsidR="007D26EC" w14:paraId="362E4467" w14:textId="77777777" w:rsidTr="006F3AF2">
        <w:tc>
          <w:tcPr>
            <w:tcW w:w="4300" w:type="dxa"/>
            <w:tcMar>
              <w:top w:w="70" w:type="dxa"/>
              <w:left w:w="90" w:type="dxa"/>
              <w:bottom w:w="70" w:type="dxa"/>
              <w:right w:w="90" w:type="dxa"/>
            </w:tcMar>
            <w:vAlign w:val="center"/>
          </w:tcPr>
          <w:p w14:paraId="7E320B8B" w14:textId="77777777" w:rsidR="007D26EC" w:rsidRDefault="001933A3">
            <w:pPr>
              <w:pStyle w:val="tablas"/>
              <w:jc w:val="left"/>
            </w:pPr>
            <w:r>
              <w:rPr>
                <w:color w:val="000000"/>
                <w:sz w:val="16"/>
              </w:rPr>
              <w:t>Motivación para participar en temas electorales</w:t>
            </w:r>
          </w:p>
        </w:tc>
        <w:tc>
          <w:tcPr>
            <w:tcW w:w="2216" w:type="dxa"/>
            <w:tcMar>
              <w:top w:w="70" w:type="dxa"/>
              <w:left w:w="90" w:type="dxa"/>
              <w:bottom w:w="70" w:type="dxa"/>
              <w:right w:w="90" w:type="dxa"/>
            </w:tcMar>
            <w:vAlign w:val="center"/>
          </w:tcPr>
          <w:p w14:paraId="60F1C563" w14:textId="77777777" w:rsidR="007D26EC" w:rsidRDefault="001933A3">
            <w:pPr>
              <w:pStyle w:val="tablas"/>
            </w:pPr>
            <w:r>
              <w:rPr>
                <w:color w:val="000000"/>
                <w:sz w:val="16"/>
              </w:rPr>
              <w:t>68,7 %</w:t>
            </w:r>
          </w:p>
        </w:tc>
      </w:tr>
      <w:tr w:rsidR="007D26EC" w14:paraId="37CE795B" w14:textId="77777777" w:rsidTr="006F3AF2">
        <w:tc>
          <w:tcPr>
            <w:tcW w:w="4300" w:type="dxa"/>
            <w:tcMar>
              <w:top w:w="70" w:type="dxa"/>
              <w:left w:w="90" w:type="dxa"/>
              <w:bottom w:w="70" w:type="dxa"/>
              <w:right w:w="90" w:type="dxa"/>
            </w:tcMar>
            <w:vAlign w:val="center"/>
          </w:tcPr>
          <w:p w14:paraId="2802EA4D" w14:textId="77777777" w:rsidR="007D26EC" w:rsidRDefault="001933A3">
            <w:pPr>
              <w:pStyle w:val="tablas"/>
              <w:jc w:val="left"/>
            </w:pPr>
            <w:r>
              <w:rPr>
                <w:color w:val="000000"/>
                <w:sz w:val="16"/>
              </w:rPr>
              <w:t>Mayor cercanía y relevancia para jóvenes</w:t>
            </w:r>
          </w:p>
        </w:tc>
        <w:tc>
          <w:tcPr>
            <w:tcW w:w="2216" w:type="dxa"/>
            <w:tcMar>
              <w:top w:w="70" w:type="dxa"/>
              <w:left w:w="90" w:type="dxa"/>
              <w:bottom w:w="70" w:type="dxa"/>
              <w:right w:w="90" w:type="dxa"/>
            </w:tcMar>
            <w:vAlign w:val="center"/>
          </w:tcPr>
          <w:p w14:paraId="12E35F5F" w14:textId="77777777" w:rsidR="007D26EC" w:rsidRDefault="001933A3">
            <w:pPr>
              <w:pStyle w:val="tablas"/>
            </w:pPr>
            <w:r>
              <w:rPr>
                <w:color w:val="000000"/>
                <w:sz w:val="16"/>
              </w:rPr>
              <w:t>82,7 %</w:t>
            </w:r>
          </w:p>
        </w:tc>
      </w:tr>
      <w:tr w:rsidR="007D26EC" w14:paraId="71E8C3C6" w14:textId="77777777" w:rsidTr="006F3AF2">
        <w:tc>
          <w:tcPr>
            <w:tcW w:w="4300" w:type="dxa"/>
            <w:tcMar>
              <w:top w:w="70" w:type="dxa"/>
              <w:left w:w="90" w:type="dxa"/>
              <w:bottom w:w="70" w:type="dxa"/>
              <w:right w:w="90" w:type="dxa"/>
            </w:tcMar>
            <w:vAlign w:val="center"/>
          </w:tcPr>
          <w:p w14:paraId="07127A98" w14:textId="77777777" w:rsidR="007D26EC" w:rsidRDefault="001933A3">
            <w:pPr>
              <w:pStyle w:val="tablas"/>
              <w:jc w:val="left"/>
            </w:pPr>
            <w:r>
              <w:rPr>
                <w:color w:val="000000"/>
                <w:sz w:val="16"/>
              </w:rPr>
              <w:t>Marca personal clara y reconocible</w:t>
            </w:r>
          </w:p>
        </w:tc>
        <w:tc>
          <w:tcPr>
            <w:tcW w:w="2216" w:type="dxa"/>
            <w:tcMar>
              <w:top w:w="70" w:type="dxa"/>
              <w:left w:w="90" w:type="dxa"/>
              <w:bottom w:w="70" w:type="dxa"/>
              <w:right w:w="90" w:type="dxa"/>
            </w:tcMar>
            <w:vAlign w:val="center"/>
          </w:tcPr>
          <w:p w14:paraId="6AF5C739" w14:textId="77777777" w:rsidR="007D26EC" w:rsidRDefault="001933A3">
            <w:pPr>
              <w:pStyle w:val="tablas"/>
            </w:pPr>
            <w:r>
              <w:rPr>
                <w:color w:val="000000"/>
                <w:sz w:val="16"/>
              </w:rPr>
              <w:t>75,4 %</w:t>
            </w:r>
          </w:p>
        </w:tc>
      </w:tr>
      <w:tr w:rsidR="007D26EC" w14:paraId="0207E9D9" w14:textId="77777777" w:rsidTr="006F3AF2">
        <w:tc>
          <w:tcPr>
            <w:tcW w:w="4300" w:type="dxa"/>
            <w:tcMar>
              <w:top w:w="70" w:type="dxa"/>
              <w:left w:w="90" w:type="dxa"/>
              <w:bottom w:w="70" w:type="dxa"/>
              <w:right w:w="90" w:type="dxa"/>
            </w:tcMar>
            <w:vAlign w:val="center"/>
          </w:tcPr>
          <w:p w14:paraId="09AB7CB1" w14:textId="77777777" w:rsidR="007D26EC" w:rsidRDefault="001933A3">
            <w:pPr>
              <w:pStyle w:val="tablas"/>
              <w:jc w:val="left"/>
            </w:pPr>
            <w:r>
              <w:rPr>
                <w:color w:val="000000"/>
                <w:sz w:val="16"/>
              </w:rPr>
              <w:t>Contenidos multimedia dirigidos a jóvenes</w:t>
            </w:r>
          </w:p>
        </w:tc>
        <w:tc>
          <w:tcPr>
            <w:tcW w:w="2216" w:type="dxa"/>
            <w:tcMar>
              <w:top w:w="70" w:type="dxa"/>
              <w:left w:w="90" w:type="dxa"/>
              <w:bottom w:w="70" w:type="dxa"/>
              <w:right w:w="90" w:type="dxa"/>
            </w:tcMar>
            <w:vAlign w:val="center"/>
          </w:tcPr>
          <w:p w14:paraId="12DB4C39" w14:textId="77777777" w:rsidR="007D26EC" w:rsidRDefault="001933A3">
            <w:pPr>
              <w:pStyle w:val="tablas"/>
            </w:pPr>
            <w:r>
              <w:rPr>
                <w:color w:val="000000"/>
                <w:sz w:val="16"/>
              </w:rPr>
              <w:t>84,0 %</w:t>
            </w:r>
          </w:p>
        </w:tc>
      </w:tr>
      <w:tr w:rsidR="007D26EC" w14:paraId="3CD3C7E4" w14:textId="77777777" w:rsidTr="006F3AF2">
        <w:tc>
          <w:tcPr>
            <w:tcW w:w="4300" w:type="dxa"/>
            <w:tcMar>
              <w:top w:w="70" w:type="dxa"/>
              <w:left w:w="90" w:type="dxa"/>
              <w:bottom w:w="70" w:type="dxa"/>
              <w:right w:w="90" w:type="dxa"/>
            </w:tcMar>
            <w:vAlign w:val="center"/>
          </w:tcPr>
          <w:p w14:paraId="04A2D3B9" w14:textId="77777777" w:rsidR="007D26EC" w:rsidRDefault="001933A3">
            <w:pPr>
              <w:pStyle w:val="tablas"/>
              <w:jc w:val="left"/>
            </w:pPr>
            <w:r>
              <w:rPr>
                <w:color w:val="000000"/>
                <w:sz w:val="16"/>
              </w:rPr>
              <w:t>Participación en debates, encuestas o actividades</w:t>
            </w:r>
          </w:p>
        </w:tc>
        <w:tc>
          <w:tcPr>
            <w:tcW w:w="2216" w:type="dxa"/>
            <w:tcMar>
              <w:top w:w="70" w:type="dxa"/>
              <w:left w:w="90" w:type="dxa"/>
              <w:bottom w:w="70" w:type="dxa"/>
              <w:right w:w="90" w:type="dxa"/>
            </w:tcMar>
            <w:vAlign w:val="center"/>
          </w:tcPr>
          <w:p w14:paraId="75A101ED" w14:textId="77777777" w:rsidR="007D26EC" w:rsidRDefault="001933A3">
            <w:pPr>
              <w:pStyle w:val="tablas"/>
            </w:pPr>
            <w:r>
              <w:rPr>
                <w:color w:val="000000"/>
                <w:sz w:val="16"/>
              </w:rPr>
              <w:t>81,4 %</w:t>
            </w:r>
          </w:p>
        </w:tc>
      </w:tr>
      <w:tr w:rsidR="007D26EC" w14:paraId="61867769" w14:textId="77777777" w:rsidTr="006F3AF2">
        <w:tc>
          <w:tcPr>
            <w:tcW w:w="4300" w:type="dxa"/>
            <w:tcMar>
              <w:top w:w="70" w:type="dxa"/>
              <w:left w:w="90" w:type="dxa"/>
              <w:bottom w:w="70" w:type="dxa"/>
              <w:right w:w="90" w:type="dxa"/>
            </w:tcMar>
            <w:vAlign w:val="center"/>
          </w:tcPr>
          <w:p w14:paraId="23A848A0" w14:textId="77777777" w:rsidR="007D26EC" w:rsidRDefault="001933A3">
            <w:pPr>
              <w:pStyle w:val="tablas"/>
              <w:jc w:val="left"/>
            </w:pPr>
            <w:r>
              <w:rPr>
                <w:color w:val="000000"/>
                <w:sz w:val="16"/>
              </w:rPr>
              <w:t>Influencia percibida en la decisión de voto</w:t>
            </w:r>
          </w:p>
        </w:tc>
        <w:tc>
          <w:tcPr>
            <w:tcW w:w="2216" w:type="dxa"/>
            <w:tcMar>
              <w:top w:w="70" w:type="dxa"/>
              <w:left w:w="90" w:type="dxa"/>
              <w:bottom w:w="70" w:type="dxa"/>
              <w:right w:w="90" w:type="dxa"/>
            </w:tcMar>
            <w:vAlign w:val="center"/>
          </w:tcPr>
          <w:p w14:paraId="09F6F0F4" w14:textId="77777777" w:rsidR="007D26EC" w:rsidRDefault="001933A3">
            <w:pPr>
              <w:pStyle w:val="tablas"/>
            </w:pPr>
            <w:r>
              <w:rPr>
                <w:color w:val="000000"/>
                <w:sz w:val="16"/>
              </w:rPr>
              <w:t>87,3 %</w:t>
            </w:r>
          </w:p>
        </w:tc>
      </w:tr>
    </w:tbl>
    <w:p w14:paraId="7E9FEEE0" w14:textId="2D579CB3" w:rsidR="007D26EC" w:rsidRDefault="001933A3">
      <w:pPr>
        <w:pStyle w:val="Fuente"/>
      </w:pPr>
      <w:r>
        <w:rPr>
          <w:color w:val="000000"/>
        </w:rPr>
        <w:t xml:space="preserve">Fuente: elaboración propia </w:t>
      </w:r>
    </w:p>
    <w:p w14:paraId="589C119E" w14:textId="3F7D0B9E" w:rsidR="007D26EC" w:rsidRDefault="00795066">
      <w:pPr>
        <w:pStyle w:val="Ttulo2"/>
        <w:keepNext/>
      </w:pPr>
      <w:r>
        <w:rPr>
          <w:color w:val="000000"/>
        </w:rPr>
        <w:t>4</w:t>
      </w:r>
      <w:r w:rsidR="001933A3">
        <w:rPr>
          <w:color w:val="000000"/>
        </w:rPr>
        <w:t>.2. Perspectiva de los especialistas</w:t>
      </w:r>
    </w:p>
    <w:p w14:paraId="765CB92E" w14:textId="77777777" w:rsidR="007D26EC" w:rsidRDefault="001933A3">
      <w:r>
        <w:rPr>
          <w:color w:val="000000"/>
        </w:rPr>
        <w:t xml:space="preserve">Las entrevistas coincidieron en que una estrategia dirigida a jóvenes debe abarcar las plataformas donde estos participan, pero adaptar el contenido a la lógica de cada una. Los especialistas destacaron el valor </w:t>
      </w:r>
      <w:r>
        <w:rPr>
          <w:color w:val="000000"/>
        </w:rPr>
        <w:lastRenderedPageBreak/>
        <w:t>de combinar videos, gráficos, textos, pódcast, piezas breves y comunidades digitales. Esta diversidad facilita alcanzar distintos hábitos de consumo y permite que un mismo eje político se exprese mediante niveles de profundidad diferentes.</w:t>
      </w:r>
    </w:p>
    <w:p w14:paraId="5E39114C" w14:textId="77777777" w:rsidR="007D26EC" w:rsidRDefault="001933A3">
      <w:r>
        <w:rPr>
          <w:color w:val="000000"/>
        </w:rPr>
        <w:t>La coherencia del personaje político apareció como un componente central. Uno de los entrevistados propuso construir una identidad narrativa definida y expandirla hacia nichos específicos sin alterar el mensaje principal. El segundo enfatizó la autenticidad, la empatía y la escucha activa como condiciones para una comunicación horizontal. Ambos criterios convergen en la necesidad de evitar cambios oportunistas de personalidad entre plataformas: el formato puede variar, pero los atributos, valores y propuestas deben conservar continuidad.</w:t>
      </w:r>
    </w:p>
    <w:p w14:paraId="4E59668D" w14:textId="77777777" w:rsidR="007D26EC" w:rsidRDefault="001933A3">
      <w:r>
        <w:rPr>
          <w:color w:val="000000"/>
        </w:rPr>
        <w:t>Respecto de la interactividad, se señalaron los debates, la presencia territorial, los mensajes, las consultas y los contenidos específicos para cada red. Los especialistas no plantearon una oposición entre campaña presencial y digital, sino una integración: los encuentros en territorio generan historias y evidencia; las plataformas amplían su circulación; y las respuestas de la audiencia aportan información para ajustar la comunicación. Esta relación coincide con la proximidad política analizada por Enríquez Cruz y Gómez Navas (2021).</w:t>
      </w:r>
    </w:p>
    <w:p w14:paraId="56C0162C" w14:textId="77777777" w:rsidR="007D26EC" w:rsidRDefault="001933A3">
      <w:r>
        <w:rPr>
          <w:color w:val="000000"/>
        </w:rPr>
        <w:t>Los entrevistados consideraron que los mensajes distribuidos en múltiples plataformas son más efectivos cuando conservan un núcleo claro, breve y reconocible, pero adoptan recursos compartibles como reels, gifs o stickers. También recomendaron investigar las necesidades y preocupaciones de los jóvenes antes de diseñar el relato. Esta orientación es compatible con el modelo de segmentación electoral estudiado por Chico Frías y Montalvo Poveda (2019): conocer al público reduce distorsiones y facilita la construcción de propuestas comunicables.</w:t>
      </w:r>
    </w:p>
    <w:p w14:paraId="221F85DB" w14:textId="77777777" w:rsidR="007D26EC" w:rsidRDefault="001933A3">
      <w:r>
        <w:rPr>
          <w:color w:val="000000"/>
        </w:rPr>
        <w:t xml:space="preserve">Como ventaja competitiva, la transmedialidad permite disputar atención tanto frente a otros actores políticos como frente a contenidos comerciales y de entretenimiento. Sin embargo, los especialistas advirtieron que el candidato debe mostrarse cercano y hablar desde experiencias creíbles. La adaptación no consiste en imitar superficialmente códigos juveniles, sino en traducir propuestas a formatos pertinentes sin </w:t>
      </w:r>
      <w:r>
        <w:rPr>
          <w:color w:val="000000"/>
        </w:rPr>
        <w:lastRenderedPageBreak/>
        <w:t>perder autenticidad. En un territorio como Santa Elena, esta conexión requiere incorporar problemas, símbolos y prácticas locales dentro de un relato que enlace lo presencial con lo digital.</w:t>
      </w:r>
    </w:p>
    <w:p w14:paraId="2E5EDD4E" w14:textId="41D72DA9" w:rsidR="007D26EC" w:rsidRDefault="00795066">
      <w:pPr>
        <w:pStyle w:val="Ttulo2"/>
        <w:keepNext/>
      </w:pPr>
      <w:r>
        <w:rPr>
          <w:color w:val="000000"/>
        </w:rPr>
        <w:t>4</w:t>
      </w:r>
      <w:r w:rsidR="001933A3">
        <w:rPr>
          <w:color w:val="000000"/>
        </w:rPr>
        <w:t>.3. Contenidos e interacción de las candidaturas</w:t>
      </w:r>
    </w:p>
    <w:p w14:paraId="085CBC67" w14:textId="77777777" w:rsidR="007D26EC" w:rsidRDefault="001933A3">
      <w:r>
        <w:rPr>
          <w:color w:val="000000"/>
        </w:rPr>
        <w:t>La observación evidenció estrategias distintas. En número de seguidores, Daniel Noboa registró ventaja en Facebook (538.000 frente a 344.000), Instagram (1.400.000 frente a 219.000) y TikTok (2.900.000 frente a 1.100.000). La distancia fue especialmente amplia en las dos plataformas de mayor orientación visual. Estas cifras describen el tamaño de las comunidades al momento de la observación, pero no identifican edad, ubicación ni condición electoral de cada seguidor.</w:t>
      </w:r>
    </w:p>
    <w:p w14:paraId="68B45E55" w14:textId="77777777" w:rsidR="007D26EC" w:rsidRDefault="001933A3">
      <w:r>
        <w:rPr>
          <w:color w:val="000000"/>
        </w:rPr>
        <w:t>Luisa González publicó un mayor volumen total de contenidos durante el periodo: 489 piezas frente a 311. Su producción se concentró en publicaciones informativas (255), sociales (113) y políticas (110). Daniel Noboa difundió menos piezas informativas (166), sociales (57) y políticas (62), pero produjo más contenido de entretenimiento (25 frente a 7). La diferencia revela dos énfasis: una estrategia de mayor frecuencia y densidad informativa frente a otra más selectiva y próxima a códigos de entretenimiento digital.</w:t>
      </w:r>
    </w:p>
    <w:p w14:paraId="6A93D571" w14:textId="77777777" w:rsidR="007D26EC" w:rsidRDefault="001933A3">
      <w:r>
        <w:rPr>
          <w:color w:val="000000"/>
        </w:rPr>
        <w:t>El desglose por formatos confirma esta tendencia. González registró 177 videos, 130 imágenes, 98 textos narrativos, 10 transmisiones en vivo y 150 usos de storytelling digital. Noboa contabilizó 98 videos, 109 imágenes, 27 textos narrativos, ninguna transmisión en vivo y 107 usos de storytelling. En hashtags y memes, sin embargo, Noboa alcanzó 10 casos frente a 5. La amplitud formal de González fue mayor; Noboa utilizó menos piezas, con una presencia proporcionalmente más alta de recursos virales.</w:t>
      </w:r>
    </w:p>
    <w:p w14:paraId="447045D7" w14:textId="77777777" w:rsidR="007D26EC" w:rsidRDefault="001933A3">
      <w:r>
        <w:rPr>
          <w:color w:val="000000"/>
        </w:rPr>
        <w:t xml:space="preserve">Los indicadores de interacción favorecieron a Noboa en comentarios y respuestas (898.600 frente a 246.834), reacciones (6.315.700 frente a 3.347.508) y visualizaciones (9.120.340 frente a 4.128.508). González obtuvo más compartidos: 404.341 frente a 370.811. El patrón muestra que el volumen de producción no se traduce automáticamente en mayor respuesta acumulada. También confirma la necesidad de analizar cada </w:t>
      </w:r>
      <w:r>
        <w:rPr>
          <w:color w:val="000000"/>
        </w:rPr>
        <w:lastRenderedPageBreak/>
        <w:t>interacción por separado: el liderazgo de González en contenidos compartidos indica una capacidad específica de circulación que no queda reflejada si se utiliza una única cifra agregada de engagement.</w:t>
      </w:r>
    </w:p>
    <w:p w14:paraId="22341143" w14:textId="77777777" w:rsidR="007D26EC" w:rsidRDefault="001933A3">
      <w:r>
        <w:rPr>
          <w:color w:val="000000"/>
        </w:rPr>
        <w:t>En el lenguaje juvenil y la apropiación de contenidos, la ficha asignó un nivel alto a Noboa debido al uso de videos cortos, dinámicos y menos tradicionales; González alcanzó un nivel medio por el predominio de discursos emocionales e informativos y una menor presencia de entretenimiento. Ninguna candidatura consiguió una apropiación masiva de sus hashtags por parte de jóvenes. En integración transmedia, ambas mantuvieron continuidad temática entre redes, pero presentaron pocos llamados cruzados del tipo «ver más en YouTube» o rutas explícitas para trasladarse de una plataforma a otra. Este hallazgo sugiere que las campañas fueron multiplataforma y narrativamente consistentes, aunque su arquitectura transmedia pudo desarrollarse con mayor profundidad.</w:t>
      </w:r>
    </w:p>
    <w:p w14:paraId="42870E1B" w14:textId="77777777" w:rsidR="007D26EC" w:rsidRPr="006F3AF2" w:rsidRDefault="001933A3" w:rsidP="006F3AF2">
      <w:pPr>
        <w:pStyle w:val="Figuras"/>
        <w:keepNext/>
        <w:spacing w:after="0"/>
      </w:pPr>
      <w:r>
        <w:rPr>
          <w:b/>
          <w:color w:val="000000"/>
        </w:rPr>
        <w:t xml:space="preserve">TABLA 2. </w:t>
      </w:r>
      <w:r w:rsidRPr="006F3AF2">
        <w:rPr>
          <w:color w:val="000000"/>
        </w:rPr>
        <w:t>Tipos de contenido publicados (23 de marzo-10 de abril de 2025)</w:t>
      </w:r>
    </w:p>
    <w:tbl>
      <w:tblPr>
        <w:tblStyle w:val="Tablaconcuadrcula"/>
        <w:tblW w:w="6516" w:type="dxa"/>
        <w:tblLayout w:type="fixed"/>
        <w:tblLook w:val="04A0" w:firstRow="1" w:lastRow="0" w:firstColumn="1" w:lastColumn="0" w:noHBand="0" w:noVBand="1"/>
      </w:tblPr>
      <w:tblGrid>
        <w:gridCol w:w="3000"/>
        <w:gridCol w:w="1600"/>
        <w:gridCol w:w="1916"/>
      </w:tblGrid>
      <w:tr w:rsidR="007D26EC" w14:paraId="45805920" w14:textId="77777777" w:rsidTr="006F3AF2">
        <w:trPr>
          <w:tblHeader/>
        </w:trPr>
        <w:tc>
          <w:tcPr>
            <w:tcW w:w="3000" w:type="dxa"/>
            <w:tcMar>
              <w:top w:w="70" w:type="dxa"/>
              <w:left w:w="90" w:type="dxa"/>
              <w:bottom w:w="70" w:type="dxa"/>
              <w:right w:w="90" w:type="dxa"/>
            </w:tcMar>
            <w:vAlign w:val="center"/>
          </w:tcPr>
          <w:p w14:paraId="523508AF" w14:textId="77777777" w:rsidR="007D26EC" w:rsidRDefault="001933A3">
            <w:pPr>
              <w:pStyle w:val="tablas"/>
            </w:pPr>
            <w:r>
              <w:rPr>
                <w:b/>
                <w:color w:val="000000"/>
                <w:sz w:val="16"/>
              </w:rPr>
              <w:t>Categoría</w:t>
            </w:r>
          </w:p>
        </w:tc>
        <w:tc>
          <w:tcPr>
            <w:tcW w:w="1600" w:type="dxa"/>
            <w:tcMar>
              <w:top w:w="70" w:type="dxa"/>
              <w:left w:w="90" w:type="dxa"/>
              <w:bottom w:w="70" w:type="dxa"/>
              <w:right w:w="90" w:type="dxa"/>
            </w:tcMar>
            <w:vAlign w:val="center"/>
          </w:tcPr>
          <w:p w14:paraId="579B0A79" w14:textId="77777777" w:rsidR="007D26EC" w:rsidRDefault="001933A3">
            <w:pPr>
              <w:pStyle w:val="tablas"/>
            </w:pPr>
            <w:r>
              <w:rPr>
                <w:b/>
                <w:color w:val="000000"/>
                <w:sz w:val="16"/>
              </w:rPr>
              <w:t>Luisa González</w:t>
            </w:r>
          </w:p>
        </w:tc>
        <w:tc>
          <w:tcPr>
            <w:tcW w:w="1916" w:type="dxa"/>
            <w:tcMar>
              <w:top w:w="70" w:type="dxa"/>
              <w:left w:w="90" w:type="dxa"/>
              <w:bottom w:w="70" w:type="dxa"/>
              <w:right w:w="90" w:type="dxa"/>
            </w:tcMar>
            <w:vAlign w:val="center"/>
          </w:tcPr>
          <w:p w14:paraId="71EDA92F" w14:textId="77777777" w:rsidR="007D26EC" w:rsidRDefault="001933A3">
            <w:pPr>
              <w:pStyle w:val="tablas"/>
            </w:pPr>
            <w:r>
              <w:rPr>
                <w:b/>
                <w:color w:val="000000"/>
                <w:sz w:val="16"/>
              </w:rPr>
              <w:t>Daniel Noboa</w:t>
            </w:r>
          </w:p>
        </w:tc>
      </w:tr>
      <w:tr w:rsidR="007D26EC" w14:paraId="6631350C" w14:textId="77777777" w:rsidTr="006F3AF2">
        <w:tc>
          <w:tcPr>
            <w:tcW w:w="3000" w:type="dxa"/>
            <w:tcMar>
              <w:top w:w="70" w:type="dxa"/>
              <w:left w:w="90" w:type="dxa"/>
              <w:bottom w:w="70" w:type="dxa"/>
              <w:right w:w="90" w:type="dxa"/>
            </w:tcMar>
            <w:vAlign w:val="center"/>
          </w:tcPr>
          <w:p w14:paraId="67E7ED93" w14:textId="77777777" w:rsidR="007D26EC" w:rsidRDefault="001933A3">
            <w:pPr>
              <w:pStyle w:val="tablas"/>
              <w:jc w:val="left"/>
            </w:pPr>
            <w:r>
              <w:rPr>
                <w:color w:val="000000"/>
                <w:sz w:val="16"/>
              </w:rPr>
              <w:t>Entretenimiento</w:t>
            </w:r>
          </w:p>
        </w:tc>
        <w:tc>
          <w:tcPr>
            <w:tcW w:w="1600" w:type="dxa"/>
            <w:tcMar>
              <w:top w:w="70" w:type="dxa"/>
              <w:left w:w="90" w:type="dxa"/>
              <w:bottom w:w="70" w:type="dxa"/>
              <w:right w:w="90" w:type="dxa"/>
            </w:tcMar>
            <w:vAlign w:val="center"/>
          </w:tcPr>
          <w:p w14:paraId="47920F25" w14:textId="77777777" w:rsidR="007D26EC" w:rsidRDefault="001933A3">
            <w:pPr>
              <w:pStyle w:val="tablas"/>
            </w:pPr>
            <w:r>
              <w:rPr>
                <w:color w:val="000000"/>
                <w:sz w:val="16"/>
              </w:rPr>
              <w:t>7</w:t>
            </w:r>
          </w:p>
        </w:tc>
        <w:tc>
          <w:tcPr>
            <w:tcW w:w="1916" w:type="dxa"/>
            <w:tcMar>
              <w:top w:w="70" w:type="dxa"/>
              <w:left w:w="90" w:type="dxa"/>
              <w:bottom w:w="70" w:type="dxa"/>
              <w:right w:w="90" w:type="dxa"/>
            </w:tcMar>
            <w:vAlign w:val="center"/>
          </w:tcPr>
          <w:p w14:paraId="495BEA1D" w14:textId="77777777" w:rsidR="007D26EC" w:rsidRDefault="001933A3">
            <w:pPr>
              <w:pStyle w:val="tablas"/>
            </w:pPr>
            <w:r>
              <w:rPr>
                <w:color w:val="000000"/>
                <w:sz w:val="16"/>
              </w:rPr>
              <w:t>25</w:t>
            </w:r>
          </w:p>
        </w:tc>
      </w:tr>
      <w:tr w:rsidR="007D26EC" w14:paraId="523A4365" w14:textId="77777777" w:rsidTr="006F3AF2">
        <w:tc>
          <w:tcPr>
            <w:tcW w:w="3000" w:type="dxa"/>
            <w:tcMar>
              <w:top w:w="70" w:type="dxa"/>
              <w:left w:w="90" w:type="dxa"/>
              <w:bottom w:w="70" w:type="dxa"/>
              <w:right w:w="90" w:type="dxa"/>
            </w:tcMar>
            <w:vAlign w:val="center"/>
          </w:tcPr>
          <w:p w14:paraId="08CCF763" w14:textId="77777777" w:rsidR="007D26EC" w:rsidRDefault="001933A3">
            <w:pPr>
              <w:pStyle w:val="tablas"/>
              <w:jc w:val="left"/>
            </w:pPr>
            <w:r>
              <w:rPr>
                <w:color w:val="000000"/>
                <w:sz w:val="16"/>
              </w:rPr>
              <w:t>Educación</w:t>
            </w:r>
          </w:p>
        </w:tc>
        <w:tc>
          <w:tcPr>
            <w:tcW w:w="1600" w:type="dxa"/>
            <w:tcMar>
              <w:top w:w="70" w:type="dxa"/>
              <w:left w:w="90" w:type="dxa"/>
              <w:bottom w:w="70" w:type="dxa"/>
              <w:right w:w="90" w:type="dxa"/>
            </w:tcMar>
            <w:vAlign w:val="center"/>
          </w:tcPr>
          <w:p w14:paraId="3A3B4544" w14:textId="77777777" w:rsidR="007D26EC" w:rsidRDefault="001933A3">
            <w:pPr>
              <w:pStyle w:val="tablas"/>
            </w:pPr>
            <w:r>
              <w:rPr>
                <w:color w:val="000000"/>
                <w:sz w:val="16"/>
              </w:rPr>
              <w:t>2</w:t>
            </w:r>
          </w:p>
        </w:tc>
        <w:tc>
          <w:tcPr>
            <w:tcW w:w="1916" w:type="dxa"/>
            <w:tcMar>
              <w:top w:w="70" w:type="dxa"/>
              <w:left w:w="90" w:type="dxa"/>
              <w:bottom w:w="70" w:type="dxa"/>
              <w:right w:w="90" w:type="dxa"/>
            </w:tcMar>
            <w:vAlign w:val="center"/>
          </w:tcPr>
          <w:p w14:paraId="0EDD134E" w14:textId="77777777" w:rsidR="007D26EC" w:rsidRDefault="001933A3">
            <w:pPr>
              <w:pStyle w:val="tablas"/>
            </w:pPr>
            <w:r>
              <w:rPr>
                <w:color w:val="000000"/>
                <w:sz w:val="16"/>
              </w:rPr>
              <w:t>1</w:t>
            </w:r>
          </w:p>
        </w:tc>
      </w:tr>
      <w:tr w:rsidR="007D26EC" w14:paraId="67D1C8FA" w14:textId="77777777" w:rsidTr="006F3AF2">
        <w:tc>
          <w:tcPr>
            <w:tcW w:w="3000" w:type="dxa"/>
            <w:tcMar>
              <w:top w:w="70" w:type="dxa"/>
              <w:left w:w="90" w:type="dxa"/>
              <w:bottom w:w="70" w:type="dxa"/>
              <w:right w:w="90" w:type="dxa"/>
            </w:tcMar>
            <w:vAlign w:val="center"/>
          </w:tcPr>
          <w:p w14:paraId="20384C0A" w14:textId="77777777" w:rsidR="007D26EC" w:rsidRDefault="001933A3">
            <w:pPr>
              <w:pStyle w:val="tablas"/>
              <w:jc w:val="left"/>
            </w:pPr>
            <w:r>
              <w:rPr>
                <w:color w:val="000000"/>
                <w:sz w:val="16"/>
              </w:rPr>
              <w:t>Social</w:t>
            </w:r>
          </w:p>
        </w:tc>
        <w:tc>
          <w:tcPr>
            <w:tcW w:w="1600" w:type="dxa"/>
            <w:tcMar>
              <w:top w:w="70" w:type="dxa"/>
              <w:left w:w="90" w:type="dxa"/>
              <w:bottom w:w="70" w:type="dxa"/>
              <w:right w:w="90" w:type="dxa"/>
            </w:tcMar>
            <w:vAlign w:val="center"/>
          </w:tcPr>
          <w:p w14:paraId="2AC9E703" w14:textId="77777777" w:rsidR="007D26EC" w:rsidRDefault="001933A3">
            <w:pPr>
              <w:pStyle w:val="tablas"/>
            </w:pPr>
            <w:r>
              <w:rPr>
                <w:color w:val="000000"/>
                <w:sz w:val="16"/>
              </w:rPr>
              <w:t>113</w:t>
            </w:r>
          </w:p>
        </w:tc>
        <w:tc>
          <w:tcPr>
            <w:tcW w:w="1916" w:type="dxa"/>
            <w:tcMar>
              <w:top w:w="70" w:type="dxa"/>
              <w:left w:w="90" w:type="dxa"/>
              <w:bottom w:w="70" w:type="dxa"/>
              <w:right w:w="90" w:type="dxa"/>
            </w:tcMar>
            <w:vAlign w:val="center"/>
          </w:tcPr>
          <w:p w14:paraId="1EB02D97" w14:textId="77777777" w:rsidR="007D26EC" w:rsidRDefault="001933A3">
            <w:pPr>
              <w:pStyle w:val="tablas"/>
            </w:pPr>
            <w:r>
              <w:rPr>
                <w:color w:val="000000"/>
                <w:sz w:val="16"/>
              </w:rPr>
              <w:t>57</w:t>
            </w:r>
          </w:p>
        </w:tc>
      </w:tr>
      <w:tr w:rsidR="007D26EC" w14:paraId="1A3C32FF" w14:textId="77777777" w:rsidTr="006F3AF2">
        <w:tc>
          <w:tcPr>
            <w:tcW w:w="3000" w:type="dxa"/>
            <w:tcMar>
              <w:top w:w="70" w:type="dxa"/>
              <w:left w:w="90" w:type="dxa"/>
              <w:bottom w:w="70" w:type="dxa"/>
              <w:right w:w="90" w:type="dxa"/>
            </w:tcMar>
            <w:vAlign w:val="center"/>
          </w:tcPr>
          <w:p w14:paraId="761817D4" w14:textId="77777777" w:rsidR="007D26EC" w:rsidRDefault="001933A3">
            <w:pPr>
              <w:pStyle w:val="tablas"/>
              <w:jc w:val="left"/>
            </w:pPr>
            <w:r>
              <w:rPr>
                <w:color w:val="000000"/>
                <w:sz w:val="16"/>
              </w:rPr>
              <w:t>Informativo</w:t>
            </w:r>
          </w:p>
        </w:tc>
        <w:tc>
          <w:tcPr>
            <w:tcW w:w="1600" w:type="dxa"/>
            <w:tcMar>
              <w:top w:w="70" w:type="dxa"/>
              <w:left w:w="90" w:type="dxa"/>
              <w:bottom w:w="70" w:type="dxa"/>
              <w:right w:w="90" w:type="dxa"/>
            </w:tcMar>
            <w:vAlign w:val="center"/>
          </w:tcPr>
          <w:p w14:paraId="15570745" w14:textId="77777777" w:rsidR="007D26EC" w:rsidRDefault="001933A3">
            <w:pPr>
              <w:pStyle w:val="tablas"/>
            </w:pPr>
            <w:r>
              <w:rPr>
                <w:color w:val="000000"/>
                <w:sz w:val="16"/>
              </w:rPr>
              <w:t>255</w:t>
            </w:r>
          </w:p>
        </w:tc>
        <w:tc>
          <w:tcPr>
            <w:tcW w:w="1916" w:type="dxa"/>
            <w:tcMar>
              <w:top w:w="70" w:type="dxa"/>
              <w:left w:w="90" w:type="dxa"/>
              <w:bottom w:w="70" w:type="dxa"/>
              <w:right w:w="90" w:type="dxa"/>
            </w:tcMar>
            <w:vAlign w:val="center"/>
          </w:tcPr>
          <w:p w14:paraId="46BEA13B" w14:textId="77777777" w:rsidR="007D26EC" w:rsidRDefault="001933A3">
            <w:pPr>
              <w:pStyle w:val="tablas"/>
            </w:pPr>
            <w:r>
              <w:rPr>
                <w:color w:val="000000"/>
                <w:sz w:val="16"/>
              </w:rPr>
              <w:t>166</w:t>
            </w:r>
          </w:p>
        </w:tc>
      </w:tr>
      <w:tr w:rsidR="007D26EC" w14:paraId="5F694017" w14:textId="77777777" w:rsidTr="006F3AF2">
        <w:tc>
          <w:tcPr>
            <w:tcW w:w="3000" w:type="dxa"/>
            <w:tcMar>
              <w:top w:w="70" w:type="dxa"/>
              <w:left w:w="90" w:type="dxa"/>
              <w:bottom w:w="70" w:type="dxa"/>
              <w:right w:w="90" w:type="dxa"/>
            </w:tcMar>
            <w:vAlign w:val="center"/>
          </w:tcPr>
          <w:p w14:paraId="127D1CF5" w14:textId="77777777" w:rsidR="007D26EC" w:rsidRDefault="001933A3">
            <w:pPr>
              <w:pStyle w:val="tablas"/>
              <w:jc w:val="left"/>
            </w:pPr>
            <w:r>
              <w:rPr>
                <w:color w:val="000000"/>
                <w:sz w:val="16"/>
              </w:rPr>
              <w:t>Político</w:t>
            </w:r>
          </w:p>
        </w:tc>
        <w:tc>
          <w:tcPr>
            <w:tcW w:w="1600" w:type="dxa"/>
            <w:tcMar>
              <w:top w:w="70" w:type="dxa"/>
              <w:left w:w="90" w:type="dxa"/>
              <w:bottom w:w="70" w:type="dxa"/>
              <w:right w:w="90" w:type="dxa"/>
            </w:tcMar>
            <w:vAlign w:val="center"/>
          </w:tcPr>
          <w:p w14:paraId="64CC9EF2" w14:textId="77777777" w:rsidR="007D26EC" w:rsidRDefault="001933A3">
            <w:pPr>
              <w:pStyle w:val="tablas"/>
            </w:pPr>
            <w:r>
              <w:rPr>
                <w:color w:val="000000"/>
                <w:sz w:val="16"/>
              </w:rPr>
              <w:t>110</w:t>
            </w:r>
          </w:p>
        </w:tc>
        <w:tc>
          <w:tcPr>
            <w:tcW w:w="1916" w:type="dxa"/>
            <w:tcMar>
              <w:top w:w="70" w:type="dxa"/>
              <w:left w:w="90" w:type="dxa"/>
              <w:bottom w:w="70" w:type="dxa"/>
              <w:right w:w="90" w:type="dxa"/>
            </w:tcMar>
            <w:vAlign w:val="center"/>
          </w:tcPr>
          <w:p w14:paraId="18FA8FBF" w14:textId="77777777" w:rsidR="007D26EC" w:rsidRDefault="001933A3">
            <w:pPr>
              <w:pStyle w:val="tablas"/>
            </w:pPr>
            <w:r>
              <w:rPr>
                <w:color w:val="000000"/>
                <w:sz w:val="16"/>
              </w:rPr>
              <w:t>62</w:t>
            </w:r>
          </w:p>
        </w:tc>
      </w:tr>
      <w:tr w:rsidR="007D26EC" w14:paraId="44217BB6" w14:textId="77777777" w:rsidTr="006F3AF2">
        <w:tc>
          <w:tcPr>
            <w:tcW w:w="3000" w:type="dxa"/>
            <w:tcMar>
              <w:top w:w="70" w:type="dxa"/>
              <w:left w:w="90" w:type="dxa"/>
              <w:bottom w:w="70" w:type="dxa"/>
              <w:right w:w="90" w:type="dxa"/>
            </w:tcMar>
            <w:vAlign w:val="center"/>
          </w:tcPr>
          <w:p w14:paraId="63CCAAEA" w14:textId="77777777" w:rsidR="007D26EC" w:rsidRDefault="001933A3">
            <w:pPr>
              <w:pStyle w:val="tablas"/>
              <w:jc w:val="left"/>
            </w:pPr>
            <w:r>
              <w:rPr>
                <w:color w:val="000000"/>
                <w:sz w:val="16"/>
              </w:rPr>
              <w:t>Total de publicaciones</w:t>
            </w:r>
          </w:p>
        </w:tc>
        <w:tc>
          <w:tcPr>
            <w:tcW w:w="1600" w:type="dxa"/>
            <w:tcMar>
              <w:top w:w="70" w:type="dxa"/>
              <w:left w:w="90" w:type="dxa"/>
              <w:bottom w:w="70" w:type="dxa"/>
              <w:right w:w="90" w:type="dxa"/>
            </w:tcMar>
            <w:vAlign w:val="center"/>
          </w:tcPr>
          <w:p w14:paraId="3DC5B6D0" w14:textId="77777777" w:rsidR="007D26EC" w:rsidRDefault="001933A3">
            <w:pPr>
              <w:pStyle w:val="tablas"/>
            </w:pPr>
            <w:r>
              <w:rPr>
                <w:color w:val="000000"/>
                <w:sz w:val="16"/>
              </w:rPr>
              <w:t>489</w:t>
            </w:r>
          </w:p>
        </w:tc>
        <w:tc>
          <w:tcPr>
            <w:tcW w:w="1916" w:type="dxa"/>
            <w:tcMar>
              <w:top w:w="70" w:type="dxa"/>
              <w:left w:w="90" w:type="dxa"/>
              <w:bottom w:w="70" w:type="dxa"/>
              <w:right w:w="90" w:type="dxa"/>
            </w:tcMar>
            <w:vAlign w:val="center"/>
          </w:tcPr>
          <w:p w14:paraId="6503214D" w14:textId="77777777" w:rsidR="007D26EC" w:rsidRDefault="001933A3">
            <w:pPr>
              <w:pStyle w:val="tablas"/>
            </w:pPr>
            <w:r>
              <w:rPr>
                <w:color w:val="000000"/>
                <w:sz w:val="16"/>
              </w:rPr>
              <w:t>311</w:t>
            </w:r>
          </w:p>
        </w:tc>
      </w:tr>
    </w:tbl>
    <w:p w14:paraId="5393CECE" w14:textId="2A390A51" w:rsidR="007D26EC" w:rsidRDefault="001933A3">
      <w:pPr>
        <w:pStyle w:val="Fuente"/>
      </w:pPr>
      <w:r>
        <w:rPr>
          <w:color w:val="000000"/>
        </w:rPr>
        <w:t>Fuente: elaboración propia</w:t>
      </w:r>
    </w:p>
    <w:p w14:paraId="68719EEF" w14:textId="77777777" w:rsidR="007D26EC" w:rsidRDefault="001933A3" w:rsidP="006F3AF2">
      <w:pPr>
        <w:pStyle w:val="Figuras"/>
        <w:keepNext/>
        <w:spacing w:after="0"/>
      </w:pPr>
      <w:r>
        <w:rPr>
          <w:b/>
          <w:color w:val="000000"/>
        </w:rPr>
        <w:t xml:space="preserve">TABLA 3. </w:t>
      </w:r>
      <w:r w:rsidRPr="006F3AF2">
        <w:rPr>
          <w:color w:val="000000"/>
        </w:rPr>
        <w:t>Formatos identificados en las publicaciones</w:t>
      </w:r>
    </w:p>
    <w:tbl>
      <w:tblPr>
        <w:tblStyle w:val="Tablaconcuadrcula"/>
        <w:tblW w:w="6516" w:type="dxa"/>
        <w:tblLayout w:type="fixed"/>
        <w:tblLook w:val="04A0" w:firstRow="1" w:lastRow="0" w:firstColumn="1" w:lastColumn="0" w:noHBand="0" w:noVBand="1"/>
      </w:tblPr>
      <w:tblGrid>
        <w:gridCol w:w="3000"/>
        <w:gridCol w:w="1600"/>
        <w:gridCol w:w="1916"/>
      </w:tblGrid>
      <w:tr w:rsidR="007D26EC" w14:paraId="17E7F416" w14:textId="77777777" w:rsidTr="006F3AF2">
        <w:trPr>
          <w:tblHeader/>
        </w:trPr>
        <w:tc>
          <w:tcPr>
            <w:tcW w:w="3000" w:type="dxa"/>
            <w:tcMar>
              <w:top w:w="70" w:type="dxa"/>
              <w:left w:w="90" w:type="dxa"/>
              <w:bottom w:w="70" w:type="dxa"/>
              <w:right w:w="90" w:type="dxa"/>
            </w:tcMar>
            <w:vAlign w:val="center"/>
          </w:tcPr>
          <w:p w14:paraId="69EB1874" w14:textId="77777777" w:rsidR="007D26EC" w:rsidRDefault="001933A3">
            <w:pPr>
              <w:pStyle w:val="tablas"/>
            </w:pPr>
            <w:r>
              <w:rPr>
                <w:b/>
                <w:color w:val="000000"/>
                <w:sz w:val="16"/>
              </w:rPr>
              <w:t>Formato</w:t>
            </w:r>
          </w:p>
        </w:tc>
        <w:tc>
          <w:tcPr>
            <w:tcW w:w="1600" w:type="dxa"/>
            <w:tcMar>
              <w:top w:w="70" w:type="dxa"/>
              <w:left w:w="90" w:type="dxa"/>
              <w:bottom w:w="70" w:type="dxa"/>
              <w:right w:w="90" w:type="dxa"/>
            </w:tcMar>
            <w:vAlign w:val="center"/>
          </w:tcPr>
          <w:p w14:paraId="7B160DFA" w14:textId="77777777" w:rsidR="007D26EC" w:rsidRDefault="001933A3">
            <w:pPr>
              <w:pStyle w:val="tablas"/>
            </w:pPr>
            <w:r>
              <w:rPr>
                <w:b/>
                <w:color w:val="000000"/>
                <w:sz w:val="16"/>
              </w:rPr>
              <w:t>Luisa González</w:t>
            </w:r>
          </w:p>
        </w:tc>
        <w:tc>
          <w:tcPr>
            <w:tcW w:w="1916" w:type="dxa"/>
            <w:tcMar>
              <w:top w:w="70" w:type="dxa"/>
              <w:left w:w="90" w:type="dxa"/>
              <w:bottom w:w="70" w:type="dxa"/>
              <w:right w:w="90" w:type="dxa"/>
            </w:tcMar>
            <w:vAlign w:val="center"/>
          </w:tcPr>
          <w:p w14:paraId="182328FB" w14:textId="77777777" w:rsidR="007D26EC" w:rsidRDefault="001933A3">
            <w:pPr>
              <w:pStyle w:val="tablas"/>
            </w:pPr>
            <w:r>
              <w:rPr>
                <w:b/>
                <w:color w:val="000000"/>
                <w:sz w:val="16"/>
              </w:rPr>
              <w:t>Daniel Noboa</w:t>
            </w:r>
          </w:p>
        </w:tc>
      </w:tr>
      <w:tr w:rsidR="007D26EC" w14:paraId="285C18BA" w14:textId="77777777" w:rsidTr="006F3AF2">
        <w:tc>
          <w:tcPr>
            <w:tcW w:w="3000" w:type="dxa"/>
            <w:tcMar>
              <w:top w:w="70" w:type="dxa"/>
              <w:left w:w="90" w:type="dxa"/>
              <w:bottom w:w="70" w:type="dxa"/>
              <w:right w:w="90" w:type="dxa"/>
            </w:tcMar>
            <w:vAlign w:val="center"/>
          </w:tcPr>
          <w:p w14:paraId="388BADBC" w14:textId="77777777" w:rsidR="007D26EC" w:rsidRDefault="001933A3">
            <w:pPr>
              <w:pStyle w:val="tablas"/>
              <w:jc w:val="left"/>
            </w:pPr>
            <w:r>
              <w:rPr>
                <w:color w:val="000000"/>
                <w:sz w:val="16"/>
              </w:rPr>
              <w:t>Videos</w:t>
            </w:r>
          </w:p>
        </w:tc>
        <w:tc>
          <w:tcPr>
            <w:tcW w:w="1600" w:type="dxa"/>
            <w:tcMar>
              <w:top w:w="70" w:type="dxa"/>
              <w:left w:w="90" w:type="dxa"/>
              <w:bottom w:w="70" w:type="dxa"/>
              <w:right w:w="90" w:type="dxa"/>
            </w:tcMar>
            <w:vAlign w:val="center"/>
          </w:tcPr>
          <w:p w14:paraId="6194D28C" w14:textId="77777777" w:rsidR="007D26EC" w:rsidRDefault="001933A3">
            <w:pPr>
              <w:pStyle w:val="tablas"/>
            </w:pPr>
            <w:r>
              <w:rPr>
                <w:color w:val="000000"/>
                <w:sz w:val="16"/>
              </w:rPr>
              <w:t>177</w:t>
            </w:r>
          </w:p>
        </w:tc>
        <w:tc>
          <w:tcPr>
            <w:tcW w:w="1916" w:type="dxa"/>
            <w:tcMar>
              <w:top w:w="70" w:type="dxa"/>
              <w:left w:w="90" w:type="dxa"/>
              <w:bottom w:w="70" w:type="dxa"/>
              <w:right w:w="90" w:type="dxa"/>
            </w:tcMar>
            <w:vAlign w:val="center"/>
          </w:tcPr>
          <w:p w14:paraId="255E291E" w14:textId="77777777" w:rsidR="007D26EC" w:rsidRDefault="001933A3">
            <w:pPr>
              <w:pStyle w:val="tablas"/>
            </w:pPr>
            <w:r>
              <w:rPr>
                <w:color w:val="000000"/>
                <w:sz w:val="16"/>
              </w:rPr>
              <w:t>98</w:t>
            </w:r>
          </w:p>
        </w:tc>
      </w:tr>
      <w:tr w:rsidR="007D26EC" w14:paraId="343D0896" w14:textId="77777777" w:rsidTr="006F3AF2">
        <w:tc>
          <w:tcPr>
            <w:tcW w:w="3000" w:type="dxa"/>
            <w:tcMar>
              <w:top w:w="70" w:type="dxa"/>
              <w:left w:w="90" w:type="dxa"/>
              <w:bottom w:w="70" w:type="dxa"/>
              <w:right w:w="90" w:type="dxa"/>
            </w:tcMar>
            <w:vAlign w:val="center"/>
          </w:tcPr>
          <w:p w14:paraId="702D4D37" w14:textId="77777777" w:rsidR="007D26EC" w:rsidRDefault="001933A3">
            <w:pPr>
              <w:pStyle w:val="tablas"/>
              <w:jc w:val="left"/>
            </w:pPr>
            <w:r>
              <w:rPr>
                <w:color w:val="000000"/>
                <w:sz w:val="16"/>
              </w:rPr>
              <w:t>Transmisiones en vivo</w:t>
            </w:r>
          </w:p>
        </w:tc>
        <w:tc>
          <w:tcPr>
            <w:tcW w:w="1600" w:type="dxa"/>
            <w:tcMar>
              <w:top w:w="70" w:type="dxa"/>
              <w:left w:w="90" w:type="dxa"/>
              <w:bottom w:w="70" w:type="dxa"/>
              <w:right w:w="90" w:type="dxa"/>
            </w:tcMar>
            <w:vAlign w:val="center"/>
          </w:tcPr>
          <w:p w14:paraId="14F83949" w14:textId="77777777" w:rsidR="007D26EC" w:rsidRDefault="001933A3">
            <w:pPr>
              <w:pStyle w:val="tablas"/>
            </w:pPr>
            <w:r>
              <w:rPr>
                <w:color w:val="000000"/>
                <w:sz w:val="16"/>
              </w:rPr>
              <w:t>10</w:t>
            </w:r>
          </w:p>
        </w:tc>
        <w:tc>
          <w:tcPr>
            <w:tcW w:w="1916" w:type="dxa"/>
            <w:tcMar>
              <w:top w:w="70" w:type="dxa"/>
              <w:left w:w="90" w:type="dxa"/>
              <w:bottom w:w="70" w:type="dxa"/>
              <w:right w:w="90" w:type="dxa"/>
            </w:tcMar>
            <w:vAlign w:val="center"/>
          </w:tcPr>
          <w:p w14:paraId="11BA5434" w14:textId="77777777" w:rsidR="007D26EC" w:rsidRDefault="001933A3">
            <w:pPr>
              <w:pStyle w:val="tablas"/>
            </w:pPr>
            <w:r>
              <w:rPr>
                <w:color w:val="000000"/>
                <w:sz w:val="16"/>
              </w:rPr>
              <w:t>0</w:t>
            </w:r>
          </w:p>
        </w:tc>
      </w:tr>
      <w:tr w:rsidR="007D26EC" w14:paraId="42FCE311" w14:textId="77777777" w:rsidTr="006F3AF2">
        <w:tc>
          <w:tcPr>
            <w:tcW w:w="3000" w:type="dxa"/>
            <w:tcMar>
              <w:top w:w="70" w:type="dxa"/>
              <w:left w:w="90" w:type="dxa"/>
              <w:bottom w:w="70" w:type="dxa"/>
              <w:right w:w="90" w:type="dxa"/>
            </w:tcMar>
            <w:vAlign w:val="center"/>
          </w:tcPr>
          <w:p w14:paraId="247F3717" w14:textId="77777777" w:rsidR="007D26EC" w:rsidRDefault="001933A3">
            <w:pPr>
              <w:pStyle w:val="tablas"/>
              <w:jc w:val="left"/>
            </w:pPr>
            <w:r>
              <w:rPr>
                <w:color w:val="000000"/>
                <w:sz w:val="16"/>
              </w:rPr>
              <w:t>Imágenes</w:t>
            </w:r>
          </w:p>
        </w:tc>
        <w:tc>
          <w:tcPr>
            <w:tcW w:w="1600" w:type="dxa"/>
            <w:tcMar>
              <w:top w:w="70" w:type="dxa"/>
              <w:left w:w="90" w:type="dxa"/>
              <w:bottom w:w="70" w:type="dxa"/>
              <w:right w:w="90" w:type="dxa"/>
            </w:tcMar>
            <w:vAlign w:val="center"/>
          </w:tcPr>
          <w:p w14:paraId="3F71239B" w14:textId="77777777" w:rsidR="007D26EC" w:rsidRDefault="001933A3">
            <w:pPr>
              <w:pStyle w:val="tablas"/>
            </w:pPr>
            <w:r>
              <w:rPr>
                <w:color w:val="000000"/>
                <w:sz w:val="16"/>
              </w:rPr>
              <w:t>130</w:t>
            </w:r>
          </w:p>
        </w:tc>
        <w:tc>
          <w:tcPr>
            <w:tcW w:w="1916" w:type="dxa"/>
            <w:tcMar>
              <w:top w:w="70" w:type="dxa"/>
              <w:left w:w="90" w:type="dxa"/>
              <w:bottom w:w="70" w:type="dxa"/>
              <w:right w:w="90" w:type="dxa"/>
            </w:tcMar>
            <w:vAlign w:val="center"/>
          </w:tcPr>
          <w:p w14:paraId="726FB843" w14:textId="77777777" w:rsidR="007D26EC" w:rsidRDefault="001933A3">
            <w:pPr>
              <w:pStyle w:val="tablas"/>
            </w:pPr>
            <w:r>
              <w:rPr>
                <w:color w:val="000000"/>
                <w:sz w:val="16"/>
              </w:rPr>
              <w:t>109</w:t>
            </w:r>
          </w:p>
        </w:tc>
      </w:tr>
      <w:tr w:rsidR="007D26EC" w14:paraId="63D372E8" w14:textId="77777777" w:rsidTr="006F3AF2">
        <w:tc>
          <w:tcPr>
            <w:tcW w:w="3000" w:type="dxa"/>
            <w:tcMar>
              <w:top w:w="70" w:type="dxa"/>
              <w:left w:w="90" w:type="dxa"/>
              <w:bottom w:w="70" w:type="dxa"/>
              <w:right w:w="90" w:type="dxa"/>
            </w:tcMar>
            <w:vAlign w:val="center"/>
          </w:tcPr>
          <w:p w14:paraId="7A9FDF69" w14:textId="77777777" w:rsidR="007D26EC" w:rsidRDefault="001933A3">
            <w:pPr>
              <w:pStyle w:val="tablas"/>
              <w:jc w:val="left"/>
            </w:pPr>
            <w:r>
              <w:rPr>
                <w:color w:val="000000"/>
                <w:sz w:val="16"/>
              </w:rPr>
              <w:t>Textos narrativos</w:t>
            </w:r>
          </w:p>
        </w:tc>
        <w:tc>
          <w:tcPr>
            <w:tcW w:w="1600" w:type="dxa"/>
            <w:tcMar>
              <w:top w:w="70" w:type="dxa"/>
              <w:left w:w="90" w:type="dxa"/>
              <w:bottom w:w="70" w:type="dxa"/>
              <w:right w:w="90" w:type="dxa"/>
            </w:tcMar>
            <w:vAlign w:val="center"/>
          </w:tcPr>
          <w:p w14:paraId="624AAFFC" w14:textId="77777777" w:rsidR="007D26EC" w:rsidRDefault="001933A3">
            <w:pPr>
              <w:pStyle w:val="tablas"/>
            </w:pPr>
            <w:r>
              <w:rPr>
                <w:color w:val="000000"/>
                <w:sz w:val="16"/>
              </w:rPr>
              <w:t>98</w:t>
            </w:r>
          </w:p>
        </w:tc>
        <w:tc>
          <w:tcPr>
            <w:tcW w:w="1916" w:type="dxa"/>
            <w:tcMar>
              <w:top w:w="70" w:type="dxa"/>
              <w:left w:w="90" w:type="dxa"/>
              <w:bottom w:w="70" w:type="dxa"/>
              <w:right w:w="90" w:type="dxa"/>
            </w:tcMar>
            <w:vAlign w:val="center"/>
          </w:tcPr>
          <w:p w14:paraId="664E45AA" w14:textId="77777777" w:rsidR="007D26EC" w:rsidRDefault="001933A3">
            <w:pPr>
              <w:pStyle w:val="tablas"/>
            </w:pPr>
            <w:r>
              <w:rPr>
                <w:color w:val="000000"/>
                <w:sz w:val="16"/>
              </w:rPr>
              <w:t>27</w:t>
            </w:r>
          </w:p>
        </w:tc>
      </w:tr>
      <w:tr w:rsidR="007D26EC" w14:paraId="5703AE16" w14:textId="77777777" w:rsidTr="006F3AF2">
        <w:tc>
          <w:tcPr>
            <w:tcW w:w="3000" w:type="dxa"/>
            <w:tcMar>
              <w:top w:w="70" w:type="dxa"/>
              <w:left w:w="90" w:type="dxa"/>
              <w:bottom w:w="70" w:type="dxa"/>
              <w:right w:w="90" w:type="dxa"/>
            </w:tcMar>
            <w:vAlign w:val="center"/>
          </w:tcPr>
          <w:p w14:paraId="41EC1A8E" w14:textId="77777777" w:rsidR="007D26EC" w:rsidRDefault="001933A3">
            <w:pPr>
              <w:pStyle w:val="tablas"/>
              <w:jc w:val="left"/>
            </w:pPr>
            <w:r>
              <w:rPr>
                <w:color w:val="000000"/>
                <w:sz w:val="16"/>
              </w:rPr>
              <w:lastRenderedPageBreak/>
              <w:t>Hashtags/memes</w:t>
            </w:r>
          </w:p>
        </w:tc>
        <w:tc>
          <w:tcPr>
            <w:tcW w:w="1600" w:type="dxa"/>
            <w:tcMar>
              <w:top w:w="70" w:type="dxa"/>
              <w:left w:w="90" w:type="dxa"/>
              <w:bottom w:w="70" w:type="dxa"/>
              <w:right w:w="90" w:type="dxa"/>
            </w:tcMar>
            <w:vAlign w:val="center"/>
          </w:tcPr>
          <w:p w14:paraId="19C37F1F" w14:textId="77777777" w:rsidR="007D26EC" w:rsidRDefault="001933A3">
            <w:pPr>
              <w:pStyle w:val="tablas"/>
            </w:pPr>
            <w:r>
              <w:rPr>
                <w:color w:val="000000"/>
                <w:sz w:val="16"/>
              </w:rPr>
              <w:t>5</w:t>
            </w:r>
          </w:p>
        </w:tc>
        <w:tc>
          <w:tcPr>
            <w:tcW w:w="1916" w:type="dxa"/>
            <w:tcMar>
              <w:top w:w="70" w:type="dxa"/>
              <w:left w:w="90" w:type="dxa"/>
              <w:bottom w:w="70" w:type="dxa"/>
              <w:right w:w="90" w:type="dxa"/>
            </w:tcMar>
            <w:vAlign w:val="center"/>
          </w:tcPr>
          <w:p w14:paraId="7BF09150" w14:textId="77777777" w:rsidR="007D26EC" w:rsidRDefault="001933A3">
            <w:pPr>
              <w:pStyle w:val="tablas"/>
            </w:pPr>
            <w:r>
              <w:rPr>
                <w:color w:val="000000"/>
                <w:sz w:val="16"/>
              </w:rPr>
              <w:t>10</w:t>
            </w:r>
          </w:p>
        </w:tc>
      </w:tr>
      <w:tr w:rsidR="007D26EC" w14:paraId="46F73470" w14:textId="77777777" w:rsidTr="006F3AF2">
        <w:tc>
          <w:tcPr>
            <w:tcW w:w="3000" w:type="dxa"/>
            <w:tcMar>
              <w:top w:w="70" w:type="dxa"/>
              <w:left w:w="90" w:type="dxa"/>
              <w:bottom w:w="70" w:type="dxa"/>
              <w:right w:w="90" w:type="dxa"/>
            </w:tcMar>
            <w:vAlign w:val="center"/>
          </w:tcPr>
          <w:p w14:paraId="433A5DEE" w14:textId="77777777" w:rsidR="007D26EC" w:rsidRDefault="001933A3">
            <w:pPr>
              <w:pStyle w:val="tablas"/>
              <w:jc w:val="left"/>
            </w:pPr>
            <w:r>
              <w:rPr>
                <w:color w:val="000000"/>
                <w:sz w:val="16"/>
              </w:rPr>
              <w:t>Storytelling digital</w:t>
            </w:r>
          </w:p>
        </w:tc>
        <w:tc>
          <w:tcPr>
            <w:tcW w:w="1600" w:type="dxa"/>
            <w:tcMar>
              <w:top w:w="70" w:type="dxa"/>
              <w:left w:w="90" w:type="dxa"/>
              <w:bottom w:w="70" w:type="dxa"/>
              <w:right w:w="90" w:type="dxa"/>
            </w:tcMar>
            <w:vAlign w:val="center"/>
          </w:tcPr>
          <w:p w14:paraId="3132486E" w14:textId="77777777" w:rsidR="007D26EC" w:rsidRDefault="001933A3">
            <w:pPr>
              <w:pStyle w:val="tablas"/>
            </w:pPr>
            <w:r>
              <w:rPr>
                <w:color w:val="000000"/>
                <w:sz w:val="16"/>
              </w:rPr>
              <w:t>150</w:t>
            </w:r>
          </w:p>
        </w:tc>
        <w:tc>
          <w:tcPr>
            <w:tcW w:w="1916" w:type="dxa"/>
            <w:tcMar>
              <w:top w:w="70" w:type="dxa"/>
              <w:left w:w="90" w:type="dxa"/>
              <w:bottom w:w="70" w:type="dxa"/>
              <w:right w:w="90" w:type="dxa"/>
            </w:tcMar>
            <w:vAlign w:val="center"/>
          </w:tcPr>
          <w:p w14:paraId="71117D0C" w14:textId="77777777" w:rsidR="007D26EC" w:rsidRDefault="001933A3">
            <w:pPr>
              <w:pStyle w:val="tablas"/>
            </w:pPr>
            <w:r>
              <w:rPr>
                <w:color w:val="000000"/>
                <w:sz w:val="16"/>
              </w:rPr>
              <w:t>107</w:t>
            </w:r>
          </w:p>
        </w:tc>
      </w:tr>
    </w:tbl>
    <w:p w14:paraId="14A388ED" w14:textId="5AF88884" w:rsidR="007D26EC" w:rsidRDefault="001933A3">
      <w:pPr>
        <w:pStyle w:val="Fuente"/>
      </w:pPr>
      <w:r>
        <w:rPr>
          <w:color w:val="000000"/>
        </w:rPr>
        <w:t xml:space="preserve">Fuente: elaboración propia </w:t>
      </w:r>
    </w:p>
    <w:p w14:paraId="60C8B693" w14:textId="77777777" w:rsidR="007D26EC" w:rsidRPr="0038462B" w:rsidRDefault="001933A3" w:rsidP="0038462B">
      <w:pPr>
        <w:pStyle w:val="Figuras"/>
        <w:keepNext/>
        <w:spacing w:after="0"/>
      </w:pPr>
      <w:r>
        <w:rPr>
          <w:b/>
          <w:color w:val="000000"/>
        </w:rPr>
        <w:t xml:space="preserve">TABLA 4. </w:t>
      </w:r>
      <w:r w:rsidRPr="0038462B">
        <w:rPr>
          <w:color w:val="000000"/>
        </w:rPr>
        <w:t>Interacciones acumuladas del contenido observado</w:t>
      </w:r>
    </w:p>
    <w:tbl>
      <w:tblPr>
        <w:tblStyle w:val="Tablaconcuadrcula"/>
        <w:tblW w:w="6516" w:type="dxa"/>
        <w:tblLayout w:type="fixed"/>
        <w:tblLook w:val="04A0" w:firstRow="1" w:lastRow="0" w:firstColumn="1" w:lastColumn="0" w:noHBand="0" w:noVBand="1"/>
      </w:tblPr>
      <w:tblGrid>
        <w:gridCol w:w="3000"/>
        <w:gridCol w:w="1815"/>
        <w:gridCol w:w="1701"/>
      </w:tblGrid>
      <w:tr w:rsidR="007D26EC" w14:paraId="531500FE" w14:textId="77777777" w:rsidTr="0038462B">
        <w:trPr>
          <w:tblHeader/>
        </w:trPr>
        <w:tc>
          <w:tcPr>
            <w:tcW w:w="3000" w:type="dxa"/>
            <w:tcMar>
              <w:top w:w="70" w:type="dxa"/>
              <w:left w:w="90" w:type="dxa"/>
              <w:bottom w:w="70" w:type="dxa"/>
              <w:right w:w="90" w:type="dxa"/>
            </w:tcMar>
            <w:vAlign w:val="center"/>
          </w:tcPr>
          <w:p w14:paraId="0F111460" w14:textId="77777777" w:rsidR="007D26EC" w:rsidRDefault="001933A3">
            <w:pPr>
              <w:pStyle w:val="tablas"/>
            </w:pPr>
            <w:r>
              <w:rPr>
                <w:b/>
                <w:color w:val="000000"/>
                <w:sz w:val="16"/>
              </w:rPr>
              <w:t>Indicador</w:t>
            </w:r>
          </w:p>
        </w:tc>
        <w:tc>
          <w:tcPr>
            <w:tcW w:w="1815" w:type="dxa"/>
            <w:tcMar>
              <w:top w:w="70" w:type="dxa"/>
              <w:left w:w="90" w:type="dxa"/>
              <w:bottom w:w="70" w:type="dxa"/>
              <w:right w:w="90" w:type="dxa"/>
            </w:tcMar>
            <w:vAlign w:val="center"/>
          </w:tcPr>
          <w:p w14:paraId="1D475ABA" w14:textId="77777777" w:rsidR="007D26EC" w:rsidRDefault="001933A3">
            <w:pPr>
              <w:pStyle w:val="tablas"/>
            </w:pPr>
            <w:r>
              <w:rPr>
                <w:b/>
                <w:color w:val="000000"/>
                <w:sz w:val="16"/>
              </w:rPr>
              <w:t>Luisa González</w:t>
            </w:r>
          </w:p>
        </w:tc>
        <w:tc>
          <w:tcPr>
            <w:tcW w:w="1701" w:type="dxa"/>
            <w:tcMar>
              <w:top w:w="70" w:type="dxa"/>
              <w:left w:w="90" w:type="dxa"/>
              <w:bottom w:w="70" w:type="dxa"/>
              <w:right w:w="90" w:type="dxa"/>
            </w:tcMar>
            <w:vAlign w:val="center"/>
          </w:tcPr>
          <w:p w14:paraId="55705FB8" w14:textId="77777777" w:rsidR="007D26EC" w:rsidRDefault="001933A3">
            <w:pPr>
              <w:pStyle w:val="tablas"/>
            </w:pPr>
            <w:r>
              <w:rPr>
                <w:b/>
                <w:color w:val="000000"/>
                <w:sz w:val="16"/>
              </w:rPr>
              <w:t>Daniel Noboa</w:t>
            </w:r>
          </w:p>
        </w:tc>
      </w:tr>
      <w:tr w:rsidR="007D26EC" w14:paraId="115DBBCF" w14:textId="77777777" w:rsidTr="0038462B">
        <w:tc>
          <w:tcPr>
            <w:tcW w:w="3000" w:type="dxa"/>
            <w:tcMar>
              <w:top w:w="70" w:type="dxa"/>
              <w:left w:w="90" w:type="dxa"/>
              <w:bottom w:w="70" w:type="dxa"/>
              <w:right w:w="90" w:type="dxa"/>
            </w:tcMar>
            <w:vAlign w:val="center"/>
          </w:tcPr>
          <w:p w14:paraId="67D3E05F" w14:textId="77777777" w:rsidR="007D26EC" w:rsidRDefault="001933A3">
            <w:pPr>
              <w:pStyle w:val="tablas"/>
              <w:jc w:val="left"/>
            </w:pPr>
            <w:r>
              <w:rPr>
                <w:color w:val="000000"/>
                <w:sz w:val="16"/>
              </w:rPr>
              <w:t>Comentarios y respuestas</w:t>
            </w:r>
          </w:p>
        </w:tc>
        <w:tc>
          <w:tcPr>
            <w:tcW w:w="1815" w:type="dxa"/>
            <w:tcMar>
              <w:top w:w="70" w:type="dxa"/>
              <w:left w:w="90" w:type="dxa"/>
              <w:bottom w:w="70" w:type="dxa"/>
              <w:right w:w="90" w:type="dxa"/>
            </w:tcMar>
            <w:vAlign w:val="center"/>
          </w:tcPr>
          <w:p w14:paraId="46537D05" w14:textId="77777777" w:rsidR="007D26EC" w:rsidRDefault="001933A3">
            <w:pPr>
              <w:pStyle w:val="tablas"/>
            </w:pPr>
            <w:r>
              <w:rPr>
                <w:color w:val="000000"/>
                <w:sz w:val="16"/>
              </w:rPr>
              <w:t>246.834</w:t>
            </w:r>
          </w:p>
        </w:tc>
        <w:tc>
          <w:tcPr>
            <w:tcW w:w="1701" w:type="dxa"/>
            <w:tcMar>
              <w:top w:w="70" w:type="dxa"/>
              <w:left w:w="90" w:type="dxa"/>
              <w:bottom w:w="70" w:type="dxa"/>
              <w:right w:w="90" w:type="dxa"/>
            </w:tcMar>
            <w:vAlign w:val="center"/>
          </w:tcPr>
          <w:p w14:paraId="0BF000DC" w14:textId="77777777" w:rsidR="007D26EC" w:rsidRDefault="001933A3">
            <w:pPr>
              <w:pStyle w:val="tablas"/>
            </w:pPr>
            <w:r>
              <w:rPr>
                <w:color w:val="000000"/>
                <w:sz w:val="16"/>
              </w:rPr>
              <w:t>898.600</w:t>
            </w:r>
          </w:p>
        </w:tc>
      </w:tr>
      <w:tr w:rsidR="007D26EC" w14:paraId="591B84C8" w14:textId="77777777" w:rsidTr="0038462B">
        <w:tc>
          <w:tcPr>
            <w:tcW w:w="3000" w:type="dxa"/>
            <w:tcMar>
              <w:top w:w="70" w:type="dxa"/>
              <w:left w:w="90" w:type="dxa"/>
              <w:bottom w:w="70" w:type="dxa"/>
              <w:right w:w="90" w:type="dxa"/>
            </w:tcMar>
            <w:vAlign w:val="center"/>
          </w:tcPr>
          <w:p w14:paraId="53FABD67" w14:textId="77777777" w:rsidR="007D26EC" w:rsidRDefault="001933A3">
            <w:pPr>
              <w:pStyle w:val="tablas"/>
              <w:jc w:val="left"/>
            </w:pPr>
            <w:r>
              <w:rPr>
                <w:color w:val="000000"/>
                <w:sz w:val="16"/>
              </w:rPr>
              <w:t>Compartidos</w:t>
            </w:r>
          </w:p>
        </w:tc>
        <w:tc>
          <w:tcPr>
            <w:tcW w:w="1815" w:type="dxa"/>
            <w:tcMar>
              <w:top w:w="70" w:type="dxa"/>
              <w:left w:w="90" w:type="dxa"/>
              <w:bottom w:w="70" w:type="dxa"/>
              <w:right w:w="90" w:type="dxa"/>
            </w:tcMar>
            <w:vAlign w:val="center"/>
          </w:tcPr>
          <w:p w14:paraId="55410404" w14:textId="77777777" w:rsidR="007D26EC" w:rsidRDefault="001933A3">
            <w:pPr>
              <w:pStyle w:val="tablas"/>
            </w:pPr>
            <w:r>
              <w:rPr>
                <w:color w:val="000000"/>
                <w:sz w:val="16"/>
              </w:rPr>
              <w:t>404.341</w:t>
            </w:r>
          </w:p>
        </w:tc>
        <w:tc>
          <w:tcPr>
            <w:tcW w:w="1701" w:type="dxa"/>
            <w:tcMar>
              <w:top w:w="70" w:type="dxa"/>
              <w:left w:w="90" w:type="dxa"/>
              <w:bottom w:w="70" w:type="dxa"/>
              <w:right w:w="90" w:type="dxa"/>
            </w:tcMar>
            <w:vAlign w:val="center"/>
          </w:tcPr>
          <w:p w14:paraId="3A43E100" w14:textId="77777777" w:rsidR="007D26EC" w:rsidRDefault="001933A3">
            <w:pPr>
              <w:pStyle w:val="tablas"/>
            </w:pPr>
            <w:r>
              <w:rPr>
                <w:color w:val="000000"/>
                <w:sz w:val="16"/>
              </w:rPr>
              <w:t>370.811</w:t>
            </w:r>
          </w:p>
        </w:tc>
      </w:tr>
      <w:tr w:rsidR="007D26EC" w14:paraId="2A80354D" w14:textId="77777777" w:rsidTr="0038462B">
        <w:tc>
          <w:tcPr>
            <w:tcW w:w="3000" w:type="dxa"/>
            <w:tcMar>
              <w:top w:w="70" w:type="dxa"/>
              <w:left w:w="90" w:type="dxa"/>
              <w:bottom w:w="70" w:type="dxa"/>
              <w:right w:w="90" w:type="dxa"/>
            </w:tcMar>
            <w:vAlign w:val="center"/>
          </w:tcPr>
          <w:p w14:paraId="0FC1C6F3" w14:textId="77777777" w:rsidR="007D26EC" w:rsidRDefault="001933A3">
            <w:pPr>
              <w:pStyle w:val="tablas"/>
              <w:jc w:val="left"/>
            </w:pPr>
            <w:r>
              <w:rPr>
                <w:color w:val="000000"/>
                <w:sz w:val="16"/>
              </w:rPr>
              <w:t>Reacciones</w:t>
            </w:r>
          </w:p>
        </w:tc>
        <w:tc>
          <w:tcPr>
            <w:tcW w:w="1815" w:type="dxa"/>
            <w:tcMar>
              <w:top w:w="70" w:type="dxa"/>
              <w:left w:w="90" w:type="dxa"/>
              <w:bottom w:w="70" w:type="dxa"/>
              <w:right w:w="90" w:type="dxa"/>
            </w:tcMar>
            <w:vAlign w:val="center"/>
          </w:tcPr>
          <w:p w14:paraId="17FA0709" w14:textId="77777777" w:rsidR="007D26EC" w:rsidRDefault="001933A3">
            <w:pPr>
              <w:pStyle w:val="tablas"/>
            </w:pPr>
            <w:r>
              <w:rPr>
                <w:color w:val="000000"/>
                <w:sz w:val="16"/>
              </w:rPr>
              <w:t>3.347.508</w:t>
            </w:r>
          </w:p>
        </w:tc>
        <w:tc>
          <w:tcPr>
            <w:tcW w:w="1701" w:type="dxa"/>
            <w:tcMar>
              <w:top w:w="70" w:type="dxa"/>
              <w:left w:w="90" w:type="dxa"/>
              <w:bottom w:w="70" w:type="dxa"/>
              <w:right w:w="90" w:type="dxa"/>
            </w:tcMar>
            <w:vAlign w:val="center"/>
          </w:tcPr>
          <w:p w14:paraId="6DECA4EE" w14:textId="77777777" w:rsidR="007D26EC" w:rsidRDefault="001933A3">
            <w:pPr>
              <w:pStyle w:val="tablas"/>
            </w:pPr>
            <w:r>
              <w:rPr>
                <w:color w:val="000000"/>
                <w:sz w:val="16"/>
              </w:rPr>
              <w:t>6.315.700</w:t>
            </w:r>
          </w:p>
        </w:tc>
      </w:tr>
      <w:tr w:rsidR="007D26EC" w14:paraId="508D54C4" w14:textId="77777777" w:rsidTr="0038462B">
        <w:tc>
          <w:tcPr>
            <w:tcW w:w="3000" w:type="dxa"/>
            <w:tcMar>
              <w:top w:w="70" w:type="dxa"/>
              <w:left w:w="90" w:type="dxa"/>
              <w:bottom w:w="70" w:type="dxa"/>
              <w:right w:w="90" w:type="dxa"/>
            </w:tcMar>
            <w:vAlign w:val="center"/>
          </w:tcPr>
          <w:p w14:paraId="138981C0" w14:textId="77777777" w:rsidR="007D26EC" w:rsidRDefault="001933A3">
            <w:pPr>
              <w:pStyle w:val="tablas"/>
              <w:jc w:val="left"/>
            </w:pPr>
            <w:r>
              <w:rPr>
                <w:color w:val="000000"/>
                <w:sz w:val="16"/>
              </w:rPr>
              <w:t>Visualizaciones</w:t>
            </w:r>
          </w:p>
        </w:tc>
        <w:tc>
          <w:tcPr>
            <w:tcW w:w="1815" w:type="dxa"/>
            <w:tcMar>
              <w:top w:w="70" w:type="dxa"/>
              <w:left w:w="90" w:type="dxa"/>
              <w:bottom w:w="70" w:type="dxa"/>
              <w:right w:w="90" w:type="dxa"/>
            </w:tcMar>
            <w:vAlign w:val="center"/>
          </w:tcPr>
          <w:p w14:paraId="1D434DC3" w14:textId="77777777" w:rsidR="007D26EC" w:rsidRDefault="001933A3">
            <w:pPr>
              <w:pStyle w:val="tablas"/>
            </w:pPr>
            <w:r>
              <w:rPr>
                <w:color w:val="000000"/>
                <w:sz w:val="16"/>
              </w:rPr>
              <w:t>4.128.508</w:t>
            </w:r>
          </w:p>
        </w:tc>
        <w:tc>
          <w:tcPr>
            <w:tcW w:w="1701" w:type="dxa"/>
            <w:tcMar>
              <w:top w:w="70" w:type="dxa"/>
              <w:left w:w="90" w:type="dxa"/>
              <w:bottom w:w="70" w:type="dxa"/>
              <w:right w:w="90" w:type="dxa"/>
            </w:tcMar>
            <w:vAlign w:val="center"/>
          </w:tcPr>
          <w:p w14:paraId="3A0AEF5B" w14:textId="77777777" w:rsidR="007D26EC" w:rsidRDefault="001933A3">
            <w:pPr>
              <w:pStyle w:val="tablas"/>
            </w:pPr>
            <w:r>
              <w:rPr>
                <w:color w:val="000000"/>
                <w:sz w:val="16"/>
              </w:rPr>
              <w:t>9.120.340</w:t>
            </w:r>
          </w:p>
        </w:tc>
      </w:tr>
    </w:tbl>
    <w:p w14:paraId="58F9D3D2" w14:textId="33746867" w:rsidR="007D26EC" w:rsidRDefault="001933A3">
      <w:pPr>
        <w:pStyle w:val="Fuente"/>
      </w:pPr>
      <w:r>
        <w:rPr>
          <w:color w:val="000000"/>
        </w:rPr>
        <w:t xml:space="preserve">Fuente: elaboración propia </w:t>
      </w:r>
    </w:p>
    <w:p w14:paraId="033FF95B" w14:textId="7C4FD100" w:rsidR="007D26EC" w:rsidRDefault="00795066">
      <w:pPr>
        <w:pStyle w:val="Ttulo1"/>
        <w:rPr>
          <w:color w:val="000000"/>
        </w:rPr>
      </w:pPr>
      <w:r>
        <w:rPr>
          <w:color w:val="000000"/>
        </w:rPr>
        <w:t>5</w:t>
      </w:r>
      <w:r w:rsidR="001933A3">
        <w:rPr>
          <w:color w:val="000000"/>
        </w:rPr>
        <w:t>. Discusión</w:t>
      </w:r>
    </w:p>
    <w:p w14:paraId="5A2E76E3" w14:textId="77777777" w:rsidR="00921E36" w:rsidRPr="00921E36" w:rsidRDefault="00921E36"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 xml:space="preserve">La triangulación evidencia una coincidencia entre las tres fuentes analizadas: los jóvenes valoran la adaptación de lenguajes y formatos, los especialistas la consideran necesaria y ambas candidaturas la aplicaron en sus estrategias digitales. El 84,0 % de valoración favorable hacia los contenidos multimedia se corresponde con el uso observado de videos, imágenes, </w:t>
      </w:r>
      <w:proofErr w:type="spellStart"/>
      <w:r w:rsidRPr="00921E36">
        <w:rPr>
          <w:rFonts w:eastAsiaTheme="minorHAnsi" w:cstheme="minorBidi"/>
          <w:color w:val="000000"/>
          <w:spacing w:val="1"/>
          <w:sz w:val="23"/>
          <w:szCs w:val="22"/>
          <w:lang w:val="es-ES" w:eastAsia="en-US"/>
          <w14:numForm w14:val="oldStyle"/>
        </w:rPr>
        <w:t>storytelling</w:t>
      </w:r>
      <w:proofErr w:type="spellEnd"/>
      <w:r w:rsidRPr="00921E36">
        <w:rPr>
          <w:rFonts w:eastAsiaTheme="minorHAnsi" w:cstheme="minorBidi"/>
          <w:color w:val="000000"/>
          <w:spacing w:val="1"/>
          <w:sz w:val="23"/>
          <w:szCs w:val="22"/>
          <w:lang w:val="es-ES" w:eastAsia="en-US"/>
          <w14:numForm w14:val="oldStyle"/>
        </w:rPr>
        <w:t>, hashtags y memes, lo que confirma que la comunicación política se desarrolla dentro de una cultura de convergencia (Jenkins, 2006).</w:t>
      </w:r>
    </w:p>
    <w:p w14:paraId="4393CD3D" w14:textId="77777777" w:rsidR="00921E36" w:rsidRPr="00921E36" w:rsidRDefault="00921E36"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 xml:space="preserve">Un hallazgo relevante es que la efectividad no depende únicamente de la cantidad de publicaciones, sino de su adaptación a las plataformas y audiencias. Daniel Noboa registró menos publicaciones, pero alcanzó mayores visualizaciones, reacciones y comentarios, posiblemente favorecido por su presencia previa en TikTok e Instagram y el empleo de contenidos breves y de entretenimiento. Sin embargo, estos resultados también pueden estar relacionados con factores como el tamaño de las comunidades digitales, la pauta, la coyuntura y el posicionamiento político del candidato. Por su parte, Luisa González presentó una mayor producción de contenidos, principalmente informativos, políticos y sociales, y destacó en contenidos compartidos. Esto demuestra que la frecuencia contribuye a mantener presencia, pero la eficacia transmedia </w:t>
      </w:r>
      <w:r w:rsidRPr="00921E36">
        <w:rPr>
          <w:rFonts w:eastAsiaTheme="minorHAnsi" w:cstheme="minorBidi"/>
          <w:color w:val="000000"/>
          <w:spacing w:val="1"/>
          <w:sz w:val="23"/>
          <w:szCs w:val="22"/>
          <w:lang w:val="es-ES" w:eastAsia="en-US"/>
          <w14:numForm w14:val="oldStyle"/>
        </w:rPr>
        <w:lastRenderedPageBreak/>
        <w:t>requiere además adaptar los formatos y asignar funciones específicas a cada plataforma.</w:t>
      </w:r>
    </w:p>
    <w:p w14:paraId="183570C8" w14:textId="77777777" w:rsidR="00921E36" w:rsidRPr="00921E36" w:rsidRDefault="00921E36"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 xml:space="preserve">No obstante, se identificó una limitada conexión entre plataformas. Aunque existieron diversidad de formatos, adaptación y continuidad narrativa, fueron escasos los llamados cruzados y las evidencias de </w:t>
      </w:r>
      <w:proofErr w:type="spellStart"/>
      <w:r w:rsidRPr="00921E36">
        <w:rPr>
          <w:rFonts w:eastAsiaTheme="minorHAnsi" w:cstheme="minorBidi"/>
          <w:color w:val="000000"/>
          <w:spacing w:val="1"/>
          <w:sz w:val="23"/>
          <w:szCs w:val="22"/>
          <w:lang w:val="es-ES" w:eastAsia="en-US"/>
          <w14:numForm w14:val="oldStyle"/>
        </w:rPr>
        <w:t>cocreación</w:t>
      </w:r>
      <w:proofErr w:type="spellEnd"/>
      <w:r w:rsidRPr="00921E36">
        <w:rPr>
          <w:rFonts w:eastAsiaTheme="minorHAnsi" w:cstheme="minorBidi"/>
          <w:color w:val="000000"/>
          <w:spacing w:val="1"/>
          <w:sz w:val="23"/>
          <w:szCs w:val="22"/>
          <w:lang w:val="es-ES" w:eastAsia="en-US"/>
          <w14:numForm w14:val="oldStyle"/>
        </w:rPr>
        <w:t xml:space="preserve"> ciudadana. Por ello, las campañas pueden considerarse experiencias transmedia parciales, pues una estrategia plenamente desarrollada requiere que las plataformas aporten componentes complementarios y faciliten el tránsito de las audiencias entre ellos.</w:t>
      </w:r>
    </w:p>
    <w:p w14:paraId="55347768" w14:textId="77777777" w:rsidR="00921E36" w:rsidRPr="00921E36" w:rsidRDefault="00921E36"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 xml:space="preserve">Esta adaptación se relaciona con las percepciones juveniles: el 82,0 % consideró que las narrativas facilitan la comprensión de las propuestas y el 82,7 % señaló que hacen las campañas más cercanas. Estos resultados coinciden con Azurmendi (2018), quien destaca la capacidad de la </w:t>
      </w:r>
      <w:proofErr w:type="spellStart"/>
      <w:r w:rsidRPr="00921E36">
        <w:rPr>
          <w:rFonts w:eastAsiaTheme="minorHAnsi" w:cstheme="minorBidi"/>
          <w:color w:val="000000"/>
          <w:spacing w:val="1"/>
          <w:sz w:val="23"/>
          <w:szCs w:val="22"/>
          <w:lang w:val="es-ES" w:eastAsia="en-US"/>
          <w14:numForm w14:val="oldStyle"/>
        </w:rPr>
        <w:t>transmedialidad</w:t>
      </w:r>
      <w:proofErr w:type="spellEnd"/>
      <w:r w:rsidRPr="00921E36">
        <w:rPr>
          <w:rFonts w:eastAsiaTheme="minorHAnsi" w:cstheme="minorBidi"/>
          <w:color w:val="000000"/>
          <w:spacing w:val="1"/>
          <w:sz w:val="23"/>
          <w:szCs w:val="22"/>
          <w:lang w:val="es-ES" w:eastAsia="en-US"/>
          <w14:numForm w14:val="oldStyle"/>
        </w:rPr>
        <w:t xml:space="preserve"> para conectar con públicos jóvenes, y con Enríquez Cruz y Gómez Navas (2021), quienes relacionan el </w:t>
      </w:r>
      <w:proofErr w:type="spellStart"/>
      <w:r w:rsidRPr="00921E36">
        <w:rPr>
          <w:rFonts w:eastAsiaTheme="minorHAnsi" w:cstheme="minorBidi"/>
          <w:color w:val="000000"/>
          <w:spacing w:val="1"/>
          <w:sz w:val="23"/>
          <w:szCs w:val="22"/>
          <w:lang w:val="es-ES" w:eastAsia="en-US"/>
          <w14:numForm w14:val="oldStyle"/>
        </w:rPr>
        <w:t>storytelling</w:t>
      </w:r>
      <w:proofErr w:type="spellEnd"/>
      <w:r w:rsidRPr="00921E36">
        <w:rPr>
          <w:rFonts w:eastAsiaTheme="minorHAnsi" w:cstheme="minorBidi"/>
          <w:color w:val="000000"/>
          <w:spacing w:val="1"/>
          <w:sz w:val="23"/>
          <w:szCs w:val="22"/>
          <w:lang w:val="es-ES" w:eastAsia="en-US"/>
          <w14:numForm w14:val="oldStyle"/>
        </w:rPr>
        <w:t xml:space="preserve"> con la proximidad política. Sin embargo, facilitar la comprensión no garantiza una interpretación crítica. Los formatos breves pueden simplificar contenidos, por lo que una estrategia transmedia debería articular diferentes niveles de profundidad: piezas breves para captar atención, contenidos explicativos para desarrollar propuestas y recursos ampliados que permitan verificar información.</w:t>
      </w:r>
    </w:p>
    <w:p w14:paraId="58D5A6F3" w14:textId="77777777" w:rsidR="00921E36" w:rsidRPr="00921E36" w:rsidRDefault="00921E36"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La influencia percibida sobre la decisión de voto alcanzó el 87,3 %, el porcentaje más elevado del estudio. Este resultado evidencia la importancia atribuida por los jóvenes a la comunicación política digital, pero no permite afirmar que las narrativas determinaron su voto. Debido al carácter no experimental del estudio y al muestreo por conveniencia, el resultado debe interpretarse como influencia percibida y no como relación causal, pues en la decisión electoral también intervienen factores ideológicos, políticos, sociales y económicos.</w:t>
      </w:r>
    </w:p>
    <w:p w14:paraId="17728DC6" w14:textId="77777777" w:rsidR="00921E36" w:rsidRPr="00921E36" w:rsidRDefault="00921E36"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 xml:space="preserve">Respecto a la participación, el 81,4 % consideró que las redes fomentaron su intervención en debates, encuestas o actividades, mientras que el 68,7 % afirmó que interactuar en distintas plataformas motiva una mayor participación electoral. Esta diferencia evidencia que la interacción digital no se traduce automáticamente en involucramiento político. Por ello, el </w:t>
      </w:r>
      <w:proofErr w:type="spellStart"/>
      <w:r w:rsidRPr="00921E36">
        <w:rPr>
          <w:rFonts w:eastAsiaTheme="minorHAnsi" w:cstheme="minorBidi"/>
          <w:i/>
          <w:iCs/>
          <w:color w:val="000000"/>
          <w:spacing w:val="1"/>
          <w:sz w:val="23"/>
          <w:szCs w:val="22"/>
          <w:lang w:val="es-ES" w:eastAsia="en-US"/>
          <w14:numForm w14:val="oldStyle"/>
        </w:rPr>
        <w:t>engagement</w:t>
      </w:r>
      <w:proofErr w:type="spellEnd"/>
      <w:r w:rsidRPr="00921E36">
        <w:rPr>
          <w:rFonts w:eastAsiaTheme="minorHAnsi" w:cstheme="minorBidi"/>
          <w:color w:val="000000"/>
          <w:spacing w:val="1"/>
          <w:sz w:val="23"/>
          <w:szCs w:val="22"/>
          <w:lang w:val="es-ES" w:eastAsia="en-US"/>
          <w14:numForm w14:val="oldStyle"/>
        </w:rPr>
        <w:t xml:space="preserve"> no debe equipararse con deliberación democrática: las métricas muestran atención y circulación, pero no necesariamente </w:t>
      </w:r>
      <w:r w:rsidRPr="00921E36">
        <w:rPr>
          <w:rFonts w:eastAsiaTheme="minorHAnsi" w:cstheme="minorBidi"/>
          <w:color w:val="000000"/>
          <w:spacing w:val="1"/>
          <w:sz w:val="23"/>
          <w:szCs w:val="22"/>
          <w:lang w:val="es-ES" w:eastAsia="en-US"/>
          <w14:numForm w14:val="oldStyle"/>
        </w:rPr>
        <w:lastRenderedPageBreak/>
        <w:t>la calidad de la participación. En este sentido, Posligua Quinde y Ramírez Rodríguez (2024) destacan la función de la información mediática en la toma de decisiones, mientras que Rossi (2018) advierte sobre los efectos de la exposición selectiva y las burbujas algorítmicas.</w:t>
      </w:r>
    </w:p>
    <w:p w14:paraId="20B5A213" w14:textId="77777777" w:rsidR="00921E36" w:rsidRPr="00921E36" w:rsidRDefault="00921E36"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Los especialistas también resaltaron la importancia de la autenticidad, la empatía y la conexión con las preocupaciones territoriales. En Santa Elena, una estrategia transmedia puede articular problemáticas locales con formatos complementarios, integrando la experiencia territorial con la conversación digital. De esta manera, la narrativa no sustituye las propuestas políticas, sino que contribuye a explicarlas, contextualizarlas y generar espacios de participación.</w:t>
      </w:r>
    </w:p>
    <w:p w14:paraId="73176EC4" w14:textId="77777777" w:rsidR="00921E36" w:rsidRPr="00921E36" w:rsidRDefault="00921E36"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Entre las principales limitaciones se encuentran el carácter no probabilístico de la muestra, el corto periodo de observación y la ausencia de normalización de las métricas según seguidores y número de publicaciones. Tampoco se analizó el contenido de los comentarios ni se verificaron las características de quienes interactuaron. Por ello, futuras investigaciones podrían incorporar muestras probabilísticas, diseños longitudinales, métricas normalizadas y análisis del comportamiento electoral.</w:t>
      </w:r>
    </w:p>
    <w:p w14:paraId="1D11D993" w14:textId="4A25C99F" w:rsidR="00921E36" w:rsidRPr="00921E36" w:rsidRDefault="00921E36"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En conjunto, los resultados muestran que una estrategia transmedia efectiva requiere más que presencia en múltiples plataformas: demanda planificación narrativa, conocimiento de las audiencias, adaptación de formatos, diferenciación funcional de las plataformas y evaluación de la participación más allá de las métricas de interacción. La convergencia entre encuestas, entrevistas y observación permite sostener que los formatos próximos a las prácticas de consumo juvenil favorecen la percepción de claridad, cercanía e interacción, aunque sus efectos sobre la participación y decisión electoral deben interpretarse con cautela.</w:t>
      </w:r>
    </w:p>
    <w:p w14:paraId="7B31DBFA" w14:textId="3B288CCC" w:rsidR="007D26EC" w:rsidRDefault="00795066">
      <w:pPr>
        <w:pStyle w:val="Ttulo1"/>
      </w:pPr>
      <w:r>
        <w:rPr>
          <w:color w:val="000000"/>
        </w:rPr>
        <w:t xml:space="preserve">6. </w:t>
      </w:r>
      <w:r w:rsidR="001933A3">
        <w:rPr>
          <w:color w:val="000000"/>
        </w:rPr>
        <w:t>Conclusiones</w:t>
      </w:r>
    </w:p>
    <w:p w14:paraId="1E1A7C52" w14:textId="77777777" w:rsidR="00921E36" w:rsidRPr="00921E36" w:rsidRDefault="00921E36"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 xml:space="preserve">Las narrativas transmedia constituyen una estrategia relevante para la comunicación política dirigida a jóvenes electores del cantón Santa Elena, al integrar mensajes coherentes en diversos formatos y plataformas, adaptarse a sus prácticas de consumo digital y generar oportunidades de interacción. Los resultados evidenciaron valoraciones favorables en aspectos como la comprensión de propuestas, la cercanía con </w:t>
      </w:r>
      <w:r w:rsidRPr="00921E36">
        <w:rPr>
          <w:rFonts w:eastAsiaTheme="minorHAnsi" w:cstheme="minorBidi"/>
          <w:color w:val="000000"/>
          <w:spacing w:val="1"/>
          <w:sz w:val="23"/>
          <w:szCs w:val="22"/>
          <w:lang w:val="es-ES" w:eastAsia="en-US"/>
          <w14:numForm w14:val="oldStyle"/>
        </w:rPr>
        <w:lastRenderedPageBreak/>
        <w:t>los candidatos, el uso de contenidos multimedia y la influencia percibida en la decisión de voto.</w:t>
      </w:r>
    </w:p>
    <w:p w14:paraId="792018FF" w14:textId="77777777" w:rsidR="00921E36" w:rsidRPr="00921E36" w:rsidRDefault="00921E36"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Las candidaturas presentaron estrategias diferenciadas. Luisa González priorizó un mayor volumen de publicaciones, contenidos informativos y sociales, así como diversidad de formatos; mientras que Daniel Noboa concentró una comunidad digital más amplia, recurrió en mayor proporción al entretenimiento y a recursos virales, y registró mayores niveles de visualizaciones, reacciones y comentarios. González, en cambio, obtuvo una ventaja en contenidos compartidos, lo que demuestra que la interacción digital debe analizarse mediante distintos indicadores.</w:t>
      </w:r>
    </w:p>
    <w:p w14:paraId="5F6BEC37" w14:textId="77777777" w:rsidR="00921E36" w:rsidRPr="00921E36" w:rsidRDefault="00921E36"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 xml:space="preserve">El estudio identificó un desarrollo transmedia parcial: existieron diversidad de formatos, adaptación de lenguajes y continuidad temática, pero fueron limitados los llamados entre plataformas y las posibilidades de </w:t>
      </w:r>
      <w:proofErr w:type="spellStart"/>
      <w:r w:rsidRPr="00921E36">
        <w:rPr>
          <w:rFonts w:eastAsiaTheme="minorHAnsi" w:cstheme="minorBidi"/>
          <w:color w:val="000000"/>
          <w:spacing w:val="1"/>
          <w:sz w:val="23"/>
          <w:szCs w:val="22"/>
          <w:lang w:val="es-ES" w:eastAsia="en-US"/>
          <w14:numForm w14:val="oldStyle"/>
        </w:rPr>
        <w:t>cocreación</w:t>
      </w:r>
      <w:proofErr w:type="spellEnd"/>
      <w:r w:rsidRPr="00921E36">
        <w:rPr>
          <w:rFonts w:eastAsiaTheme="minorHAnsi" w:cstheme="minorBidi"/>
          <w:color w:val="000000"/>
          <w:spacing w:val="1"/>
          <w:sz w:val="23"/>
          <w:szCs w:val="22"/>
          <w:lang w:val="es-ES" w:eastAsia="en-US"/>
          <w14:numForm w14:val="oldStyle"/>
        </w:rPr>
        <w:t>. Por ello, una estrategia transmedia efectiva debe superar la repetición de contenidos y construir recorridos complementarios entre plataformas que amplíen la información y promuevan el diálogo con las audiencias.</w:t>
      </w:r>
    </w:p>
    <w:p w14:paraId="4A51E44E" w14:textId="77777777" w:rsidR="00921E36" w:rsidRPr="00921E36" w:rsidRDefault="00921E36" w:rsidP="00921E36">
      <w:pPr>
        <w:pStyle w:val="isselectedend"/>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Los resultados no establecen una relación causal entre la exposición a contenidos y la decisión de voto, sino que reflejan percepciones de una muestra por conveniencia y patrones de interacción observados durante un periodo específico. En consecuencia, la influencia identificada debe interpretarse como percibida por los participantes y dentro de los alcances de un diseño no experimental.</w:t>
      </w:r>
    </w:p>
    <w:p w14:paraId="42B05482" w14:textId="77777777" w:rsidR="00921E36" w:rsidRPr="00921E36" w:rsidRDefault="00921E36" w:rsidP="00921E36">
      <w:pPr>
        <w:pStyle w:val="NormalWeb"/>
        <w:jc w:val="both"/>
        <w:rPr>
          <w:rFonts w:eastAsiaTheme="minorHAnsi" w:cstheme="minorBidi"/>
          <w:color w:val="000000"/>
          <w:spacing w:val="1"/>
          <w:sz w:val="23"/>
          <w:szCs w:val="22"/>
          <w:lang w:val="es-ES" w:eastAsia="en-US"/>
          <w14:numForm w14:val="oldStyle"/>
        </w:rPr>
      </w:pPr>
      <w:r w:rsidRPr="00921E36">
        <w:rPr>
          <w:rFonts w:eastAsiaTheme="minorHAnsi" w:cstheme="minorBidi"/>
          <w:color w:val="000000"/>
          <w:spacing w:val="1"/>
          <w:sz w:val="23"/>
          <w:szCs w:val="22"/>
          <w:lang w:val="es-ES" w:eastAsia="en-US"/>
          <w14:numForm w14:val="oldStyle"/>
        </w:rPr>
        <w:t>Finalmente, la comunicación política transmedia puede contribuir a una participación juvenil más informada cuando articula las dinámicas territoriales y digitales, mantiene una identidad auténtica y combina recursos creativos con argumentos, información verificable y espacios efectivos de interacción. Su valor no radica únicamente en alcanzar mayores métricas digitales, sino en generar contenidos comprensibles y oportunidades reales de participación y conversación pública.</w:t>
      </w:r>
    </w:p>
    <w:p w14:paraId="47BCF319" w14:textId="77777777" w:rsidR="00A93E3C" w:rsidRPr="00FB4AFF" w:rsidRDefault="00A93E3C">
      <w:pPr>
        <w:rPr>
          <w:color w:val="000000"/>
        </w:rPr>
      </w:pPr>
    </w:p>
    <w:p w14:paraId="5C242D6C" w14:textId="40CED52D" w:rsidR="007D26EC" w:rsidRDefault="00795066">
      <w:pPr>
        <w:pStyle w:val="Ttulo1"/>
      </w:pPr>
      <w:r>
        <w:rPr>
          <w:color w:val="000000"/>
        </w:rPr>
        <w:lastRenderedPageBreak/>
        <w:t>7</w:t>
      </w:r>
      <w:r w:rsidR="001933A3">
        <w:rPr>
          <w:color w:val="000000"/>
        </w:rPr>
        <w:t>. Referencias</w:t>
      </w:r>
    </w:p>
    <w:p w14:paraId="72EF5D33" w14:textId="77777777" w:rsidR="007D26EC" w:rsidRDefault="001933A3">
      <w:pPr>
        <w:pStyle w:val="Bibliografa"/>
        <w:keepLines/>
      </w:pPr>
      <w:r>
        <w:rPr>
          <w:color w:val="000000"/>
        </w:rPr>
        <w:t>Aliaga-Lodtmann, C. F. (2023). Ciberpolítica y líderes políticos en el Perú (2019-2020). Opinión Jurídica, 22(47), 1-33. https://doi.org/10.22395/ojum.v22n47a18</w:t>
      </w:r>
    </w:p>
    <w:p w14:paraId="63D76CFA" w14:textId="77777777" w:rsidR="007D26EC" w:rsidRDefault="001933A3">
      <w:pPr>
        <w:pStyle w:val="Bibliografa"/>
        <w:keepLines/>
      </w:pPr>
      <w:r>
        <w:rPr>
          <w:color w:val="000000"/>
        </w:rPr>
        <w:t xml:space="preserve">Altamirano-Benítez, V., Ruíz-Aguirre, P., y Baquerizo-Neira, G. (2022). </w:t>
      </w:r>
      <w:r w:rsidRPr="006F3AF2">
        <w:rPr>
          <w:color w:val="000000"/>
          <w:lang w:val="en-US"/>
        </w:rPr>
        <w:t xml:space="preserve">Policy 2.0 in Ecuador. Analysis of discourse and political communication on Facebook. </w:t>
      </w:r>
      <w:r>
        <w:rPr>
          <w:color w:val="000000"/>
        </w:rPr>
        <w:t>Revista Latina de Comunicación Social, 80, 201-223. https://doi.org/10.4185/RLCS-2022-1539</w:t>
      </w:r>
    </w:p>
    <w:p w14:paraId="5A7CB1F9" w14:textId="77777777" w:rsidR="007D26EC" w:rsidRDefault="001933A3">
      <w:pPr>
        <w:pStyle w:val="Bibliografa"/>
        <w:keepLines/>
      </w:pPr>
      <w:r>
        <w:rPr>
          <w:color w:val="000000"/>
        </w:rPr>
        <w:t xml:space="preserve">Amador-Baquiro, J. C. (2018). </w:t>
      </w:r>
      <w:r w:rsidRPr="006F3AF2">
        <w:rPr>
          <w:color w:val="000000"/>
          <w:lang w:val="en-US"/>
        </w:rPr>
        <w:t xml:space="preserve">Interactive education through transmedia narratives: Possibilities at school. </w:t>
      </w:r>
      <w:proofErr w:type="spellStart"/>
      <w:r>
        <w:rPr>
          <w:color w:val="000000"/>
        </w:rPr>
        <w:t>Magis</w:t>
      </w:r>
      <w:proofErr w:type="spellEnd"/>
      <w:r>
        <w:rPr>
          <w:color w:val="000000"/>
        </w:rPr>
        <w:t>, 10(21), 77-94. https://doi.org/10.11144/Javeriana.m10-21.eint</w:t>
      </w:r>
    </w:p>
    <w:p w14:paraId="7CC480A9" w14:textId="77777777" w:rsidR="007D26EC" w:rsidRDefault="001933A3">
      <w:pPr>
        <w:pStyle w:val="Bibliografa"/>
        <w:keepLines/>
      </w:pPr>
      <w:r>
        <w:rPr>
          <w:color w:val="000000"/>
        </w:rPr>
        <w:t xml:space="preserve">Aparici, R., y García-Marín, D. (2018). </w:t>
      </w:r>
      <w:r w:rsidRPr="006F3AF2">
        <w:rPr>
          <w:color w:val="000000"/>
          <w:lang w:val="en-US"/>
        </w:rPr>
        <w:t xml:space="preserve">Prosumers and </w:t>
      </w:r>
      <w:proofErr w:type="spellStart"/>
      <w:r w:rsidRPr="006F3AF2">
        <w:rPr>
          <w:color w:val="000000"/>
          <w:lang w:val="en-US"/>
        </w:rPr>
        <w:t>emirecs</w:t>
      </w:r>
      <w:proofErr w:type="spellEnd"/>
      <w:r w:rsidRPr="006F3AF2">
        <w:rPr>
          <w:color w:val="000000"/>
          <w:lang w:val="en-US"/>
        </w:rPr>
        <w:t xml:space="preserve">: Analysis of two confronted theories. </w:t>
      </w:r>
      <w:r>
        <w:rPr>
          <w:color w:val="000000"/>
        </w:rPr>
        <w:t>Comunicar, 26(55), 71-79. https://doi.org/10.3916/C55-2018-07</w:t>
      </w:r>
    </w:p>
    <w:p w14:paraId="1988C01E" w14:textId="77777777" w:rsidR="007D26EC" w:rsidRPr="006F3AF2" w:rsidRDefault="001933A3">
      <w:pPr>
        <w:pStyle w:val="Bibliografa"/>
        <w:keepLines/>
        <w:rPr>
          <w:lang w:val="en-US"/>
        </w:rPr>
      </w:pPr>
      <w:r>
        <w:rPr>
          <w:color w:val="000000"/>
        </w:rPr>
        <w:t xml:space="preserve">Ariza, A. (2024). Enlazando voces y votos: la narrativa como elemento clave en el proceso de representación política. </w:t>
      </w:r>
      <w:proofErr w:type="spellStart"/>
      <w:r w:rsidRPr="006F3AF2">
        <w:rPr>
          <w:color w:val="000000"/>
          <w:lang w:val="en-US"/>
        </w:rPr>
        <w:t>POSTData</w:t>
      </w:r>
      <w:proofErr w:type="spellEnd"/>
      <w:r w:rsidRPr="006F3AF2">
        <w:rPr>
          <w:color w:val="000000"/>
          <w:lang w:val="en-US"/>
        </w:rPr>
        <w:t>, 29.</w:t>
      </w:r>
    </w:p>
    <w:p w14:paraId="2E3F07F4" w14:textId="77777777" w:rsidR="007D26EC" w:rsidRDefault="001933A3">
      <w:pPr>
        <w:pStyle w:val="Bibliografa"/>
        <w:keepLines/>
      </w:pPr>
      <w:proofErr w:type="spellStart"/>
      <w:r w:rsidRPr="006F3AF2">
        <w:rPr>
          <w:color w:val="000000"/>
          <w:lang w:val="en-US"/>
        </w:rPr>
        <w:t>Azurmendi</w:t>
      </w:r>
      <w:proofErr w:type="spellEnd"/>
      <w:r w:rsidRPr="006F3AF2">
        <w:rPr>
          <w:color w:val="000000"/>
          <w:lang w:val="en-US"/>
        </w:rPr>
        <w:t xml:space="preserve">, A. (2018). Reconnecting with young audiences: Transmedia storytelling to transform public service television in Spain, France, Germany and the United Kingdom. </w:t>
      </w:r>
      <w:r>
        <w:rPr>
          <w:color w:val="000000"/>
        </w:rPr>
        <w:t>Revista Latina de Comunicación Social, 73, 927-944. https://doi.org/10.4185/RLCS-2018-1289</w:t>
      </w:r>
    </w:p>
    <w:p w14:paraId="4320F94D" w14:textId="77777777" w:rsidR="007D26EC" w:rsidRDefault="001933A3">
      <w:pPr>
        <w:pStyle w:val="Bibliografa"/>
        <w:keepLines/>
      </w:pPr>
      <w:r>
        <w:rPr>
          <w:color w:val="000000"/>
        </w:rPr>
        <w:t>Chico Frías, A. E., y Montalvo Poveda, X. E. (2019). El Modelo Newman en adolescentes y su influencia en la decisión del voto. Revista Economía y Política, 15(29), 48-66. https://doi.org/10.25097/rep.n29.2019.03</w:t>
      </w:r>
    </w:p>
    <w:p w14:paraId="6308DAC2" w14:textId="77777777" w:rsidR="007D26EC" w:rsidRDefault="001933A3">
      <w:pPr>
        <w:pStyle w:val="Bibliografa"/>
        <w:keepLines/>
      </w:pPr>
      <w:r>
        <w:rPr>
          <w:color w:val="000000"/>
        </w:rPr>
        <w:t>Covarrubias, G. C., y Lule Martínez, N. E. (2012). La observación, un método para el estudio de la realidad. Xihmai, 7(13), 45-60.</w:t>
      </w:r>
    </w:p>
    <w:p w14:paraId="262F1958" w14:textId="77777777" w:rsidR="007D26EC" w:rsidRPr="006F3AF2" w:rsidRDefault="001933A3">
      <w:pPr>
        <w:pStyle w:val="Bibliografa"/>
        <w:keepLines/>
        <w:rPr>
          <w:lang w:val="en-US"/>
        </w:rPr>
      </w:pPr>
      <w:r>
        <w:rPr>
          <w:color w:val="000000"/>
        </w:rPr>
        <w:t xml:space="preserve">Enríquez Cruz, M. J., y Gómez Navas, J. S. (2021). </w:t>
      </w:r>
      <w:r w:rsidRPr="006F3AF2">
        <w:rPr>
          <w:color w:val="000000"/>
          <w:lang w:val="en-US"/>
        </w:rPr>
        <w:t xml:space="preserve">Transmedia storytelling and political proximity in the electoral campaign of Jorge </w:t>
      </w:r>
      <w:proofErr w:type="spellStart"/>
      <w:r w:rsidRPr="006F3AF2">
        <w:rPr>
          <w:color w:val="000000"/>
          <w:lang w:val="en-US"/>
        </w:rPr>
        <w:t>Yunda</w:t>
      </w:r>
      <w:proofErr w:type="spellEnd"/>
      <w:r w:rsidRPr="006F3AF2">
        <w:rPr>
          <w:color w:val="000000"/>
          <w:lang w:val="en-US"/>
        </w:rPr>
        <w:t xml:space="preserve"> Machado, Mayor of Quito 2019. Fonseca, Journal of Communication, 22, 39-56. https://doi.org/10.14201/fjc-v22-22699</w:t>
      </w:r>
    </w:p>
    <w:p w14:paraId="77EC1CEE" w14:textId="77777777" w:rsidR="007D26EC" w:rsidRDefault="001933A3">
      <w:pPr>
        <w:pStyle w:val="Bibliografa"/>
        <w:keepLines/>
      </w:pPr>
      <w:r w:rsidRPr="006F3AF2">
        <w:rPr>
          <w:color w:val="000000"/>
          <w:lang w:val="en-US"/>
        </w:rPr>
        <w:t xml:space="preserve">Hernández </w:t>
      </w:r>
      <w:proofErr w:type="spellStart"/>
      <w:r w:rsidRPr="006F3AF2">
        <w:rPr>
          <w:color w:val="000000"/>
          <w:lang w:val="en-US"/>
        </w:rPr>
        <w:t>Sampieri</w:t>
      </w:r>
      <w:proofErr w:type="spellEnd"/>
      <w:r w:rsidRPr="006F3AF2">
        <w:rPr>
          <w:color w:val="000000"/>
          <w:lang w:val="en-US"/>
        </w:rPr>
        <w:t xml:space="preserve">, R., y Mendoza Torres, C. P. (2018). </w:t>
      </w:r>
      <w:r>
        <w:rPr>
          <w:color w:val="000000"/>
        </w:rPr>
        <w:t>Metodología de la investigación: las rutas cuantitativa, cualitativa y mixta. McGraw-Hill Education.</w:t>
      </w:r>
    </w:p>
    <w:p w14:paraId="381EE01B" w14:textId="77777777" w:rsidR="007D26EC" w:rsidRDefault="001933A3">
      <w:pPr>
        <w:pStyle w:val="Bibliografa"/>
        <w:keepLines/>
      </w:pPr>
      <w:r>
        <w:rPr>
          <w:color w:val="000000"/>
        </w:rPr>
        <w:t>Hidalgo Chica, A. E., y Laureano Cedeño, C. (2021). Comunicación política en redes sociales durante la segunda vuelta electoral de Ecuador, año 2021: análisis del uso de la red social Facebook. https://doi.org/10.5281/zenodo.5825838</w:t>
      </w:r>
    </w:p>
    <w:p w14:paraId="13883936" w14:textId="77777777" w:rsidR="007D26EC" w:rsidRDefault="001933A3">
      <w:pPr>
        <w:pStyle w:val="Bibliografa"/>
        <w:keepLines/>
      </w:pPr>
      <w:r>
        <w:rPr>
          <w:color w:val="000000"/>
        </w:rPr>
        <w:t>Jenkins, H. (2006). Convergence culture: la cultura de la convergencia de los medios de comunicación. Paidós.</w:t>
      </w:r>
    </w:p>
    <w:p w14:paraId="6C079871" w14:textId="77777777" w:rsidR="007D26EC" w:rsidRDefault="001933A3">
      <w:pPr>
        <w:pStyle w:val="Bibliografa"/>
        <w:keepLines/>
      </w:pPr>
      <w:r>
        <w:rPr>
          <w:color w:val="000000"/>
        </w:rPr>
        <w:lastRenderedPageBreak/>
        <w:t>Medina, M., Rojas, R., Bustamante, W., Loaiza, R., Martel, C., y Castillo, R. (2023). Metodología de la investigación: técnicas e instrumentos de investigación. Instituto Universitario de Innovación Ciencia y Tecnología Inudi Perú. https://doi.org/10.35622/inudi.b.080</w:t>
      </w:r>
    </w:p>
    <w:p w14:paraId="7A70205B" w14:textId="77777777" w:rsidR="007D26EC" w:rsidRDefault="001933A3">
      <w:pPr>
        <w:pStyle w:val="Bibliografa"/>
        <w:keepLines/>
      </w:pPr>
      <w:r w:rsidRPr="006F3AF2">
        <w:rPr>
          <w:color w:val="000000"/>
          <w:lang w:val="en-US"/>
        </w:rPr>
        <w:t xml:space="preserve">Moya, E. (2020). Transmedia and new politics. </w:t>
      </w:r>
      <w:proofErr w:type="spellStart"/>
      <w:r>
        <w:rPr>
          <w:color w:val="000000"/>
        </w:rPr>
        <w:t>Isegoría</w:t>
      </w:r>
      <w:proofErr w:type="spellEnd"/>
      <w:r>
        <w:rPr>
          <w:color w:val="000000"/>
        </w:rPr>
        <w:t>, 62, 55-74. https://doi.org/10.3989/ISEGORIA.2020.062.03</w:t>
      </w:r>
    </w:p>
    <w:p w14:paraId="3A964642" w14:textId="77777777" w:rsidR="007D26EC" w:rsidRDefault="001933A3">
      <w:pPr>
        <w:pStyle w:val="Bibliografa"/>
        <w:keepLines/>
      </w:pPr>
      <w:r>
        <w:rPr>
          <w:color w:val="000000"/>
        </w:rPr>
        <w:t>Parra Velasco, L. Y., y Vázquez Martínez, M. G. (2017). Muestreo probabilístico y no probabilístico. Universidad del Istmo.</w:t>
      </w:r>
    </w:p>
    <w:p w14:paraId="32122DEA" w14:textId="77777777" w:rsidR="007D26EC" w:rsidRDefault="001933A3">
      <w:pPr>
        <w:pStyle w:val="Bibliografa"/>
        <w:keepLines/>
      </w:pPr>
      <w:r>
        <w:rPr>
          <w:color w:val="000000"/>
        </w:rPr>
        <w:t>Posligua Quinde, I., y Ramírez Rodríguez, M. (2024). Comunicación política y redes sociales. La influencia en la opinión pública de la comunidad TikTok. Ñawi, 8(1), 285-300. https://doi.org/10.37785/nw.v8n1.a15</w:t>
      </w:r>
    </w:p>
    <w:p w14:paraId="7E783EF9" w14:textId="77777777" w:rsidR="007D26EC" w:rsidRDefault="001933A3">
      <w:pPr>
        <w:pStyle w:val="Bibliografa"/>
        <w:keepLines/>
      </w:pPr>
      <w:r>
        <w:rPr>
          <w:color w:val="000000"/>
        </w:rPr>
        <w:t>Quito Ulloa, M. del P., Ramírez Montesdeoca, G. G., Barnuevo, X. A., Soto, R. E., y Enríquez Fierro, C. S. (2023). Engagement en la comunicación organizacional en la difusión digital en época de pandemia en la generación Y. LATAM Revista Latinoamericana de Ciencias Sociales y Humanidades, 4(2). https://doi.org/10.56712/latam.v4i2.990</w:t>
      </w:r>
    </w:p>
    <w:p w14:paraId="6614D5E8" w14:textId="77777777" w:rsidR="007D26EC" w:rsidRDefault="001933A3">
      <w:pPr>
        <w:pStyle w:val="Bibliografa"/>
        <w:keepLines/>
      </w:pPr>
      <w:r>
        <w:rPr>
          <w:color w:val="000000"/>
        </w:rPr>
        <w:t>Ramos-Galarza, C. A. (2020). Alcances de una investigación. CienciAmérica, 9(3), 1-6. https://doi.org/10.33210/ca.v9i3.336</w:t>
      </w:r>
    </w:p>
    <w:p w14:paraId="485F246F" w14:textId="77777777" w:rsidR="007D26EC" w:rsidRDefault="001933A3">
      <w:pPr>
        <w:pStyle w:val="Bibliografa"/>
        <w:keepLines/>
      </w:pPr>
      <w:r>
        <w:rPr>
          <w:color w:val="000000"/>
        </w:rPr>
        <w:t>Rossi, A. (2018). ¿Burbujas de filtro? Hacia una fenomenología algorítmica. InMediaciones de la Comunicación, 13(1), 263-281. https://doi.org/10.18861/ic.2018.13.1.2836</w:t>
      </w:r>
    </w:p>
    <w:sectPr w:rsidR="007D26EC" w:rsidSect="00280126">
      <w:headerReference w:type="default" r:id="rId9"/>
      <w:footerReference w:type="default" r:id="rId10"/>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C1B4F" w14:textId="77777777" w:rsidR="00147541" w:rsidRDefault="00147541" w:rsidP="00EB0247">
      <w:pPr>
        <w:spacing w:after="0" w:line="240" w:lineRule="auto"/>
      </w:pPr>
      <w:r>
        <w:separator/>
      </w:r>
    </w:p>
  </w:endnote>
  <w:endnote w:type="continuationSeparator" w:id="0">
    <w:p w14:paraId="669BB12D" w14:textId="77777777" w:rsidR="00147541" w:rsidRDefault="00147541"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Sitka Small Semibold">
    <w:charset w:val="00"/>
    <w:family w:val="auto"/>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5BFD4" w14:textId="77777777" w:rsidR="007D26EC" w:rsidRDefault="007D26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A4B9A" w14:textId="77777777" w:rsidR="00147541" w:rsidRDefault="00147541" w:rsidP="00EB0247">
      <w:pPr>
        <w:spacing w:after="0" w:line="240" w:lineRule="auto"/>
      </w:pPr>
      <w:r>
        <w:separator/>
      </w:r>
    </w:p>
  </w:footnote>
  <w:footnote w:type="continuationSeparator" w:id="0">
    <w:p w14:paraId="3A346F2A" w14:textId="77777777" w:rsidR="00147541" w:rsidRDefault="00147541" w:rsidP="00EB02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1391" w14:textId="77777777" w:rsidR="007D26EC" w:rsidRDefault="007D26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3A1660"/>
    <w:multiLevelType w:val="hybridMultilevel"/>
    <w:tmpl w:val="38463B4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4252659"/>
    <w:multiLevelType w:val="hybridMultilevel"/>
    <w:tmpl w:val="DD50DEFE"/>
    <w:lvl w:ilvl="0" w:tplc="7D08FCBA">
      <w:start w:val="1"/>
      <w:numFmt w:val="bullet"/>
      <w:lvlText w:val="-"/>
      <w:lvlJc w:val="left"/>
      <w:pPr>
        <w:ind w:left="720" w:hanging="360"/>
      </w:pPr>
      <w:rPr>
        <w:rFonts w:ascii="Sitka Small Semibold" w:hAnsi="Sitka Small Semibold"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F3D48F5"/>
    <w:multiLevelType w:val="hybridMultilevel"/>
    <w:tmpl w:val="60D68CD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2"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7"/>
  </w:num>
  <w:num w:numId="14">
    <w:abstractNumId w:val="18"/>
  </w:num>
  <w:num w:numId="15">
    <w:abstractNumId w:val="19"/>
  </w:num>
  <w:num w:numId="16">
    <w:abstractNumId w:val="30"/>
  </w:num>
  <w:num w:numId="17">
    <w:abstractNumId w:val="27"/>
  </w:num>
  <w:num w:numId="18">
    <w:abstractNumId w:val="10"/>
  </w:num>
  <w:num w:numId="19">
    <w:abstractNumId w:val="26"/>
  </w:num>
  <w:num w:numId="20">
    <w:abstractNumId w:val="32"/>
  </w:num>
  <w:num w:numId="21">
    <w:abstractNumId w:val="33"/>
  </w:num>
  <w:num w:numId="22">
    <w:abstractNumId w:val="22"/>
  </w:num>
  <w:num w:numId="23">
    <w:abstractNumId w:val="33"/>
    <w:lvlOverride w:ilvl="0">
      <w:startOverride w:val="1"/>
    </w:lvlOverride>
  </w:num>
  <w:num w:numId="24">
    <w:abstractNumId w:val="33"/>
    <w:lvlOverride w:ilvl="0">
      <w:startOverride w:val="1"/>
    </w:lvlOverride>
  </w:num>
  <w:num w:numId="25">
    <w:abstractNumId w:val="12"/>
  </w:num>
  <w:num w:numId="26">
    <w:abstractNumId w:val="34"/>
  </w:num>
  <w:num w:numId="27">
    <w:abstractNumId w:val="20"/>
  </w:num>
  <w:num w:numId="28">
    <w:abstractNumId w:val="21"/>
  </w:num>
  <w:num w:numId="29">
    <w:abstractNumId w:val="24"/>
  </w:num>
  <w:num w:numId="30">
    <w:abstractNumId w:val="16"/>
  </w:num>
  <w:num w:numId="31">
    <w:abstractNumId w:val="25"/>
  </w:num>
  <w:num w:numId="32">
    <w:abstractNumId w:val="14"/>
  </w:num>
  <w:num w:numId="33">
    <w:abstractNumId w:val="28"/>
  </w:num>
  <w:num w:numId="34">
    <w:abstractNumId w:val="29"/>
  </w:num>
  <w:num w:numId="35">
    <w:abstractNumId w:val="35"/>
  </w:num>
  <w:num w:numId="36">
    <w:abstractNumId w:val="33"/>
    <w:lvlOverride w:ilvl="0">
      <w:startOverride w:val="1"/>
    </w:lvlOverride>
  </w:num>
  <w:num w:numId="37">
    <w:abstractNumId w:val="33"/>
    <w:lvlOverride w:ilvl="0">
      <w:startOverride w:val="1"/>
    </w:lvlOverride>
  </w:num>
  <w:num w:numId="38">
    <w:abstractNumId w:val="33"/>
    <w:lvlOverride w:ilvl="0">
      <w:startOverride w:val="1"/>
    </w:lvlOverride>
  </w:num>
  <w:num w:numId="39">
    <w:abstractNumId w:val="35"/>
    <w:lvlOverride w:ilvl="0">
      <w:startOverride w:val="1"/>
    </w:lvlOverride>
  </w:num>
  <w:num w:numId="40">
    <w:abstractNumId w:val="35"/>
    <w:lvlOverride w:ilvl="0">
      <w:startOverride w:val="1"/>
    </w:lvlOverride>
  </w:num>
  <w:num w:numId="41">
    <w:abstractNumId w:val="33"/>
    <w:lvlOverride w:ilvl="0">
      <w:startOverride w:val="1"/>
    </w:lvlOverride>
  </w:num>
  <w:num w:numId="42">
    <w:abstractNumId w:val="35"/>
    <w:lvlOverride w:ilvl="0">
      <w:startOverride w:val="1"/>
    </w:lvlOverride>
  </w:num>
  <w:num w:numId="43">
    <w:abstractNumId w:val="33"/>
    <w:lvlOverride w:ilvl="0">
      <w:startOverride w:val="1"/>
    </w:lvlOverride>
  </w:num>
  <w:num w:numId="44">
    <w:abstractNumId w:val="35"/>
    <w:lvlOverride w:ilvl="0">
      <w:startOverride w:val="1"/>
    </w:lvlOverride>
  </w:num>
  <w:num w:numId="45">
    <w:abstractNumId w:val="23"/>
  </w:num>
  <w:num w:numId="46">
    <w:abstractNumId w:val="31"/>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97EEF"/>
    <w:rsid w:val="000C4B8E"/>
    <w:rsid w:val="000C5EDB"/>
    <w:rsid w:val="001348A0"/>
    <w:rsid w:val="00140844"/>
    <w:rsid w:val="001468AC"/>
    <w:rsid w:val="00147541"/>
    <w:rsid w:val="0015066B"/>
    <w:rsid w:val="00156F2B"/>
    <w:rsid w:val="00182667"/>
    <w:rsid w:val="00185A00"/>
    <w:rsid w:val="0018654D"/>
    <w:rsid w:val="001933A3"/>
    <w:rsid w:val="001950D8"/>
    <w:rsid w:val="00197D57"/>
    <w:rsid w:val="001A7AD8"/>
    <w:rsid w:val="00242EFB"/>
    <w:rsid w:val="002433EC"/>
    <w:rsid w:val="00254F0F"/>
    <w:rsid w:val="002626E7"/>
    <w:rsid w:val="00280126"/>
    <w:rsid w:val="00281564"/>
    <w:rsid w:val="00285B53"/>
    <w:rsid w:val="002A43CD"/>
    <w:rsid w:val="002C5703"/>
    <w:rsid w:val="002C6B42"/>
    <w:rsid w:val="002D23FB"/>
    <w:rsid w:val="002D268C"/>
    <w:rsid w:val="002F3733"/>
    <w:rsid w:val="003512A0"/>
    <w:rsid w:val="00375999"/>
    <w:rsid w:val="0038462B"/>
    <w:rsid w:val="0039591A"/>
    <w:rsid w:val="003C4D9F"/>
    <w:rsid w:val="003E66FB"/>
    <w:rsid w:val="00422CDA"/>
    <w:rsid w:val="004307D4"/>
    <w:rsid w:val="00437ED3"/>
    <w:rsid w:val="0044345A"/>
    <w:rsid w:val="00477173"/>
    <w:rsid w:val="004819D7"/>
    <w:rsid w:val="004842F0"/>
    <w:rsid w:val="00484413"/>
    <w:rsid w:val="00493A17"/>
    <w:rsid w:val="004C0202"/>
    <w:rsid w:val="004D0180"/>
    <w:rsid w:val="005335DF"/>
    <w:rsid w:val="005417EB"/>
    <w:rsid w:val="005430EA"/>
    <w:rsid w:val="00584BB4"/>
    <w:rsid w:val="005A43E3"/>
    <w:rsid w:val="005A4AFE"/>
    <w:rsid w:val="005A6174"/>
    <w:rsid w:val="00607EE3"/>
    <w:rsid w:val="006131F7"/>
    <w:rsid w:val="00675757"/>
    <w:rsid w:val="00680332"/>
    <w:rsid w:val="00681364"/>
    <w:rsid w:val="0068745E"/>
    <w:rsid w:val="006B7745"/>
    <w:rsid w:val="006F3AF2"/>
    <w:rsid w:val="00714CBD"/>
    <w:rsid w:val="00721EBE"/>
    <w:rsid w:val="00742AC5"/>
    <w:rsid w:val="007701F1"/>
    <w:rsid w:val="00792960"/>
    <w:rsid w:val="00795066"/>
    <w:rsid w:val="007A0F17"/>
    <w:rsid w:val="007D26EC"/>
    <w:rsid w:val="007E4E94"/>
    <w:rsid w:val="007F0944"/>
    <w:rsid w:val="008238DE"/>
    <w:rsid w:val="00863A4D"/>
    <w:rsid w:val="008A4085"/>
    <w:rsid w:val="008A483F"/>
    <w:rsid w:val="008B6A98"/>
    <w:rsid w:val="008C1056"/>
    <w:rsid w:val="008C2B2C"/>
    <w:rsid w:val="008F1330"/>
    <w:rsid w:val="008F3F8E"/>
    <w:rsid w:val="00901910"/>
    <w:rsid w:val="0091337D"/>
    <w:rsid w:val="009171C1"/>
    <w:rsid w:val="00920563"/>
    <w:rsid w:val="00921E36"/>
    <w:rsid w:val="0093429F"/>
    <w:rsid w:val="009477E3"/>
    <w:rsid w:val="00962592"/>
    <w:rsid w:val="009847F6"/>
    <w:rsid w:val="009A336B"/>
    <w:rsid w:val="009B1FA7"/>
    <w:rsid w:val="009C0DFA"/>
    <w:rsid w:val="009C304F"/>
    <w:rsid w:val="009C657C"/>
    <w:rsid w:val="009D0814"/>
    <w:rsid w:val="009D4514"/>
    <w:rsid w:val="009E664A"/>
    <w:rsid w:val="009F5F74"/>
    <w:rsid w:val="00A206F1"/>
    <w:rsid w:val="00A8553F"/>
    <w:rsid w:val="00A93E3C"/>
    <w:rsid w:val="00B0717D"/>
    <w:rsid w:val="00B57A4E"/>
    <w:rsid w:val="00B60DF4"/>
    <w:rsid w:val="00BA4EA8"/>
    <w:rsid w:val="00BA4FD5"/>
    <w:rsid w:val="00BB38AC"/>
    <w:rsid w:val="00BD7178"/>
    <w:rsid w:val="00BE3D2B"/>
    <w:rsid w:val="00BE5F2C"/>
    <w:rsid w:val="00BF45D1"/>
    <w:rsid w:val="00BF50C0"/>
    <w:rsid w:val="00C21F8C"/>
    <w:rsid w:val="00C302E3"/>
    <w:rsid w:val="00C30BA1"/>
    <w:rsid w:val="00C45F7D"/>
    <w:rsid w:val="00C930F7"/>
    <w:rsid w:val="00CA0400"/>
    <w:rsid w:val="00CC095F"/>
    <w:rsid w:val="00CC152D"/>
    <w:rsid w:val="00CD0091"/>
    <w:rsid w:val="00CE0F4B"/>
    <w:rsid w:val="00D0381D"/>
    <w:rsid w:val="00D05D1F"/>
    <w:rsid w:val="00D21AD9"/>
    <w:rsid w:val="00D3698C"/>
    <w:rsid w:val="00D36F76"/>
    <w:rsid w:val="00D47BD3"/>
    <w:rsid w:val="00D86CAA"/>
    <w:rsid w:val="00DA0BED"/>
    <w:rsid w:val="00DC3839"/>
    <w:rsid w:val="00DC5E7D"/>
    <w:rsid w:val="00DE0B74"/>
    <w:rsid w:val="00DF1B76"/>
    <w:rsid w:val="00E04357"/>
    <w:rsid w:val="00E05E1A"/>
    <w:rsid w:val="00E06000"/>
    <w:rsid w:val="00E649D6"/>
    <w:rsid w:val="00EB0247"/>
    <w:rsid w:val="00EC01A5"/>
    <w:rsid w:val="00F60611"/>
    <w:rsid w:val="00F6387D"/>
    <w:rsid w:val="00F63B01"/>
    <w:rsid w:val="00F66726"/>
    <w:rsid w:val="00FA51E8"/>
    <w:rsid w:val="00FA7CDE"/>
    <w:rsid w:val="00FB4A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E6DBD"/>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spacing w:after="160"/>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34"/>
    <w:qFormat/>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customStyle="1" w:styleId="isselectedend">
    <w:name w:val="isselectedend"/>
    <w:basedOn w:val="Normal"/>
    <w:rsid w:val="00A93E3C"/>
    <w:pPr>
      <w:spacing w:before="100" w:beforeAutospacing="1" w:after="100" w:afterAutospacing="1" w:line="240" w:lineRule="auto"/>
      <w:jc w:val="left"/>
    </w:pPr>
    <w:rPr>
      <w:rFonts w:eastAsia="Times New Roman" w:cs="Times New Roman"/>
      <w:spacing w:val="0"/>
      <w:sz w:val="24"/>
      <w:szCs w:val="24"/>
      <w:lang w:val="es-EC" w:eastAsia="es-EC"/>
      <w14:numForm w14:val="default"/>
    </w:rPr>
  </w:style>
  <w:style w:type="paragraph" w:styleId="NormalWeb">
    <w:name w:val="Normal (Web)"/>
    <w:basedOn w:val="Normal"/>
    <w:uiPriority w:val="99"/>
    <w:unhideWhenUsed/>
    <w:rsid w:val="00A93E3C"/>
    <w:pPr>
      <w:spacing w:before="100" w:beforeAutospacing="1" w:after="100" w:afterAutospacing="1" w:line="240" w:lineRule="auto"/>
      <w:jc w:val="left"/>
    </w:pPr>
    <w:rPr>
      <w:rFonts w:eastAsia="Times New Roman" w:cs="Times New Roman"/>
      <w:spacing w:val="0"/>
      <w:sz w:val="24"/>
      <w:szCs w:val="24"/>
      <w:lang w:val="es-EC" w:eastAsia="es-EC"/>
      <w14:numForm w14:val="default"/>
    </w:rPr>
  </w:style>
  <w:style w:type="character" w:styleId="nfasis">
    <w:name w:val="Emphasis"/>
    <w:basedOn w:val="Fuentedeprrafopredeter"/>
    <w:uiPriority w:val="20"/>
    <w:qFormat/>
    <w:locked/>
    <w:rsid w:val="00921E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778624">
      <w:bodyDiv w:val="1"/>
      <w:marLeft w:val="0"/>
      <w:marRight w:val="0"/>
      <w:marTop w:val="0"/>
      <w:marBottom w:val="0"/>
      <w:divBdr>
        <w:top w:val="none" w:sz="0" w:space="0" w:color="auto"/>
        <w:left w:val="none" w:sz="0" w:space="0" w:color="auto"/>
        <w:bottom w:val="none" w:sz="0" w:space="0" w:color="auto"/>
        <w:right w:val="none" w:sz="0" w:space="0" w:color="auto"/>
      </w:divBdr>
    </w:div>
    <w:div w:id="1023360269">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759473046">
      <w:bodyDiv w:val="1"/>
      <w:marLeft w:val="0"/>
      <w:marRight w:val="0"/>
      <w:marTop w:val="0"/>
      <w:marBottom w:val="0"/>
      <w:divBdr>
        <w:top w:val="none" w:sz="0" w:space="0" w:color="auto"/>
        <w:left w:val="none" w:sz="0" w:space="0" w:color="auto"/>
        <w:bottom w:val="none" w:sz="0" w:space="0" w:color="auto"/>
        <w:right w:val="none" w:sz="0" w:space="0" w:color="auto"/>
      </w:divBdr>
    </w:div>
    <w:div w:id="2102985813">
      <w:bodyDiv w:val="1"/>
      <w:marLeft w:val="0"/>
      <w:marRight w:val="0"/>
      <w:marTop w:val="0"/>
      <w:marBottom w:val="0"/>
      <w:divBdr>
        <w:top w:val="none" w:sz="0" w:space="0" w:color="auto"/>
        <w:left w:val="none" w:sz="0" w:space="0" w:color="auto"/>
        <w:bottom w:val="none" w:sz="0" w:space="0" w:color="auto"/>
        <w:right w:val="none" w:sz="0" w:space="0" w:color="auto"/>
      </w:divBdr>
    </w:div>
    <w:div w:id="213267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B6DA3-EB7F-4616-9708-A4F383382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17</TotalTime>
  <Pages>1</Pages>
  <Words>4765</Words>
  <Characters>26213</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Narrativas transmedia en la comunicación política: percepciones e interacción de jóvenes electores de Santa Elena</vt:lpstr>
    </vt:vector>
  </TitlesOfParts>
  <Manager>EGREGIUS</Manager>
  <Company>EG-DYKINSON</Company>
  <LinksUpToDate>false</LinksUpToDate>
  <CharactersWithSpaces>30917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Narrativas transmedia en la comunicación política: percepciones e interacción de jóvenes electores de Santa Elena</dc:title>
  <dc:subject>Capítulo de libro adaptado a la plantilla Dykinson-Egregius</dc:subject>
  <dc:creator>Danny Jordan Pozo Jose;Edinson Carmelo Tomalá Pozo</dc:creator>
  <cp:keywords>Etiqueta</cp:keywords>
  <dc:description/>
  <cp:lastModifiedBy>Usuario</cp:lastModifiedBy>
  <cp:revision>4</cp:revision>
  <dcterms:created xsi:type="dcterms:W3CDTF">2026-09-02T22:44:00Z</dcterms:created>
  <dcterms:modified xsi:type="dcterms:W3CDTF">2026-09-03T15:55:00Z</dcterms:modified>
  <cp:category>Categoria</cp:category>
  <cp:contentStatus>Estado</cp:contentStatus>
</cp:coreProperties>
</file>