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084B5" w14:textId="6A307BBB" w:rsidR="001348A0" w:rsidRDefault="001348A0" w:rsidP="001348A0">
      <w:pPr>
        <w:pStyle w:val="Captulo"/>
      </w:pPr>
      <w:r>
        <w:t>Capítulo XXX</w:t>
      </w:r>
    </w:p>
    <w:p w14:paraId="295BF093" w14:textId="77777777" w:rsidR="00D05FD4" w:rsidRPr="00D05FD4" w:rsidRDefault="00D05FD4" w:rsidP="00D05FD4">
      <w:pPr>
        <w:keepNext/>
        <w:keepLines/>
        <w:pBdr>
          <w:bottom w:val="single" w:sz="4" w:space="10" w:color="auto"/>
        </w:pBdr>
        <w:suppressAutoHyphens/>
        <w:spacing w:after="280"/>
        <w:contextualSpacing/>
        <w:jc w:val="center"/>
        <w:outlineLvl w:val="1"/>
        <w:rPr>
          <w:rFonts w:eastAsia="SimSun" w:cs="Calibri Light"/>
          <w:caps/>
          <w:color w:val="000000"/>
          <w:spacing w:val="-2"/>
          <w:sz w:val="26"/>
          <w:szCs w:val="26"/>
          <w14:ligatures w14:val="all"/>
        </w:rPr>
      </w:pPr>
      <w:r w:rsidRPr="00D05FD4">
        <w:rPr>
          <w:rFonts w:eastAsia="SimSun" w:cs="Calibri Light"/>
          <w:caps/>
          <w:color w:val="000000"/>
          <w:spacing w:val="-2"/>
          <w:sz w:val="26"/>
          <w:szCs w:val="26"/>
          <w14:ligatures w14:val="all"/>
        </w:rPr>
        <w:t>Manifestaciones del malestar docente en profesores de Educación General Básica: una mirada psicosocial</w:t>
      </w:r>
    </w:p>
    <w:p w14:paraId="098C8386" w14:textId="77777777" w:rsidR="00D05FD4" w:rsidRPr="0012112F" w:rsidRDefault="00D05FD4" w:rsidP="00D05FD4">
      <w:pPr>
        <w:pStyle w:val="Autor"/>
      </w:pPr>
      <w:r w:rsidRPr="0012112F">
        <w:t>Eva Marilú Ganchozo Macías</w:t>
      </w:r>
    </w:p>
    <w:p w14:paraId="6E9E5749" w14:textId="77777777" w:rsidR="00D05FD4" w:rsidRPr="00113EC0" w:rsidRDefault="00D05FD4" w:rsidP="00D05FD4">
      <w:pPr>
        <w:pStyle w:val="Adscripcin"/>
      </w:pPr>
      <w:r w:rsidRPr="00113EC0">
        <w:t>Pontificia Universidad Católica del Ecuador, Sede Manabí</w:t>
      </w:r>
    </w:p>
    <w:p w14:paraId="4B8780C8" w14:textId="77777777" w:rsidR="00D05FD4" w:rsidRPr="0012112F" w:rsidRDefault="00D05FD4" w:rsidP="00D05FD4">
      <w:pPr>
        <w:pStyle w:val="Autor"/>
      </w:pPr>
      <w:r>
        <w:t>Andrés cappelletti</w:t>
      </w:r>
    </w:p>
    <w:p w14:paraId="6A02D415" w14:textId="5E8FD707" w:rsidR="0015066B" w:rsidRDefault="00D05FD4" w:rsidP="00113EC0">
      <w:pPr>
        <w:pStyle w:val="Adscripcin"/>
      </w:pPr>
      <w:r w:rsidRPr="00113EC0">
        <w:t>Universidad Nacional de Rosario/Instituto Universitario Italiano del Rosario</w:t>
      </w:r>
      <w:r w:rsidR="0015066B">
        <w:t xml:space="preserve"> </w:t>
      </w:r>
    </w:p>
    <w:p w14:paraId="393BC9CE" w14:textId="77777777" w:rsidR="00D05FD4" w:rsidRPr="00D05FD4" w:rsidRDefault="00D05FD4" w:rsidP="00D05FD4">
      <w:pPr>
        <w:keepNext/>
        <w:keepLines/>
        <w:widowControl w:val="0"/>
        <w:suppressAutoHyphens/>
        <w:spacing w:before="360" w:after="200"/>
        <w:jc w:val="left"/>
        <w:outlineLvl w:val="0"/>
        <w:rPr>
          <w:rFonts w:eastAsia="SimSun" w:cstheme="majorBidi"/>
          <w:caps/>
          <w:sz w:val="24"/>
          <w:szCs w:val="32"/>
          <w:shd w:val="clear" w:color="auto" w:fill="FFFFFF"/>
          <w14:numForm w14:val="lining"/>
        </w:rPr>
      </w:pPr>
      <w:r w:rsidRPr="00D05FD4">
        <w:rPr>
          <w:rFonts w:eastAsia="SimSun" w:cstheme="majorBidi"/>
          <w:caps/>
          <w:sz w:val="24"/>
          <w:szCs w:val="32"/>
          <w:shd w:val="clear" w:color="auto" w:fill="FFFFFF"/>
          <w14:numForm w14:val="lining"/>
        </w:rPr>
        <w:t>1. Introducción</w:t>
      </w:r>
    </w:p>
    <w:p w14:paraId="45B9C41E" w14:textId="77777777" w:rsidR="00D05FD4" w:rsidRPr="00D05FD4" w:rsidRDefault="00D05FD4" w:rsidP="00D05FD4">
      <w:r w:rsidRPr="00D05FD4">
        <w:t>El malestar docente constituye una categoría relevante para comprender las repercusiones psicológicas, emocionales y sociales derivadas de las condiciones contemporáneas del trabajo educativo. En el nivel de Educación General Básica, esta problemática adquiere especial importancia porque el profesorado desarrolla su actividad en escenarios caracterizados por múltiples demandas pedagógicas, administrativas, afectivas y comunitarias. La enseñanza no se limita a la transmisión de contenidos, sino que implica la gestión del aula, el acompañamiento emocional, la relación con familias, la adaptación a cambios institucionales y el cumplimiento de procesos de registro y evaluación que amplían de manera progresiva el rol profesional.</w:t>
      </w:r>
    </w:p>
    <w:p w14:paraId="02A59C67" w14:textId="77777777" w:rsidR="00D05FD4" w:rsidRPr="00D05FD4" w:rsidRDefault="00D05FD4" w:rsidP="00D05FD4">
      <w:r w:rsidRPr="00D05FD4">
        <w:t>Desde una mirada psicosocial, el malestar docente no puede reducirse a una manifestación individual de cansancio o insatisfacción. Se trata de un fenómeno situado, que emerge de la interacción entre condiciones personales, institucionales y contextuales. Esteve (1994) lo concibe como el conjunto de efectos negativos que afectan al profesor como consecuencia de las condiciones psicológicas y sociales en las que ejerce la docencia. En esta línea, Travers y Cooper (1997) y Kyriacou (2001) advierten que las exigencias propias de la profesión docente pueden convertirse en fuentes persistentes de tensión cuando superan los recursos disponibles para afrontarlas.</w:t>
      </w:r>
    </w:p>
    <w:p w14:paraId="266DC54E" w14:textId="77777777" w:rsidR="00D05FD4" w:rsidRPr="00D05FD4" w:rsidRDefault="00D05FD4" w:rsidP="00D05FD4">
      <w:r w:rsidRPr="00D05FD4">
        <w:lastRenderedPageBreak/>
        <w:t>La literatura sobre estrés laboral y burnout ha permitido comprender que las demandas sostenidas, cuando no se acompañan de apoyo institucional, reconocimiento, autonomía y condiciones laborales adecuadas, pueden afectar el bienestar psicológico y la satisfacción profesional. Lazarus y Folkman (1984) explican que el estrés surge de la valoración que realiza el sujeto respecto de las demandas del entorno y de sus recursos para afrontarlas; mientras que Maslach et al. (2001) señalan que el agotamiento emocional, la despersonalización y la baja realización personal son expresiones críticas del deterioro laboral en profesiones de alta demanda interp</w:t>
      </w:r>
      <w:bookmarkStart w:id="0" w:name="_GoBack"/>
      <w:bookmarkEnd w:id="0"/>
      <w:r w:rsidRPr="00D05FD4">
        <w:t>ersonal. En el campo educativo, estos aportes permiten interpretar el malestar docente como una experiencia compleja que compromete tanto al individuo como al sistema institucional en el que trabaja.</w:t>
      </w:r>
    </w:p>
    <w:p w14:paraId="5C37096B" w14:textId="77777777" w:rsidR="00D05FD4" w:rsidRPr="00D05FD4" w:rsidRDefault="00D05FD4" w:rsidP="00D05FD4">
      <w:r w:rsidRPr="00D05FD4">
        <w:t>En América Latina, las condiciones laborales del profesorado han sido atravesadas por reformas educativas, incremento de tareas administrativas, exigencias de rendición de cuentas, desigualdades territoriales y demandas sociales crecientes. González Villarreal et al. (2024) sostienen que la intensificación del trabajo docente se expresa en la acumulación de actividades dentro y fuera del horario formal, lo que modifica la relación del profesorado con su tiempo, su identidad profesional y su bienestar. En el contexto ecuatoriano, el análisis del malestar docente resulta especialmente pertinente para comprender cómo las condiciones materiales, organizativas y relacionales del trabajo pueden incidir en la salud mental y en la calidad de vida laboral del profesorado.</w:t>
      </w:r>
    </w:p>
    <w:p w14:paraId="467134AC" w14:textId="77777777" w:rsidR="00D05FD4" w:rsidRPr="00D05FD4" w:rsidRDefault="00D05FD4" w:rsidP="00D05FD4">
      <w:r w:rsidRPr="00D05FD4">
        <w:t>El presente capítulo se deriva de una investigación doctoral más amplia orientada a validar un modelo predictivo del malestar docente en profesores de Educación General Básica. Sin embargo, el manuscrito se delimita exclusivamente al primer objetivo específico: caracterizar las manifestaciones del malestar docente en la población estudiada. Esta delimitación permite profundizar en el perfil descriptivo del fenómeno antes de avanzar hacia análisis asociativos o predictivos. En consecuencia, el capítulo no presenta la totalidad de la tesis, sino los resultados parciales correspondientes a la descripción del malestar por dimensiones, con énfasis en su lectura psicosocial.</w:t>
      </w:r>
    </w:p>
    <w:p w14:paraId="7FFE8C69" w14:textId="77777777" w:rsidR="00D05FD4" w:rsidRPr="00D05FD4" w:rsidRDefault="00D05FD4" w:rsidP="00D05FD4">
      <w:r w:rsidRPr="00D05FD4">
        <w:lastRenderedPageBreak/>
        <w:t>La pertinencia de este análisis radica en que la caracterización de las manifestaciones del malestar permite identificar los ámbitos de la experiencia laboral docente que concentran mayor tensión. Conocer si el malestar se expresa principalmente en el ambiente físico, en las exigencias de la tarea, en la organización del tiempo, en los aspectos institucionales, en los cambios tecnológicos o en factores personales resulta fundamental para orientar estrategias de acompañamiento, prevención y mejora institucional. De esta manera, el capítulo aporta evidencia empírica útil para comprender el malestar docente como una problemática vinculada al bienestar del profesorado y a las condiciones en que se desarrolla la educación básica.</w:t>
      </w:r>
    </w:p>
    <w:p w14:paraId="5D8DC444" w14:textId="73CC29D6" w:rsidR="00607EE3" w:rsidRDefault="00607EE3" w:rsidP="00607EE3">
      <w:pPr>
        <w:pStyle w:val="Ttulo1"/>
      </w:pPr>
      <w:r>
        <w:t>2. Objetivos</w:t>
      </w:r>
    </w:p>
    <w:p w14:paraId="2AA36B18" w14:textId="77777777" w:rsidR="00D05FD4" w:rsidRDefault="00D05FD4" w:rsidP="00D05FD4">
      <w:r>
        <w:t>El objetivo general de la investigación doctoral de base fue validar un modelo predictivo que permita anticipar el malestar docente en profesores de Educación General Básica, a partir de variables personales, institucionales y contextuales en un distrito específico de Ecuador.</w:t>
      </w:r>
    </w:p>
    <w:p w14:paraId="5A504425" w14:textId="77777777" w:rsidR="00D05FD4" w:rsidRDefault="00D05FD4" w:rsidP="00D05FD4">
      <w:r>
        <w:t>Para efectos de este capítulo, el análisis se circunscribe al primer objetivo específico: caracterizar las manifestaciones del malestar docente en profesores de Educación General Básica del distrito seleccionado.</w:t>
      </w:r>
    </w:p>
    <w:p w14:paraId="545323C5" w14:textId="77777777" w:rsidR="00D05FD4" w:rsidRDefault="00D05FD4" w:rsidP="00D05FD4">
      <w:r>
        <w:t>Esta delimitación responde a la necesidad de presentar resultados parciales y focalizados, evitando abordar la totalidad del modelo predictivo. En consecuencia, el capítulo se centra en la descripción de las dimensiones del malestar docente y en la interpretación de sus principales manifestaciones desde una mirada psicosocial.</w:t>
      </w:r>
    </w:p>
    <w:p w14:paraId="2708A763" w14:textId="4D768474" w:rsidR="005A43E3" w:rsidRPr="005A43E3" w:rsidRDefault="005A43E3" w:rsidP="005A43E3">
      <w:pPr>
        <w:pStyle w:val="Ttulo1"/>
      </w:pPr>
      <w:r>
        <w:t>3. Metodología</w:t>
      </w:r>
    </w:p>
    <w:p w14:paraId="3E3EF5C6" w14:textId="77777777" w:rsidR="00D05FD4" w:rsidRDefault="00D05FD4" w:rsidP="00D05FD4">
      <w:r>
        <w:t>El estudio se desarrolló desde un enfoque cuantitativo, con diseño no experimental, transeccional y alcance descriptivo para el objetivo que se presenta en este capítulo. La investigación no manipuló variables, sino que recogió información en un momento determinado con el pro</w:t>
      </w:r>
      <w:r>
        <w:lastRenderedPageBreak/>
        <w:t>pósito de caracterizar las manifestaciones del malestar docente en profesores de Educación General Básica de un distrito educativo ecuatoriano.</w:t>
      </w:r>
    </w:p>
    <w:p w14:paraId="10677371" w14:textId="77777777" w:rsidR="00D05FD4" w:rsidRDefault="00D05FD4" w:rsidP="00D05FD4">
      <w:r>
        <w:t>La muestra estuvo conformada por 224 docentes de Educación General Básica pertenecientes a instituciones educativas fiscales, particulares y fiscomisionales. La participación fue voluntaria y se consideraron únicamente los casos que completaron de manera válida los instrumentos aplicados. Desde el punto de vista sociodemográfico, la muestra se caracterizó por una predominancia femenina, un alto nivel de formación académica y una diversidad institucional que permitió situar los resultados en condiciones laborales diferenciadas.</w:t>
      </w:r>
    </w:p>
    <w:p w14:paraId="6BC4669A" w14:textId="77777777" w:rsidR="00D05FD4" w:rsidRDefault="00D05FD4" w:rsidP="00D05FD4">
      <w:r>
        <w:t>Para la recolección de información se utilizó el Inventario de Malestar Percibido en el Ambiente Laboral Docente (IMPAL-D), instrumento orientado a evaluar el grado de malestar que producen diversas situaciones del ambiente laboral docente. En esta investigación, el instrumento permitió organizar el análisis descriptivo en seis dimensiones: medio ambiente físico en el trabajo, factores propios de la tarea docente, organización del tiempo de trabajo, aspectos institucionales, cambios tecnológicos y aspectos personales. De manera complementaria, se aplicó un cuestionario sociodemográfico que permitió contextualizar la muestra según sexo, estado civil, nivel de escolaridad, tipo de institución y años de servicio.</w:t>
      </w:r>
    </w:p>
    <w:p w14:paraId="68A116C2" w14:textId="77777777" w:rsidR="00D05FD4" w:rsidRDefault="00D05FD4" w:rsidP="00D05FD4">
      <w:r>
        <w:t>El procedimiento de análisis se centró en técnicas estadísticas descriptivas. Para las variables cualitativas se emplearon frecuencias absolutas y relativas, expresadas en porcentajes. Para el análisis de los ítems y dimensiones del IMPAL-D, las respuestas fueron interpretadas según tres niveles de malestar: escaso, mediano y excesivo. Esta clasificación permitió identificar los ámbitos donde se concentraron las mayores proporciones de malestar mediano y excesivo, así como aquellos con menor afectación relativa.</w:t>
      </w:r>
    </w:p>
    <w:p w14:paraId="06F2F136" w14:textId="77777777" w:rsidR="00D05FD4" w:rsidRDefault="00D05FD4" w:rsidP="00D05FD4">
      <w:r>
        <w:t xml:space="preserve">El análisis se realizó prioritariamente por dimensiones, en concordancia con la estructura teórica del instrumento y con los modelos explicativos del estrés laboral, el burnout y el malestar docente. El análisis de ítems </w:t>
      </w:r>
      <w:r>
        <w:lastRenderedPageBreak/>
        <w:t>individuales se utilizó de manera complementaria, con el fin de reconocer situaciones concretas que actuaron como focos de malestar dentro de cada dimensión. Esta estrategia permitió evitar una lectura fragmentada de los datos y favorecer una interpretación integral del fenómeno.</w:t>
      </w:r>
    </w:p>
    <w:p w14:paraId="76D89636" w14:textId="77777777" w:rsidR="00D05FD4" w:rsidRDefault="00D05FD4" w:rsidP="00D05FD4">
      <w:pPr>
        <w:pStyle w:val="Figuras"/>
        <w:jc w:val="left"/>
      </w:pPr>
      <w:r>
        <w:rPr>
          <w:i w:val="0"/>
        </w:rPr>
        <w:t>TABLA 1. Dimensiones consideradas para la caracterización del malestar docente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4"/>
        <w:gridCol w:w="3283"/>
      </w:tblGrid>
      <w:tr w:rsidR="00D05FD4" w14:paraId="05A0E271" w14:textId="77777777" w:rsidTr="0042533C">
        <w:trPr>
          <w:jc w:val="center"/>
        </w:trPr>
        <w:tc>
          <w:tcPr>
            <w:tcW w:w="3288" w:type="dxa"/>
            <w:vAlign w:val="center"/>
          </w:tcPr>
          <w:p w14:paraId="6E079E22" w14:textId="77777777" w:rsidR="00D05FD4" w:rsidRDefault="00D05FD4" w:rsidP="0042533C">
            <w:pPr>
              <w:jc w:val="left"/>
            </w:pPr>
            <w:r>
              <w:rPr>
                <w:rFonts w:ascii="Arial Narrow" w:eastAsia="Arial Narrow" w:hAnsi="Arial Narrow"/>
                <w:sz w:val="18"/>
              </w:rPr>
              <w:t>Dimensión</w:t>
            </w:r>
          </w:p>
        </w:tc>
        <w:tc>
          <w:tcPr>
            <w:tcW w:w="3288" w:type="dxa"/>
            <w:vAlign w:val="center"/>
          </w:tcPr>
          <w:p w14:paraId="354A7CC2" w14:textId="77777777" w:rsidR="00D05FD4" w:rsidRDefault="00D05FD4" w:rsidP="0042533C">
            <w:pPr>
              <w:jc w:val="left"/>
            </w:pPr>
            <w:r>
              <w:rPr>
                <w:rFonts w:ascii="Arial Narrow" w:eastAsia="Arial Narrow" w:hAnsi="Arial Narrow"/>
                <w:sz w:val="18"/>
              </w:rPr>
              <w:t>Aspectos analizados</w:t>
            </w:r>
          </w:p>
        </w:tc>
      </w:tr>
      <w:tr w:rsidR="00D05FD4" w14:paraId="6808E1F9" w14:textId="77777777" w:rsidTr="0042533C">
        <w:trPr>
          <w:jc w:val="center"/>
        </w:trPr>
        <w:tc>
          <w:tcPr>
            <w:tcW w:w="3288" w:type="dxa"/>
            <w:vAlign w:val="center"/>
          </w:tcPr>
          <w:p w14:paraId="081BB2DD" w14:textId="77777777" w:rsidR="00D05FD4" w:rsidRDefault="00D05FD4" w:rsidP="0042533C">
            <w:pPr>
              <w:jc w:val="left"/>
            </w:pPr>
            <w:r>
              <w:rPr>
                <w:rFonts w:ascii="Arial Narrow" w:eastAsia="Arial Narrow" w:hAnsi="Arial Narrow"/>
                <w:sz w:val="18"/>
              </w:rPr>
              <w:t>Medio ambiente físico en el trabajo</w:t>
            </w:r>
          </w:p>
        </w:tc>
        <w:tc>
          <w:tcPr>
            <w:tcW w:w="3288" w:type="dxa"/>
            <w:vAlign w:val="center"/>
          </w:tcPr>
          <w:p w14:paraId="29A98966" w14:textId="77777777" w:rsidR="00D05FD4" w:rsidRDefault="00D05FD4" w:rsidP="0042533C">
            <w:pPr>
              <w:jc w:val="left"/>
            </w:pPr>
            <w:r>
              <w:rPr>
                <w:rFonts w:ascii="Arial Narrow" w:eastAsia="Arial Narrow" w:hAnsi="Arial Narrow"/>
                <w:sz w:val="18"/>
              </w:rPr>
              <w:t>Ruido, higiene, ventilación, espacio físico y condiciones materiales del aula.</w:t>
            </w:r>
          </w:p>
        </w:tc>
      </w:tr>
      <w:tr w:rsidR="00D05FD4" w14:paraId="2CB6EB0E" w14:textId="77777777" w:rsidTr="0042533C">
        <w:trPr>
          <w:jc w:val="center"/>
        </w:trPr>
        <w:tc>
          <w:tcPr>
            <w:tcW w:w="3288" w:type="dxa"/>
            <w:vAlign w:val="center"/>
          </w:tcPr>
          <w:p w14:paraId="37D1F815" w14:textId="77777777" w:rsidR="00D05FD4" w:rsidRDefault="00D05FD4" w:rsidP="0042533C">
            <w:pPr>
              <w:jc w:val="left"/>
            </w:pPr>
            <w:r>
              <w:rPr>
                <w:rFonts w:ascii="Arial Narrow" w:eastAsia="Arial Narrow" w:hAnsi="Arial Narrow"/>
                <w:sz w:val="18"/>
              </w:rPr>
              <w:t>Factores propios de la tarea docente</w:t>
            </w:r>
          </w:p>
        </w:tc>
        <w:tc>
          <w:tcPr>
            <w:tcW w:w="3288" w:type="dxa"/>
            <w:vAlign w:val="center"/>
          </w:tcPr>
          <w:p w14:paraId="0D270351" w14:textId="77777777" w:rsidR="00D05FD4" w:rsidRDefault="00D05FD4" w:rsidP="0042533C">
            <w:pPr>
              <w:jc w:val="left"/>
            </w:pPr>
            <w:r>
              <w:rPr>
                <w:rFonts w:ascii="Arial Narrow" w:eastAsia="Arial Narrow" w:hAnsi="Arial Narrow"/>
                <w:sz w:val="18"/>
              </w:rPr>
              <w:t>Sobrecarga, trabajo burocrático, exigencias, recursos disponibles y remuneración percibida.</w:t>
            </w:r>
          </w:p>
        </w:tc>
      </w:tr>
      <w:tr w:rsidR="00D05FD4" w14:paraId="0BAD7169" w14:textId="77777777" w:rsidTr="0042533C">
        <w:trPr>
          <w:jc w:val="center"/>
        </w:trPr>
        <w:tc>
          <w:tcPr>
            <w:tcW w:w="3288" w:type="dxa"/>
            <w:vAlign w:val="center"/>
          </w:tcPr>
          <w:p w14:paraId="00644D82" w14:textId="77777777" w:rsidR="00D05FD4" w:rsidRDefault="00D05FD4" w:rsidP="0042533C">
            <w:pPr>
              <w:jc w:val="left"/>
            </w:pPr>
            <w:r>
              <w:rPr>
                <w:rFonts w:ascii="Arial Narrow" w:eastAsia="Arial Narrow" w:hAnsi="Arial Narrow"/>
                <w:sz w:val="18"/>
              </w:rPr>
              <w:t>Organización del tiempo de trabajo</w:t>
            </w:r>
          </w:p>
        </w:tc>
        <w:tc>
          <w:tcPr>
            <w:tcW w:w="3288" w:type="dxa"/>
            <w:vAlign w:val="center"/>
          </w:tcPr>
          <w:p w14:paraId="22FE2A67" w14:textId="77777777" w:rsidR="00D05FD4" w:rsidRDefault="00D05FD4" w:rsidP="0042533C">
            <w:pPr>
              <w:jc w:val="left"/>
            </w:pPr>
            <w:r>
              <w:rPr>
                <w:rFonts w:ascii="Arial Narrow" w:eastAsia="Arial Narrow" w:hAnsi="Arial Narrow"/>
                <w:sz w:val="18"/>
              </w:rPr>
              <w:t>Plazos, organización de la tarea, extensión de la jornada y múltiples lugares de trabajo.</w:t>
            </w:r>
          </w:p>
        </w:tc>
      </w:tr>
      <w:tr w:rsidR="00D05FD4" w14:paraId="47B9D8F1" w14:textId="77777777" w:rsidTr="0042533C">
        <w:trPr>
          <w:jc w:val="center"/>
        </w:trPr>
        <w:tc>
          <w:tcPr>
            <w:tcW w:w="3288" w:type="dxa"/>
            <w:vAlign w:val="center"/>
          </w:tcPr>
          <w:p w14:paraId="17E48FA8" w14:textId="77777777" w:rsidR="00D05FD4" w:rsidRDefault="00D05FD4" w:rsidP="0042533C">
            <w:pPr>
              <w:jc w:val="left"/>
            </w:pPr>
            <w:r>
              <w:rPr>
                <w:rFonts w:ascii="Arial Narrow" w:eastAsia="Arial Narrow" w:hAnsi="Arial Narrow"/>
                <w:sz w:val="18"/>
              </w:rPr>
              <w:t>Aspectos institucionales</w:t>
            </w:r>
          </w:p>
        </w:tc>
        <w:tc>
          <w:tcPr>
            <w:tcW w:w="3288" w:type="dxa"/>
            <w:vAlign w:val="center"/>
          </w:tcPr>
          <w:p w14:paraId="3667D096" w14:textId="77777777" w:rsidR="00D05FD4" w:rsidRDefault="00D05FD4" w:rsidP="0042533C">
            <w:pPr>
              <w:jc w:val="left"/>
            </w:pPr>
            <w:r>
              <w:rPr>
                <w:rFonts w:ascii="Arial Narrow" w:eastAsia="Arial Narrow" w:hAnsi="Arial Narrow"/>
                <w:sz w:val="18"/>
              </w:rPr>
              <w:t>Diálogo con directivos, participación, claridad normativa y estilo de supervisión.</w:t>
            </w:r>
          </w:p>
        </w:tc>
      </w:tr>
      <w:tr w:rsidR="00D05FD4" w14:paraId="2FF07A71" w14:textId="77777777" w:rsidTr="0042533C">
        <w:trPr>
          <w:jc w:val="center"/>
        </w:trPr>
        <w:tc>
          <w:tcPr>
            <w:tcW w:w="3288" w:type="dxa"/>
            <w:vAlign w:val="center"/>
          </w:tcPr>
          <w:p w14:paraId="3FC47635" w14:textId="77777777" w:rsidR="00D05FD4" w:rsidRDefault="00D05FD4" w:rsidP="0042533C">
            <w:pPr>
              <w:jc w:val="left"/>
            </w:pPr>
            <w:r>
              <w:rPr>
                <w:rFonts w:ascii="Arial Narrow" w:eastAsia="Arial Narrow" w:hAnsi="Arial Narrow"/>
                <w:sz w:val="18"/>
              </w:rPr>
              <w:t>Cambios tecnológicos</w:t>
            </w:r>
          </w:p>
        </w:tc>
        <w:tc>
          <w:tcPr>
            <w:tcW w:w="3288" w:type="dxa"/>
            <w:vAlign w:val="center"/>
          </w:tcPr>
          <w:p w14:paraId="6EF7B53B" w14:textId="77777777" w:rsidR="00D05FD4" w:rsidRDefault="00D05FD4" w:rsidP="0042533C">
            <w:pPr>
              <w:jc w:val="left"/>
            </w:pPr>
            <w:r>
              <w:rPr>
                <w:rFonts w:ascii="Arial Narrow" w:eastAsia="Arial Narrow" w:hAnsi="Arial Narrow"/>
                <w:sz w:val="18"/>
              </w:rPr>
              <w:t>Preparación para el uso de tecnologías y exigencia de aprendizaje acelerado.</w:t>
            </w:r>
          </w:p>
        </w:tc>
      </w:tr>
      <w:tr w:rsidR="00D05FD4" w14:paraId="7E564D11" w14:textId="77777777" w:rsidTr="0042533C">
        <w:trPr>
          <w:jc w:val="center"/>
        </w:trPr>
        <w:tc>
          <w:tcPr>
            <w:tcW w:w="3288" w:type="dxa"/>
            <w:vAlign w:val="center"/>
          </w:tcPr>
          <w:p w14:paraId="37960B01" w14:textId="77777777" w:rsidR="00D05FD4" w:rsidRDefault="00D05FD4" w:rsidP="0042533C">
            <w:pPr>
              <w:jc w:val="left"/>
            </w:pPr>
            <w:r>
              <w:rPr>
                <w:rFonts w:ascii="Arial Narrow" w:eastAsia="Arial Narrow" w:hAnsi="Arial Narrow"/>
                <w:sz w:val="18"/>
              </w:rPr>
              <w:t>Aspectos personales</w:t>
            </w:r>
          </w:p>
        </w:tc>
        <w:tc>
          <w:tcPr>
            <w:tcW w:w="3288" w:type="dxa"/>
            <w:vAlign w:val="center"/>
          </w:tcPr>
          <w:p w14:paraId="123109EC" w14:textId="77777777" w:rsidR="00D05FD4" w:rsidRDefault="00D05FD4" w:rsidP="0042533C">
            <w:pPr>
              <w:jc w:val="left"/>
            </w:pPr>
            <w:r>
              <w:rPr>
                <w:rFonts w:ascii="Arial Narrow" w:eastAsia="Arial Narrow" w:hAnsi="Arial Narrow"/>
                <w:sz w:val="18"/>
              </w:rPr>
              <w:t>Agobio laboral, conciliación vida-trabajo y posibilidades de progreso profesional.</w:t>
            </w:r>
          </w:p>
        </w:tc>
      </w:tr>
    </w:tbl>
    <w:p w14:paraId="4FD77711" w14:textId="77777777" w:rsidR="00D05FD4" w:rsidRDefault="00D05FD4" w:rsidP="00D05FD4">
      <w:pPr>
        <w:pStyle w:val="Fuente"/>
        <w:jc w:val="left"/>
      </w:pPr>
      <w:r>
        <w:t>Fuente: elaboración propia con base en las dimensiones del IMPAL-D empleadas en la investigación.</w:t>
      </w:r>
    </w:p>
    <w:p w14:paraId="7AFE1F64" w14:textId="77777777" w:rsidR="00D05FD4" w:rsidRDefault="00D05FD4" w:rsidP="00D05FD4">
      <w:pPr>
        <w:pStyle w:val="Ttulo1"/>
      </w:pPr>
      <w:r>
        <w:t>4. Resultados</w:t>
      </w:r>
    </w:p>
    <w:p w14:paraId="020727B5" w14:textId="77777777" w:rsidR="00D05FD4" w:rsidRDefault="00D05FD4" w:rsidP="00D05FD4">
      <w:pPr>
        <w:pStyle w:val="Ttulo2"/>
      </w:pPr>
      <w:r>
        <w:t>4.1. Caracterización general de la muestra</w:t>
      </w:r>
    </w:p>
    <w:p w14:paraId="678AFF47" w14:textId="77777777" w:rsidR="00D05FD4" w:rsidRDefault="00D05FD4" w:rsidP="00D05FD4">
      <w:r>
        <w:t>La caracterización sociodemográfica evidenció que la muestra estuvo compuesta por 224 docentes de Educación General Básica. En relación con el sexo, se observó una marcada predominancia femenina: el 68,8 % correspondió a mujeres y el 31,2 % a hombres. Esta composición resulta coherente con la estructura histórica de la docencia en los primeros niveles educativos y con la feminización del trabajo pedagógico en Educación General Básica.</w:t>
      </w:r>
    </w:p>
    <w:p w14:paraId="5A702D4C" w14:textId="77777777" w:rsidR="00D05FD4" w:rsidRDefault="00D05FD4" w:rsidP="00D05FD4">
      <w:r>
        <w:lastRenderedPageBreak/>
        <w:t>En cuanto al estado civil, predominó el grupo de docentes casados, con el 46,4 %, seguido por docentes solteros, con el 31,7 %, y divorciados, con el 12,5 %. En menor proporción se registraron participantes en unión libre, separados, viudos y en unión de hecho. Esta diversidad de situaciones personales permite comprender que el malestar docente se expresa en una población con responsabilidades familiares y condiciones de vida heterogéneas.</w:t>
      </w:r>
    </w:p>
    <w:p w14:paraId="1C8699AC" w14:textId="77777777" w:rsidR="00D05FD4" w:rsidRDefault="00D05FD4" w:rsidP="00D05FD4">
      <w:r>
        <w:t>Respecto al nivel de escolaridad, la mayoría de docentes reportó contar con título de tercer nivel, equivalente al 54,0 %, mientras que el 41,1 % declaró formación de cuarto nivel o posgrado. Solo porcentajes reducidos correspondieron a educación secundaria y primaria. Este hallazgo es relevante porque permite descartar una interpretación del malestar docente centrada en supuestos déficits de formación profesional. Por el contrario, los datos sugieren que el malestar se manifiesta en un colectivo altamente calificado, por lo que su explicación debe buscarse principalmente en condiciones laborales, organizativas y contextuales.</w:t>
      </w:r>
    </w:p>
    <w:p w14:paraId="72C225E3" w14:textId="77777777" w:rsidR="00D05FD4" w:rsidRDefault="00D05FD4" w:rsidP="00D05FD4">
      <w:r>
        <w:t>Finalmente, la distribución según tipo de institución mostró que el 55,0 % de los docentes laboraba en instituciones fiscales, el 36,5 % en instituciones particulares y el 8,6 % en instituciones fiscomisionales. Esta composición aporta un marco contextual importante, dado que cada tipo de institución se asocia con condiciones de gestión, recursos, carga administrativa y organización del trabajo potencialmente diferenciadas.</w:t>
      </w:r>
    </w:p>
    <w:p w14:paraId="1D345D78" w14:textId="77777777" w:rsidR="00D05FD4" w:rsidRDefault="00D05FD4" w:rsidP="00D05FD4">
      <w:pPr>
        <w:pStyle w:val="Figuras"/>
        <w:jc w:val="left"/>
      </w:pPr>
      <w:r>
        <w:rPr>
          <w:i w:val="0"/>
        </w:rPr>
        <w:t>TABLA 2. Características sociodemográficas principales de la muestra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3"/>
        <w:gridCol w:w="3284"/>
      </w:tblGrid>
      <w:tr w:rsidR="00D05FD4" w14:paraId="3AC8EE99" w14:textId="77777777" w:rsidTr="0042533C">
        <w:trPr>
          <w:jc w:val="center"/>
        </w:trPr>
        <w:tc>
          <w:tcPr>
            <w:tcW w:w="3288" w:type="dxa"/>
            <w:vAlign w:val="center"/>
          </w:tcPr>
          <w:p w14:paraId="7CF27C90" w14:textId="77777777" w:rsidR="00D05FD4" w:rsidRDefault="00D05FD4" w:rsidP="0042533C">
            <w:pPr>
              <w:jc w:val="left"/>
            </w:pPr>
            <w:r>
              <w:rPr>
                <w:rFonts w:ascii="Arial Narrow" w:eastAsia="Arial Narrow" w:hAnsi="Arial Narrow"/>
                <w:sz w:val="18"/>
              </w:rPr>
              <w:t>Variable</w:t>
            </w:r>
          </w:p>
        </w:tc>
        <w:tc>
          <w:tcPr>
            <w:tcW w:w="3288" w:type="dxa"/>
            <w:vAlign w:val="center"/>
          </w:tcPr>
          <w:p w14:paraId="7DA19473" w14:textId="77777777" w:rsidR="00D05FD4" w:rsidRDefault="00D05FD4" w:rsidP="0042533C">
            <w:pPr>
              <w:jc w:val="left"/>
            </w:pPr>
            <w:r>
              <w:rPr>
                <w:rFonts w:ascii="Arial Narrow" w:eastAsia="Arial Narrow" w:hAnsi="Arial Narrow"/>
                <w:sz w:val="18"/>
              </w:rPr>
              <w:t>Resultado principal</w:t>
            </w:r>
          </w:p>
        </w:tc>
      </w:tr>
      <w:tr w:rsidR="00D05FD4" w14:paraId="35150E5A" w14:textId="77777777" w:rsidTr="0042533C">
        <w:trPr>
          <w:jc w:val="center"/>
        </w:trPr>
        <w:tc>
          <w:tcPr>
            <w:tcW w:w="3288" w:type="dxa"/>
            <w:vAlign w:val="center"/>
          </w:tcPr>
          <w:p w14:paraId="49762FEF" w14:textId="77777777" w:rsidR="00D05FD4" w:rsidRDefault="00D05FD4" w:rsidP="0042533C">
            <w:pPr>
              <w:jc w:val="left"/>
            </w:pPr>
            <w:r>
              <w:rPr>
                <w:rFonts w:ascii="Arial Narrow" w:eastAsia="Arial Narrow" w:hAnsi="Arial Narrow"/>
                <w:sz w:val="18"/>
              </w:rPr>
              <w:t>Tamaño de la muestra</w:t>
            </w:r>
          </w:p>
        </w:tc>
        <w:tc>
          <w:tcPr>
            <w:tcW w:w="3288" w:type="dxa"/>
            <w:vAlign w:val="center"/>
          </w:tcPr>
          <w:p w14:paraId="5619C12F" w14:textId="77777777" w:rsidR="00D05FD4" w:rsidRDefault="00D05FD4" w:rsidP="0042533C">
            <w:pPr>
              <w:jc w:val="left"/>
            </w:pPr>
            <w:r>
              <w:rPr>
                <w:rFonts w:ascii="Arial Narrow" w:eastAsia="Arial Narrow" w:hAnsi="Arial Narrow"/>
                <w:sz w:val="18"/>
              </w:rPr>
              <w:t>224 docentes de Educación General Básica.</w:t>
            </w:r>
          </w:p>
        </w:tc>
      </w:tr>
      <w:tr w:rsidR="00D05FD4" w14:paraId="786F16D4" w14:textId="77777777" w:rsidTr="0042533C">
        <w:trPr>
          <w:jc w:val="center"/>
        </w:trPr>
        <w:tc>
          <w:tcPr>
            <w:tcW w:w="3288" w:type="dxa"/>
            <w:vAlign w:val="center"/>
          </w:tcPr>
          <w:p w14:paraId="03D46A37" w14:textId="77777777" w:rsidR="00D05FD4" w:rsidRDefault="00D05FD4" w:rsidP="0042533C">
            <w:pPr>
              <w:jc w:val="left"/>
            </w:pPr>
            <w:r>
              <w:rPr>
                <w:rFonts w:ascii="Arial Narrow" w:eastAsia="Arial Narrow" w:hAnsi="Arial Narrow"/>
                <w:sz w:val="18"/>
              </w:rPr>
              <w:t>Sexo</w:t>
            </w:r>
          </w:p>
        </w:tc>
        <w:tc>
          <w:tcPr>
            <w:tcW w:w="3288" w:type="dxa"/>
            <w:vAlign w:val="center"/>
          </w:tcPr>
          <w:p w14:paraId="06FB7974" w14:textId="77777777" w:rsidR="00D05FD4" w:rsidRDefault="00D05FD4" w:rsidP="0042533C">
            <w:pPr>
              <w:jc w:val="left"/>
            </w:pPr>
            <w:r>
              <w:rPr>
                <w:rFonts w:ascii="Arial Narrow" w:eastAsia="Arial Narrow" w:hAnsi="Arial Narrow"/>
                <w:sz w:val="18"/>
              </w:rPr>
              <w:t>68,8 % femenino y 31,2 % masculino.</w:t>
            </w:r>
          </w:p>
        </w:tc>
      </w:tr>
      <w:tr w:rsidR="00D05FD4" w14:paraId="3277D19C" w14:textId="77777777" w:rsidTr="0042533C">
        <w:trPr>
          <w:jc w:val="center"/>
        </w:trPr>
        <w:tc>
          <w:tcPr>
            <w:tcW w:w="3288" w:type="dxa"/>
            <w:vAlign w:val="center"/>
          </w:tcPr>
          <w:p w14:paraId="58CBABFD" w14:textId="77777777" w:rsidR="00D05FD4" w:rsidRDefault="00D05FD4" w:rsidP="0042533C">
            <w:pPr>
              <w:jc w:val="left"/>
            </w:pPr>
            <w:r>
              <w:rPr>
                <w:rFonts w:ascii="Arial Narrow" w:eastAsia="Arial Narrow" w:hAnsi="Arial Narrow"/>
                <w:sz w:val="18"/>
              </w:rPr>
              <w:t>Estado civil</w:t>
            </w:r>
          </w:p>
        </w:tc>
        <w:tc>
          <w:tcPr>
            <w:tcW w:w="3288" w:type="dxa"/>
            <w:vAlign w:val="center"/>
          </w:tcPr>
          <w:p w14:paraId="1891F52F" w14:textId="77777777" w:rsidR="00D05FD4" w:rsidRDefault="00D05FD4" w:rsidP="0042533C">
            <w:pPr>
              <w:jc w:val="left"/>
            </w:pPr>
            <w:r>
              <w:rPr>
                <w:rFonts w:ascii="Arial Narrow" w:eastAsia="Arial Narrow" w:hAnsi="Arial Narrow"/>
                <w:sz w:val="18"/>
              </w:rPr>
              <w:t>46,4 % casado, 31,7 % soltero y 12,5 % divorciado.</w:t>
            </w:r>
          </w:p>
        </w:tc>
      </w:tr>
      <w:tr w:rsidR="00D05FD4" w14:paraId="7838A238" w14:textId="77777777" w:rsidTr="0042533C">
        <w:trPr>
          <w:jc w:val="center"/>
        </w:trPr>
        <w:tc>
          <w:tcPr>
            <w:tcW w:w="3288" w:type="dxa"/>
            <w:vAlign w:val="center"/>
          </w:tcPr>
          <w:p w14:paraId="39B116BA" w14:textId="77777777" w:rsidR="00D05FD4" w:rsidRDefault="00D05FD4" w:rsidP="0042533C">
            <w:pPr>
              <w:jc w:val="left"/>
            </w:pPr>
            <w:r>
              <w:rPr>
                <w:rFonts w:ascii="Arial Narrow" w:eastAsia="Arial Narrow" w:hAnsi="Arial Narrow"/>
                <w:sz w:val="18"/>
              </w:rPr>
              <w:t>Nivel de escolaridad</w:t>
            </w:r>
          </w:p>
        </w:tc>
        <w:tc>
          <w:tcPr>
            <w:tcW w:w="3288" w:type="dxa"/>
            <w:vAlign w:val="center"/>
          </w:tcPr>
          <w:p w14:paraId="59C1BB3B" w14:textId="77777777" w:rsidR="00D05FD4" w:rsidRDefault="00D05FD4" w:rsidP="0042533C">
            <w:pPr>
              <w:jc w:val="left"/>
            </w:pPr>
            <w:r>
              <w:rPr>
                <w:rFonts w:ascii="Arial Narrow" w:eastAsia="Arial Narrow" w:hAnsi="Arial Narrow"/>
                <w:sz w:val="18"/>
              </w:rPr>
              <w:t>54,0 % tercer nivel y 41,1 % cuarto nivel o posgrado.</w:t>
            </w:r>
          </w:p>
        </w:tc>
      </w:tr>
      <w:tr w:rsidR="00D05FD4" w14:paraId="23F1323E" w14:textId="77777777" w:rsidTr="0042533C">
        <w:trPr>
          <w:jc w:val="center"/>
        </w:trPr>
        <w:tc>
          <w:tcPr>
            <w:tcW w:w="3288" w:type="dxa"/>
            <w:vAlign w:val="center"/>
          </w:tcPr>
          <w:p w14:paraId="2FB42BBE" w14:textId="77777777" w:rsidR="00D05FD4" w:rsidRDefault="00D05FD4" w:rsidP="0042533C">
            <w:pPr>
              <w:jc w:val="left"/>
            </w:pPr>
            <w:r>
              <w:rPr>
                <w:rFonts w:ascii="Arial Narrow" w:eastAsia="Arial Narrow" w:hAnsi="Arial Narrow"/>
                <w:sz w:val="18"/>
              </w:rPr>
              <w:t>Tipo de institución</w:t>
            </w:r>
          </w:p>
        </w:tc>
        <w:tc>
          <w:tcPr>
            <w:tcW w:w="3288" w:type="dxa"/>
            <w:vAlign w:val="center"/>
          </w:tcPr>
          <w:p w14:paraId="2DFED2FE" w14:textId="77777777" w:rsidR="00D05FD4" w:rsidRDefault="00D05FD4" w:rsidP="0042533C">
            <w:pPr>
              <w:jc w:val="left"/>
            </w:pPr>
            <w:r>
              <w:rPr>
                <w:rFonts w:ascii="Arial Narrow" w:eastAsia="Arial Narrow" w:hAnsi="Arial Narrow"/>
                <w:sz w:val="18"/>
              </w:rPr>
              <w:t>55,0 % fiscal, 36,5 % particular y 8,6 % fiscomisional.</w:t>
            </w:r>
          </w:p>
        </w:tc>
      </w:tr>
    </w:tbl>
    <w:p w14:paraId="77213170" w14:textId="77777777" w:rsidR="00D05FD4" w:rsidRDefault="00D05FD4" w:rsidP="00D05FD4">
      <w:pPr>
        <w:pStyle w:val="Fuente"/>
        <w:jc w:val="left"/>
      </w:pPr>
      <w:r>
        <w:lastRenderedPageBreak/>
        <w:t>Fuente: elaboración propia a partir de los resultados descriptivos de la investigación.</w:t>
      </w:r>
    </w:p>
    <w:p w14:paraId="4F728960" w14:textId="77777777" w:rsidR="00D05FD4" w:rsidRDefault="00D05FD4" w:rsidP="00D05FD4">
      <w:pPr>
        <w:pStyle w:val="Figuras"/>
        <w:jc w:val="left"/>
      </w:pPr>
      <w:r>
        <w:rPr>
          <w:i w:val="0"/>
        </w:rPr>
        <w:t>TABLA 3. Distribución de niveles de malestar por dimensiones del IMPAL-D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1"/>
        <w:gridCol w:w="1642"/>
        <w:gridCol w:w="1642"/>
        <w:gridCol w:w="1642"/>
      </w:tblGrid>
      <w:tr w:rsidR="00D05FD4" w14:paraId="775357A3" w14:textId="77777777" w:rsidTr="0042533C">
        <w:trPr>
          <w:jc w:val="center"/>
        </w:trPr>
        <w:tc>
          <w:tcPr>
            <w:tcW w:w="1644" w:type="dxa"/>
            <w:vAlign w:val="center"/>
          </w:tcPr>
          <w:p w14:paraId="780D1318" w14:textId="77777777" w:rsidR="00D05FD4" w:rsidRDefault="00D05FD4" w:rsidP="0042533C">
            <w:pPr>
              <w:jc w:val="left"/>
            </w:pPr>
            <w:r>
              <w:rPr>
                <w:rFonts w:ascii="Arial Narrow" w:eastAsia="Arial Narrow" w:hAnsi="Arial Narrow"/>
                <w:sz w:val="18"/>
              </w:rPr>
              <w:t>Dimensión</w:t>
            </w:r>
          </w:p>
        </w:tc>
        <w:tc>
          <w:tcPr>
            <w:tcW w:w="1644" w:type="dxa"/>
            <w:vAlign w:val="center"/>
          </w:tcPr>
          <w:p w14:paraId="28A27D27" w14:textId="77777777" w:rsidR="00D05FD4" w:rsidRDefault="00D05FD4" w:rsidP="0042533C">
            <w:pPr>
              <w:jc w:val="left"/>
            </w:pPr>
            <w:r>
              <w:rPr>
                <w:rFonts w:ascii="Arial Narrow" w:eastAsia="Arial Narrow" w:hAnsi="Arial Narrow"/>
                <w:sz w:val="18"/>
              </w:rPr>
              <w:t>Malestar escaso</w:t>
            </w:r>
          </w:p>
        </w:tc>
        <w:tc>
          <w:tcPr>
            <w:tcW w:w="1644" w:type="dxa"/>
            <w:vAlign w:val="center"/>
          </w:tcPr>
          <w:p w14:paraId="7CA7F756" w14:textId="77777777" w:rsidR="00D05FD4" w:rsidRDefault="00D05FD4" w:rsidP="0042533C">
            <w:pPr>
              <w:jc w:val="left"/>
            </w:pPr>
            <w:r>
              <w:rPr>
                <w:rFonts w:ascii="Arial Narrow" w:eastAsia="Arial Narrow" w:hAnsi="Arial Narrow"/>
                <w:sz w:val="18"/>
              </w:rPr>
              <w:t>Malestar mediano</w:t>
            </w:r>
          </w:p>
        </w:tc>
        <w:tc>
          <w:tcPr>
            <w:tcW w:w="1644" w:type="dxa"/>
            <w:vAlign w:val="center"/>
          </w:tcPr>
          <w:p w14:paraId="52C8AAF5" w14:textId="77777777" w:rsidR="00D05FD4" w:rsidRDefault="00D05FD4" w:rsidP="0042533C">
            <w:pPr>
              <w:jc w:val="left"/>
            </w:pPr>
            <w:r>
              <w:rPr>
                <w:rFonts w:ascii="Arial Narrow" w:eastAsia="Arial Narrow" w:hAnsi="Arial Narrow"/>
                <w:sz w:val="18"/>
              </w:rPr>
              <w:t>Malestar excesivo</w:t>
            </w:r>
          </w:p>
        </w:tc>
      </w:tr>
      <w:tr w:rsidR="00D05FD4" w14:paraId="4D4FA177" w14:textId="77777777" w:rsidTr="0042533C">
        <w:trPr>
          <w:jc w:val="center"/>
        </w:trPr>
        <w:tc>
          <w:tcPr>
            <w:tcW w:w="1644" w:type="dxa"/>
            <w:vAlign w:val="center"/>
          </w:tcPr>
          <w:p w14:paraId="5355F1DD" w14:textId="77777777" w:rsidR="00D05FD4" w:rsidRDefault="00D05FD4" w:rsidP="0042533C">
            <w:pPr>
              <w:jc w:val="left"/>
            </w:pPr>
            <w:r>
              <w:rPr>
                <w:rFonts w:ascii="Arial Narrow" w:eastAsia="Arial Narrow" w:hAnsi="Arial Narrow"/>
                <w:sz w:val="18"/>
              </w:rPr>
              <w:t>Medio ambiente físico en el trabajo</w:t>
            </w:r>
          </w:p>
        </w:tc>
        <w:tc>
          <w:tcPr>
            <w:tcW w:w="1644" w:type="dxa"/>
            <w:vAlign w:val="center"/>
          </w:tcPr>
          <w:p w14:paraId="232C899F" w14:textId="77777777" w:rsidR="00D05FD4" w:rsidRDefault="00D05FD4" w:rsidP="0042533C">
            <w:pPr>
              <w:jc w:val="left"/>
            </w:pPr>
            <w:r>
              <w:rPr>
                <w:rFonts w:ascii="Arial Narrow" w:eastAsia="Arial Narrow" w:hAnsi="Arial Narrow"/>
                <w:sz w:val="18"/>
              </w:rPr>
              <w:t>28,2 %</w:t>
            </w:r>
          </w:p>
        </w:tc>
        <w:tc>
          <w:tcPr>
            <w:tcW w:w="1644" w:type="dxa"/>
            <w:vAlign w:val="center"/>
          </w:tcPr>
          <w:p w14:paraId="7EA86689" w14:textId="77777777" w:rsidR="00D05FD4" w:rsidRDefault="00D05FD4" w:rsidP="0042533C">
            <w:pPr>
              <w:jc w:val="left"/>
            </w:pPr>
            <w:r>
              <w:rPr>
                <w:rFonts w:ascii="Arial Narrow" w:eastAsia="Arial Narrow" w:hAnsi="Arial Narrow"/>
                <w:sz w:val="18"/>
              </w:rPr>
              <w:t>44,0 %</w:t>
            </w:r>
          </w:p>
        </w:tc>
        <w:tc>
          <w:tcPr>
            <w:tcW w:w="1644" w:type="dxa"/>
            <w:vAlign w:val="center"/>
          </w:tcPr>
          <w:p w14:paraId="1D728471" w14:textId="77777777" w:rsidR="00D05FD4" w:rsidRDefault="00D05FD4" w:rsidP="0042533C">
            <w:pPr>
              <w:jc w:val="left"/>
            </w:pPr>
            <w:r>
              <w:rPr>
                <w:rFonts w:ascii="Arial Narrow" w:eastAsia="Arial Narrow" w:hAnsi="Arial Narrow"/>
                <w:sz w:val="18"/>
              </w:rPr>
              <w:t>27,8 %</w:t>
            </w:r>
          </w:p>
        </w:tc>
      </w:tr>
      <w:tr w:rsidR="00D05FD4" w14:paraId="471C149F" w14:textId="77777777" w:rsidTr="0042533C">
        <w:trPr>
          <w:jc w:val="center"/>
        </w:trPr>
        <w:tc>
          <w:tcPr>
            <w:tcW w:w="1644" w:type="dxa"/>
            <w:vAlign w:val="center"/>
          </w:tcPr>
          <w:p w14:paraId="02F237D6" w14:textId="77777777" w:rsidR="00D05FD4" w:rsidRDefault="00D05FD4" w:rsidP="0042533C">
            <w:pPr>
              <w:jc w:val="left"/>
            </w:pPr>
            <w:r>
              <w:rPr>
                <w:rFonts w:ascii="Arial Narrow" w:eastAsia="Arial Narrow" w:hAnsi="Arial Narrow"/>
                <w:sz w:val="18"/>
              </w:rPr>
              <w:t>Factores propios de la tarea docente</w:t>
            </w:r>
          </w:p>
        </w:tc>
        <w:tc>
          <w:tcPr>
            <w:tcW w:w="1644" w:type="dxa"/>
            <w:vAlign w:val="center"/>
          </w:tcPr>
          <w:p w14:paraId="2154CBE9" w14:textId="77777777" w:rsidR="00D05FD4" w:rsidRDefault="00D05FD4" w:rsidP="0042533C">
            <w:pPr>
              <w:jc w:val="left"/>
            </w:pPr>
            <w:r>
              <w:rPr>
                <w:rFonts w:ascii="Arial Narrow" w:eastAsia="Arial Narrow" w:hAnsi="Arial Narrow"/>
                <w:sz w:val="18"/>
              </w:rPr>
              <w:t>30,6 %</w:t>
            </w:r>
          </w:p>
        </w:tc>
        <w:tc>
          <w:tcPr>
            <w:tcW w:w="1644" w:type="dxa"/>
            <w:vAlign w:val="center"/>
          </w:tcPr>
          <w:p w14:paraId="4D1F61D8" w14:textId="77777777" w:rsidR="00D05FD4" w:rsidRDefault="00D05FD4" w:rsidP="0042533C">
            <w:pPr>
              <w:jc w:val="left"/>
            </w:pPr>
            <w:r>
              <w:rPr>
                <w:rFonts w:ascii="Arial Narrow" w:eastAsia="Arial Narrow" w:hAnsi="Arial Narrow"/>
                <w:sz w:val="18"/>
              </w:rPr>
              <w:t>39,2 %</w:t>
            </w:r>
          </w:p>
        </w:tc>
        <w:tc>
          <w:tcPr>
            <w:tcW w:w="1644" w:type="dxa"/>
            <w:vAlign w:val="center"/>
          </w:tcPr>
          <w:p w14:paraId="47F96ECA" w14:textId="77777777" w:rsidR="00D05FD4" w:rsidRDefault="00D05FD4" w:rsidP="0042533C">
            <w:pPr>
              <w:jc w:val="left"/>
            </w:pPr>
            <w:r>
              <w:rPr>
                <w:rFonts w:ascii="Arial Narrow" w:eastAsia="Arial Narrow" w:hAnsi="Arial Narrow"/>
                <w:sz w:val="18"/>
              </w:rPr>
              <w:t>30,2 %</w:t>
            </w:r>
          </w:p>
        </w:tc>
      </w:tr>
      <w:tr w:rsidR="00D05FD4" w14:paraId="747D5F85" w14:textId="77777777" w:rsidTr="0042533C">
        <w:trPr>
          <w:jc w:val="center"/>
        </w:trPr>
        <w:tc>
          <w:tcPr>
            <w:tcW w:w="1644" w:type="dxa"/>
            <w:vAlign w:val="center"/>
          </w:tcPr>
          <w:p w14:paraId="1B4FFE6B" w14:textId="77777777" w:rsidR="00D05FD4" w:rsidRDefault="00D05FD4" w:rsidP="0042533C">
            <w:pPr>
              <w:jc w:val="left"/>
            </w:pPr>
            <w:r>
              <w:rPr>
                <w:rFonts w:ascii="Arial Narrow" w:eastAsia="Arial Narrow" w:hAnsi="Arial Narrow"/>
                <w:sz w:val="18"/>
              </w:rPr>
              <w:t>Organización del tiempo de trabajo</w:t>
            </w:r>
          </w:p>
        </w:tc>
        <w:tc>
          <w:tcPr>
            <w:tcW w:w="1644" w:type="dxa"/>
            <w:vAlign w:val="center"/>
          </w:tcPr>
          <w:p w14:paraId="66DFFC80" w14:textId="77777777" w:rsidR="00D05FD4" w:rsidRDefault="00D05FD4" w:rsidP="0042533C">
            <w:pPr>
              <w:jc w:val="left"/>
            </w:pPr>
            <w:r>
              <w:rPr>
                <w:rFonts w:ascii="Arial Narrow" w:eastAsia="Arial Narrow" w:hAnsi="Arial Narrow"/>
                <w:sz w:val="18"/>
              </w:rPr>
              <w:t>35,8 %</w:t>
            </w:r>
          </w:p>
        </w:tc>
        <w:tc>
          <w:tcPr>
            <w:tcW w:w="1644" w:type="dxa"/>
            <w:vAlign w:val="center"/>
          </w:tcPr>
          <w:p w14:paraId="39E6AC18" w14:textId="77777777" w:rsidR="00D05FD4" w:rsidRDefault="00D05FD4" w:rsidP="0042533C">
            <w:pPr>
              <w:jc w:val="left"/>
            </w:pPr>
            <w:r>
              <w:rPr>
                <w:rFonts w:ascii="Arial Narrow" w:eastAsia="Arial Narrow" w:hAnsi="Arial Narrow"/>
                <w:sz w:val="18"/>
              </w:rPr>
              <w:t>37,0 %</w:t>
            </w:r>
          </w:p>
        </w:tc>
        <w:tc>
          <w:tcPr>
            <w:tcW w:w="1644" w:type="dxa"/>
            <w:vAlign w:val="center"/>
          </w:tcPr>
          <w:p w14:paraId="6164D647" w14:textId="77777777" w:rsidR="00D05FD4" w:rsidRDefault="00D05FD4" w:rsidP="0042533C">
            <w:pPr>
              <w:jc w:val="left"/>
            </w:pPr>
            <w:r>
              <w:rPr>
                <w:rFonts w:ascii="Arial Narrow" w:eastAsia="Arial Narrow" w:hAnsi="Arial Narrow"/>
                <w:sz w:val="18"/>
              </w:rPr>
              <w:t>27,2 %</w:t>
            </w:r>
          </w:p>
        </w:tc>
      </w:tr>
      <w:tr w:rsidR="00D05FD4" w14:paraId="51D6A25E" w14:textId="77777777" w:rsidTr="0042533C">
        <w:trPr>
          <w:jc w:val="center"/>
        </w:trPr>
        <w:tc>
          <w:tcPr>
            <w:tcW w:w="1644" w:type="dxa"/>
            <w:vAlign w:val="center"/>
          </w:tcPr>
          <w:p w14:paraId="08C66994" w14:textId="77777777" w:rsidR="00D05FD4" w:rsidRDefault="00D05FD4" w:rsidP="0042533C">
            <w:pPr>
              <w:jc w:val="left"/>
            </w:pPr>
            <w:r>
              <w:rPr>
                <w:rFonts w:ascii="Arial Narrow" w:eastAsia="Arial Narrow" w:hAnsi="Arial Narrow"/>
                <w:sz w:val="18"/>
              </w:rPr>
              <w:t>Aspectos institucionales</w:t>
            </w:r>
          </w:p>
        </w:tc>
        <w:tc>
          <w:tcPr>
            <w:tcW w:w="1644" w:type="dxa"/>
            <w:vAlign w:val="center"/>
          </w:tcPr>
          <w:p w14:paraId="3ECD1AC6" w14:textId="77777777" w:rsidR="00D05FD4" w:rsidRDefault="00D05FD4" w:rsidP="0042533C">
            <w:pPr>
              <w:jc w:val="left"/>
            </w:pPr>
            <w:r>
              <w:rPr>
                <w:rFonts w:ascii="Arial Narrow" w:eastAsia="Arial Narrow" w:hAnsi="Arial Narrow"/>
                <w:sz w:val="18"/>
              </w:rPr>
              <w:t>45,1 %</w:t>
            </w:r>
          </w:p>
        </w:tc>
        <w:tc>
          <w:tcPr>
            <w:tcW w:w="1644" w:type="dxa"/>
            <w:vAlign w:val="center"/>
          </w:tcPr>
          <w:p w14:paraId="5D88E6C2" w14:textId="77777777" w:rsidR="00D05FD4" w:rsidRDefault="00D05FD4" w:rsidP="0042533C">
            <w:pPr>
              <w:jc w:val="left"/>
            </w:pPr>
            <w:r>
              <w:rPr>
                <w:rFonts w:ascii="Arial Narrow" w:eastAsia="Arial Narrow" w:hAnsi="Arial Narrow"/>
                <w:sz w:val="18"/>
              </w:rPr>
              <w:t>33,0 %</w:t>
            </w:r>
          </w:p>
        </w:tc>
        <w:tc>
          <w:tcPr>
            <w:tcW w:w="1644" w:type="dxa"/>
            <w:vAlign w:val="center"/>
          </w:tcPr>
          <w:p w14:paraId="68098F98" w14:textId="77777777" w:rsidR="00D05FD4" w:rsidRDefault="00D05FD4" w:rsidP="0042533C">
            <w:pPr>
              <w:jc w:val="left"/>
            </w:pPr>
            <w:r>
              <w:rPr>
                <w:rFonts w:ascii="Arial Narrow" w:eastAsia="Arial Narrow" w:hAnsi="Arial Narrow"/>
                <w:sz w:val="18"/>
              </w:rPr>
              <w:t>21,9 %</w:t>
            </w:r>
          </w:p>
        </w:tc>
      </w:tr>
      <w:tr w:rsidR="00D05FD4" w14:paraId="2B3BF606" w14:textId="77777777" w:rsidTr="0042533C">
        <w:trPr>
          <w:jc w:val="center"/>
        </w:trPr>
        <w:tc>
          <w:tcPr>
            <w:tcW w:w="1644" w:type="dxa"/>
            <w:vAlign w:val="center"/>
          </w:tcPr>
          <w:p w14:paraId="321FDC6C" w14:textId="77777777" w:rsidR="00D05FD4" w:rsidRDefault="00D05FD4" w:rsidP="0042533C">
            <w:pPr>
              <w:jc w:val="left"/>
            </w:pPr>
            <w:r>
              <w:rPr>
                <w:rFonts w:ascii="Arial Narrow" w:eastAsia="Arial Narrow" w:hAnsi="Arial Narrow"/>
                <w:sz w:val="18"/>
              </w:rPr>
              <w:t>Cambios tecnológicos</w:t>
            </w:r>
          </w:p>
        </w:tc>
        <w:tc>
          <w:tcPr>
            <w:tcW w:w="1644" w:type="dxa"/>
            <w:vAlign w:val="center"/>
          </w:tcPr>
          <w:p w14:paraId="0B57E0C5" w14:textId="77777777" w:rsidR="00D05FD4" w:rsidRDefault="00D05FD4" w:rsidP="0042533C">
            <w:pPr>
              <w:jc w:val="left"/>
            </w:pPr>
            <w:r>
              <w:rPr>
                <w:rFonts w:ascii="Arial Narrow" w:eastAsia="Arial Narrow" w:hAnsi="Arial Narrow"/>
                <w:sz w:val="18"/>
              </w:rPr>
              <w:t>35,5 %</w:t>
            </w:r>
          </w:p>
        </w:tc>
        <w:tc>
          <w:tcPr>
            <w:tcW w:w="1644" w:type="dxa"/>
            <w:vAlign w:val="center"/>
          </w:tcPr>
          <w:p w14:paraId="4556AE9F" w14:textId="77777777" w:rsidR="00D05FD4" w:rsidRDefault="00D05FD4" w:rsidP="0042533C">
            <w:pPr>
              <w:jc w:val="left"/>
            </w:pPr>
            <w:r>
              <w:rPr>
                <w:rFonts w:ascii="Arial Narrow" w:eastAsia="Arial Narrow" w:hAnsi="Arial Narrow"/>
                <w:sz w:val="18"/>
              </w:rPr>
              <w:t>35,0 %</w:t>
            </w:r>
          </w:p>
        </w:tc>
        <w:tc>
          <w:tcPr>
            <w:tcW w:w="1644" w:type="dxa"/>
            <w:vAlign w:val="center"/>
          </w:tcPr>
          <w:p w14:paraId="2975E76C" w14:textId="77777777" w:rsidR="00D05FD4" w:rsidRDefault="00D05FD4" w:rsidP="0042533C">
            <w:pPr>
              <w:jc w:val="left"/>
            </w:pPr>
            <w:r>
              <w:rPr>
                <w:rFonts w:ascii="Arial Narrow" w:eastAsia="Arial Narrow" w:hAnsi="Arial Narrow"/>
                <w:sz w:val="18"/>
              </w:rPr>
              <w:t>29,5 %</w:t>
            </w:r>
          </w:p>
        </w:tc>
      </w:tr>
      <w:tr w:rsidR="00D05FD4" w14:paraId="7D67AA29" w14:textId="77777777" w:rsidTr="0042533C">
        <w:trPr>
          <w:jc w:val="center"/>
        </w:trPr>
        <w:tc>
          <w:tcPr>
            <w:tcW w:w="1644" w:type="dxa"/>
            <w:vAlign w:val="center"/>
          </w:tcPr>
          <w:p w14:paraId="365A0B36" w14:textId="77777777" w:rsidR="00D05FD4" w:rsidRDefault="00D05FD4" w:rsidP="0042533C">
            <w:pPr>
              <w:jc w:val="left"/>
            </w:pPr>
            <w:r>
              <w:rPr>
                <w:rFonts w:ascii="Arial Narrow" w:eastAsia="Arial Narrow" w:hAnsi="Arial Narrow"/>
                <w:sz w:val="18"/>
              </w:rPr>
              <w:t>Aspectos personales</w:t>
            </w:r>
          </w:p>
        </w:tc>
        <w:tc>
          <w:tcPr>
            <w:tcW w:w="1644" w:type="dxa"/>
            <w:vAlign w:val="center"/>
          </w:tcPr>
          <w:p w14:paraId="376CF7F3" w14:textId="77777777" w:rsidR="00D05FD4" w:rsidRDefault="00D05FD4" w:rsidP="0042533C">
            <w:pPr>
              <w:jc w:val="left"/>
            </w:pPr>
            <w:r>
              <w:rPr>
                <w:rFonts w:ascii="Arial Narrow" w:eastAsia="Arial Narrow" w:hAnsi="Arial Narrow"/>
                <w:sz w:val="18"/>
              </w:rPr>
              <w:t>51,3 %</w:t>
            </w:r>
          </w:p>
        </w:tc>
        <w:tc>
          <w:tcPr>
            <w:tcW w:w="1644" w:type="dxa"/>
            <w:vAlign w:val="center"/>
          </w:tcPr>
          <w:p w14:paraId="6A70FD3E" w14:textId="77777777" w:rsidR="00D05FD4" w:rsidRDefault="00D05FD4" w:rsidP="0042533C">
            <w:pPr>
              <w:jc w:val="left"/>
            </w:pPr>
            <w:r>
              <w:rPr>
                <w:rFonts w:ascii="Arial Narrow" w:eastAsia="Arial Narrow" w:hAnsi="Arial Narrow"/>
                <w:sz w:val="18"/>
              </w:rPr>
              <w:t>31,7 %</w:t>
            </w:r>
          </w:p>
        </w:tc>
        <w:tc>
          <w:tcPr>
            <w:tcW w:w="1644" w:type="dxa"/>
            <w:vAlign w:val="center"/>
          </w:tcPr>
          <w:p w14:paraId="0BB016CF" w14:textId="77777777" w:rsidR="00D05FD4" w:rsidRDefault="00D05FD4" w:rsidP="0042533C">
            <w:pPr>
              <w:jc w:val="left"/>
            </w:pPr>
            <w:r>
              <w:rPr>
                <w:rFonts w:ascii="Arial Narrow" w:eastAsia="Arial Narrow" w:hAnsi="Arial Narrow"/>
                <w:sz w:val="18"/>
              </w:rPr>
              <w:t>17,0 %</w:t>
            </w:r>
          </w:p>
        </w:tc>
      </w:tr>
    </w:tbl>
    <w:p w14:paraId="0CF7D21F" w14:textId="3545C06F" w:rsidR="00D05FD4" w:rsidRDefault="00D05FD4" w:rsidP="00D05FD4">
      <w:pPr>
        <w:pStyle w:val="Fuente"/>
        <w:jc w:val="left"/>
      </w:pPr>
      <w:r>
        <w:t>Fuente: elaboración propia a partir del análisis descriptivo por dimensiones del IMPAL-D. Nota: el porcentaje de malestar escaso en medio ambiente físico se calcula por diferencia respecto de las categorías “mediano” y “excesivo” reportadas.</w:t>
      </w:r>
    </w:p>
    <w:p w14:paraId="75F73E4E" w14:textId="77777777" w:rsidR="00D05FD4" w:rsidRDefault="00D05FD4" w:rsidP="00D05FD4">
      <w:pPr>
        <w:pStyle w:val="Ttulo2"/>
      </w:pPr>
      <w:r>
        <w:t>4.2. Medio ambiente físico en el trabajo</w:t>
      </w:r>
    </w:p>
    <w:p w14:paraId="291E3412" w14:textId="77777777" w:rsidR="00D05FD4" w:rsidRDefault="00D05FD4" w:rsidP="00D05FD4">
      <w:r>
        <w:t>La dimensión medio ambiente físico en el trabajo presentó uno de los niveles más elevados de malestar docente en la muestra analizada. El 44,0 % de las respuestas se ubicó en el nivel de malestar mediano, mientras que el 27,8 % correspondió a malestar excesivo. Esto significa que más de siete de cada diez respuestas se concentraron en niveles mediano o excesivo, evidenciando que las condiciones materiales del entorno escolar constituyen una fuente relevante de tensión para el profesorado.</w:t>
      </w:r>
    </w:p>
    <w:p w14:paraId="06C04D9D" w14:textId="77777777" w:rsidR="00D05FD4" w:rsidRDefault="00D05FD4" w:rsidP="00D05FD4">
      <w:r>
        <w:t xml:space="preserve">Los ítems con mayor expresión de malestar se relacionaron con el ruido excesivo, las condiciones deficientes de higiene, la mala ventilación y la falta de espacio físico en el aula. Estos resultados muestran que el malestar docente no se origina únicamente en la tarea pedagógica directa, sino también en elementos estructurales del ambiente laboral. Desde una lectura psicosocial, el aula y la institución no son escenarios </w:t>
      </w:r>
      <w:r>
        <w:lastRenderedPageBreak/>
        <w:t>neutros; sus condiciones físicas pueden facilitar o dificultar el desempeño profesional y afectar la percepción de bienestar.</w:t>
      </w:r>
    </w:p>
    <w:p w14:paraId="1A6E46EC" w14:textId="77777777" w:rsidR="00D05FD4" w:rsidRDefault="00D05FD4" w:rsidP="00D05FD4">
      <w:r>
        <w:t>La relevancia de esta dimensión radica en que las condiciones físicas inadecuadas operan como estresores ambientales crónicos. Cuando el docente desarrolla su trabajo en espacios ruidosos, poco ventilados, con limitaciones de higiene o con insuficiente espacio para la actividad pedagógica, se incrementa la carga de adaptación cotidiana. Esta exposición sostenida puede reducir la sensación de control, aumentar la irritabilidad, dificultar la concentración y contribuir al agotamiento emocional.</w:t>
      </w:r>
    </w:p>
    <w:p w14:paraId="13A378C5" w14:textId="77777777" w:rsidR="00D05FD4" w:rsidRDefault="00D05FD4" w:rsidP="00D05FD4">
      <w:pPr>
        <w:pStyle w:val="Ttulo2"/>
      </w:pPr>
      <w:r>
        <w:t>4.3. Factores propios de la tarea docente</w:t>
      </w:r>
    </w:p>
    <w:p w14:paraId="015CD76A" w14:textId="77777777" w:rsidR="00D05FD4" w:rsidRDefault="00D05FD4" w:rsidP="00D05FD4">
      <w:r>
        <w:t>La dimensión factores propios de la tarea docente también presentó niveles elevados de malestar. El 39,2 % de las respuestas se ubicó en malestar mediano y el 30,2 % en malestar excesivo. Estos porcentajes indican que una proporción sustantiva del profesorado percibe las exigencias inherentes a su labor como fuentes significativas de malestar.</w:t>
      </w:r>
    </w:p>
    <w:p w14:paraId="61C0B9AC" w14:textId="77777777" w:rsidR="00D05FD4" w:rsidRDefault="00D05FD4" w:rsidP="00D05FD4">
      <w:r>
        <w:t>Los aspectos que concentraron mayor tensión fueron el trabajo burocrático, la percepción de exigencias excesivas, la falta de recursos necesarios para realizar la tarea y la sensación de que la remuneración no resulta acorde con la responsabilidad asumida. Estos hallazgos permiten comprender que el malestar asociado a la tarea no depende solamente de enseñar, planificar o evaluar, sino de la ampliación del rol docente hacia responsabilidades administrativas y organizativas que muchas veces exceden el tiempo y los recursos disponibles.</w:t>
      </w:r>
    </w:p>
    <w:p w14:paraId="399FF638" w14:textId="77777777" w:rsidR="00D05FD4" w:rsidRDefault="00D05FD4" w:rsidP="00D05FD4">
      <w:r>
        <w:t>La multiplicidad de funciones aparece como un elemento central. El profesorado debe responder simultáneamente a demandas pedagógicas, administrativas, afectivas y comunitarias. Cuando estas demandas se acumulan sin apoyos suficientes, se produce una percepción de desajuste entre lo que se exige y lo que efectivamente puede sostenerse. Esta lectura coincide con los modelos de estrés laboral que explican el malestar como resultado del desequilibrio entre demandas y recursos (Karasek &amp; Theorell, 1990; Lazarus &amp; Folkman, 1984).</w:t>
      </w:r>
    </w:p>
    <w:p w14:paraId="48B59584" w14:textId="77777777" w:rsidR="00D05FD4" w:rsidRDefault="00D05FD4" w:rsidP="00D05FD4">
      <w:pPr>
        <w:pStyle w:val="Ttulo2"/>
      </w:pPr>
      <w:r>
        <w:lastRenderedPageBreak/>
        <w:t>4.4. Organización del tiempo de trabajo</w:t>
      </w:r>
    </w:p>
    <w:p w14:paraId="7935B441" w14:textId="77777777" w:rsidR="00D05FD4" w:rsidRDefault="00D05FD4" w:rsidP="00D05FD4">
      <w:r>
        <w:t>La organización del tiempo de trabajo se configuró como otra dimensión relevante del malestar docente. El 37,0 % de las respuestas correspondió a malestar mediano y el 27,2 % a malestar excesivo. Estos resultados muestran que una parte importante del profesorado experimenta dificultades para gestionar adecuadamente el tiempo destinado a sus actividades laborales.</w:t>
      </w:r>
    </w:p>
    <w:p w14:paraId="1C511082" w14:textId="77777777" w:rsidR="00D05FD4" w:rsidRDefault="00D05FD4" w:rsidP="00D05FD4">
      <w:r>
        <w:t>Los principales focos de malestar se relacionaron con trabajar bajo plazos muy ajustados, no poder organizar la propia tarea, tener múltiples lugares de trabajo y realizar actividades laborales fuera del horario formal. Estos elementos reflejan una tensión entre el tiempo institucionalmente disponible y el volumen real de tareas asignadas. La dificultad para delimitar la jornada laboral afecta la conciliación entre vida profesional y vida personal, e incrementa la percepción de sobrecarga.</w:t>
      </w:r>
    </w:p>
    <w:p w14:paraId="6CF31E78" w14:textId="77777777" w:rsidR="00D05FD4" w:rsidRDefault="00D05FD4" w:rsidP="00D05FD4">
      <w:r>
        <w:t>Desde una mirada psicosocial, el tiempo no es solo una variable administrativa, sino una condición de bienestar. La pérdida de control sobre la organización temporal de la tarea puede generar sensación de urgencia permanente, reducir la autonomía profesional y aumentar el estrés percibido. En este sentido, el malestar no se vincula únicamente con la cantidad de trabajo, sino con la forma en que este se estructura, distribuye y exige institucionalmente.</w:t>
      </w:r>
    </w:p>
    <w:p w14:paraId="45E4DA3A" w14:textId="77777777" w:rsidR="00D05FD4" w:rsidRDefault="00D05FD4" w:rsidP="00D05FD4">
      <w:pPr>
        <w:pStyle w:val="Ttulo2"/>
      </w:pPr>
      <w:r>
        <w:t>4.5. Aspectos institucionales</w:t>
      </w:r>
    </w:p>
    <w:p w14:paraId="7794CDFD" w14:textId="77777777" w:rsidR="00D05FD4" w:rsidRDefault="00D05FD4" w:rsidP="00D05FD4">
      <w:r>
        <w:t>La dimensión aspectos institucionales mostró un patrón de malestar moderado en comparación con las dimensiones físicas y propias de la tarea. El 45,1 % de las respuestas se ubicó en malestar escaso, el 33,0 % en malestar mediano y el 21,9 % en malestar excesivo. Aunque el nivel de malestar excesivo fue menor que en otras dimensiones, más de la mitad de las respuestas se ubicaron entre malestar mediano y excesivo, lo que evidencia la importancia del funcionamiento institucional en la experiencia docente.</w:t>
      </w:r>
    </w:p>
    <w:p w14:paraId="22AF6AD5" w14:textId="77777777" w:rsidR="00D05FD4" w:rsidRDefault="00D05FD4" w:rsidP="00D05FD4">
      <w:r>
        <w:t xml:space="preserve">Los ítems más relevantes se relacionaron con la imposibilidad de dialogar con los directivos, la escasa participación en la toma de decisiones, la falta de claridad en las normas institucionales y la percepción de </w:t>
      </w:r>
      <w:r>
        <w:lastRenderedPageBreak/>
        <w:t>una supervisión centrada en los errores. Estos elementos indican que la calidad del liderazgo, la comunicación institucional y la participación docente pueden actuar como factores protectores o de riesgo frente al malestar.</w:t>
      </w:r>
    </w:p>
    <w:p w14:paraId="3EA23409" w14:textId="77777777" w:rsidR="00D05FD4" w:rsidRDefault="00D05FD4" w:rsidP="00D05FD4">
      <w:r>
        <w:t>La institución educativa constituye un espacio de reconocimiento, pertenencia y soporte. Cuando el docente percibe ausencia de escucha, normas poco claras o supervisión punitiva, puede disminuir su sentido de eficacia y aumentar la tensión emocional. En cambio, un liderazgo participativo, el apoyo directivo y la claridad organizacional pueden reducir la percepción de amenaza y fortalecer el compromiso profesional.</w:t>
      </w:r>
    </w:p>
    <w:p w14:paraId="6FB3221F" w14:textId="77777777" w:rsidR="00D05FD4" w:rsidRDefault="00D05FD4" w:rsidP="00D05FD4">
      <w:pPr>
        <w:pStyle w:val="Ttulo2"/>
      </w:pPr>
      <w:r>
        <w:t>4.6. Cambios tecnológicos</w:t>
      </w:r>
    </w:p>
    <w:p w14:paraId="4630EBD5" w14:textId="77777777" w:rsidR="00D05FD4" w:rsidRDefault="00D05FD4" w:rsidP="00D05FD4">
      <w:r>
        <w:t>La dimensión cambios tecnológicos presentó niveles moderados de malestar. El 35,5 % de las respuestas se ubicó en malestar escaso, el 35,0 % en malestar mediano y el 29,5 % en malestar excesivo. Aunque esta dimensión no constituyó el principal foco del malestar general, los datos evidencian que la adaptación tecnológica representa una fuente de tensión para un grupo importante de docentes.</w:t>
      </w:r>
    </w:p>
    <w:p w14:paraId="5DD42BDC" w14:textId="77777777" w:rsidR="00D05FD4" w:rsidRDefault="00D05FD4" w:rsidP="00D05FD4">
      <w:r>
        <w:t>Las mayores expresiones de malestar se asociaron con la percepción de no estar suficientemente preparado para el uso de nuevas tecnologías y con la exigencia de aprender herramientas informáticas de manera acelerada. Este resultado sugiere que el malestar tecnológico no se explica necesariamente por rechazo a la tecnología, sino por la velocidad de los cambios, la insuficiencia de capacitación y la falta de acompañamiento institucional.</w:t>
      </w:r>
    </w:p>
    <w:p w14:paraId="2FA37CD3" w14:textId="77777777" w:rsidR="00D05FD4" w:rsidRDefault="00D05FD4" w:rsidP="00D05FD4">
      <w:r>
        <w:t>La digitalización del trabajo docente ha modificado la manera de planificar, evaluar, comunicarse con estudiantes y familias, registrar evidencias y cumplir tareas administrativas. Cuando estas transformaciones se incorporan sin tiempos adecuados de formación y sin soporte técnico, pueden incrementar la carga cognitiva y emocional del profesorado. Por ello, la tecnología debe ser interpretada no solo como herramienta de innovación, sino también como una demanda laboral que requiere condiciones de implementación.</w:t>
      </w:r>
    </w:p>
    <w:p w14:paraId="2DF885B1" w14:textId="77777777" w:rsidR="00D05FD4" w:rsidRDefault="00D05FD4" w:rsidP="00D05FD4">
      <w:pPr>
        <w:pStyle w:val="Ttulo2"/>
      </w:pPr>
      <w:r>
        <w:lastRenderedPageBreak/>
        <w:t>4.7. Aspectos personales</w:t>
      </w:r>
    </w:p>
    <w:p w14:paraId="322DA561" w14:textId="77777777" w:rsidR="00D05FD4" w:rsidRDefault="00D05FD4" w:rsidP="00D05FD4">
      <w:r>
        <w:t>La dimensión aspectos personales presentó los niveles más bajos de malestar docente en comparación con las demás dimensiones. El 51,3 % de las respuestas se ubicó en malestar escaso, el 31,7 % en malestar mediano y el 17,0 % en malestar excesivo. Este patrón sugiere que, en términos generales, los docentes conservan recursos personales y estrategias de afrontamiento que les permiten sostener su bienestar subjetivo pese a las exigencias laborales.</w:t>
      </w:r>
    </w:p>
    <w:p w14:paraId="1C2E380E" w14:textId="77777777" w:rsidR="00D05FD4" w:rsidRDefault="00D05FD4" w:rsidP="00D05FD4">
      <w:r>
        <w:t>Sin embargo, la existencia de respuestas en niveles mediano y excesivo indica que los aspectos personales no deben ser descartados. Los ítems con mayor presencia de malestar se relacionaron con sentirse agobiado por el trabajo, experimentar dificultades para conciliar la vida laboral y familiar y percibir escasas posibilidades de progreso profesional. Estos resultados muestran que la dimensión personal se encuentra estrechamente conectada con las condiciones organizativas del trabajo.</w:t>
      </w:r>
    </w:p>
    <w:p w14:paraId="3429454E" w14:textId="77777777" w:rsidR="00D05FD4" w:rsidRDefault="00D05FD4" w:rsidP="00D05FD4">
      <w:r>
        <w:t>La lectura de esta dimensión debe evitar una interpretación individualizante. El menor nivel relativo de malestar personal no significa ausencia de afectación, sino que los factores personales parecen amplificar o mitigar el impacto de condiciones laborales más estructurales. En otras palabras, el malestar no reside exclusivamente en el sujeto, sino en la relación entre los recursos personales disponibles y las exigencias del entorno profesional.</w:t>
      </w:r>
    </w:p>
    <w:p w14:paraId="2E54A178" w14:textId="77777777" w:rsidR="00D05FD4" w:rsidRDefault="00D05FD4" w:rsidP="00D05FD4">
      <w:pPr>
        <w:pStyle w:val="Ttulo1"/>
      </w:pPr>
      <w:r>
        <w:t>5. Discusión</w:t>
      </w:r>
    </w:p>
    <w:p w14:paraId="7FC35427" w14:textId="77777777" w:rsidR="00D05FD4" w:rsidRDefault="00D05FD4" w:rsidP="00D05FD4">
      <w:r>
        <w:t>Los resultados permiten sostener que las manifestaciones del malestar docente en la población estudiada se concentran principalmente en dimensiones estructurales y organizativas del trabajo. El medio ambiente físico, los factores propios de la tarea docente y la organización del tiempo de trabajo registraron los niveles más relevantes de malestar mediano y excesivo. Este patrón confirma que el malestar docente no puede comprenderse como una experiencia aislada, subjetiva o exclusivamente personal, sino como una expresión de tensiones vinculadas a las condiciones en que se ejerce la docencia.</w:t>
      </w:r>
    </w:p>
    <w:p w14:paraId="03805B07" w14:textId="77777777" w:rsidR="00D05FD4" w:rsidRDefault="00D05FD4" w:rsidP="00D05FD4">
      <w:r>
        <w:lastRenderedPageBreak/>
        <w:t>La dimensión medio ambiente físico emergió como uno de los focos centrales del malestar. Este hallazgo es significativo porque muchas veces las discusiones sobre bienestar docente privilegian factores emocionales o pedagógicos y dejan en segundo plano las condiciones materiales del trabajo. Sin embargo, los resultados muestran que ruido, ventilación, higiene y espacio físico son aspectos que inciden de manera concreta en la experiencia laboral. Desde una perspectiva psicosocial, el ambiente físico forma parte del entramado de condiciones que posibilitan o dificultan la práctica educativa.</w:t>
      </w:r>
    </w:p>
    <w:p w14:paraId="6E30BC95" w14:textId="77777777" w:rsidR="00D05FD4" w:rsidRDefault="00D05FD4" w:rsidP="00D05FD4">
      <w:r>
        <w:t>Los factores propios de la tarea docente evidenciaron la ampliación del rol profesional. La presencia de malestar asociado al trabajo burocrático, la exigencia excesiva, la falta de recursos y la percepción de baja correspondencia entre responsabilidad y remuneración confirma que la tarea docente se ha complejizado. Este resultado dialoga con los planteamientos de Esteve (1994), quien advierte que el malestar docente se intensifica cuando el profesorado enfrenta nuevas exigencias sociales e institucionales sin recursos suficientes para responder a ellas.</w:t>
      </w:r>
    </w:p>
    <w:p w14:paraId="5EBFA44D" w14:textId="77777777" w:rsidR="00D05FD4" w:rsidRDefault="00D05FD4" w:rsidP="00D05FD4">
      <w:r>
        <w:t>La organización del tiempo de trabajo permite comprender otra dimensión crítica del fenómeno. La presión por cumplir plazos, la extensión del trabajo fuera del horario formal y la dificultad para organizar la propia tarea reflejan una pérdida de control sobre el tiempo laboral. Esta condición es relevante porque afecta la autonomía, la recuperación emocional y la posibilidad de equilibrar responsabilidades personales y profesionales. En este sentido, el tiempo aparece como un recurso de salud, no solo como un componente administrativo de la gestión escolar.</w:t>
      </w:r>
    </w:p>
    <w:p w14:paraId="790F07B1" w14:textId="77777777" w:rsidR="00D05FD4" w:rsidRDefault="00D05FD4" w:rsidP="00D05FD4">
      <w:r>
        <w:t>Los aspectos institucionales mostraron un nivel moderado de malestar, pero su importancia no debe minimizarse. La comunicación con directivos, la participación en la toma de decisiones, la claridad normativa y el estilo de supervisión inciden en la forma en que los docentes interpretan las demandas del trabajo. Un clima institucional poco participativo puede aumentar la sensación de aislamiento, mientras que un liderazgo cercano y claro puede actuar como factor protector frente al malestar.</w:t>
      </w:r>
    </w:p>
    <w:p w14:paraId="50A71CD1" w14:textId="77777777" w:rsidR="00D05FD4" w:rsidRDefault="00D05FD4" w:rsidP="00D05FD4">
      <w:r>
        <w:lastRenderedPageBreak/>
        <w:t>Los cambios tecnológicos y los aspectos personales presentaron niveles comparativamente menores. Este resultado sugiere que, aunque la tecnología y los recursos personales influyen en la experiencia docente, no constituyen el núcleo principal del malestar en la muestra analizada. No obstante, la adaptación tecnológica acelerada y la dificultad para conciliar vida laboral y familiar son indicadores que deben atenderse, especialmente en escenarios educativos donde la digitalización y la disponibilidad permanente tienden a ampliar la jornada real de trabajo.</w:t>
      </w:r>
    </w:p>
    <w:p w14:paraId="36096028" w14:textId="77777777" w:rsidR="00D05FD4" w:rsidRDefault="00D05FD4" w:rsidP="00D05FD4">
      <w:r>
        <w:t>En conjunto, los hallazgos respaldan una lectura multidimensional del malestar docente. Las manifestaciones identificadas no se distribuyen de manera homogénea, sino que se organizan en torno a núcleos de tensión específicos: condiciones físicas, exigencias de la tarea, gestión del tiempo, funcionamiento institucional, adaptación tecnológica y recursos personales. Esta lectura resulta valiosa para el diseño de estrategias preventivas, pues permite diferenciar entre intervenciones centradas en infraestructura, organización laboral, liderazgo institucional, formación tecnológica y acompañamiento psicosocial.</w:t>
      </w:r>
    </w:p>
    <w:p w14:paraId="20BABD65" w14:textId="77777777" w:rsidR="00D05FD4" w:rsidRDefault="00D05FD4" w:rsidP="00D05FD4">
      <w:r>
        <w:t>Un aporte central de estos resultados es que permiten desplazar la mirada desde la responsabilidad individual del docente hacia las condiciones de trabajo que configuran su experiencia cotidiana. Aunque los recursos personales, la vocación y las estrategias de afrontamiento son relevantes, los datos muestran que las mayores proporciones de malestar se encuentran en dimensiones que dependen de la organización escolar y de las condiciones materiales e institucionales. Esta evidencia resulta importante para evitar discursos que atribuyen el malestar exclusivamente a falta de resiliencia o a limitaciones personales del profesorado.</w:t>
      </w:r>
    </w:p>
    <w:p w14:paraId="37007D85" w14:textId="77777777" w:rsidR="00D05FD4" w:rsidRDefault="00D05FD4" w:rsidP="00D05FD4">
      <w:r>
        <w:t>Asimismo, la caracterización realizada permite identificar prioridades de intervención. En primer lugar, se requiere atender las condiciones físicas de los espacios educativos, dado que el ambiente material aparece como un componente relevante del bienestar docente. En segundo lugar, resulta necesario revisar la distribución de tareas y la carga burocrática, especialmente cuando esta reduce el tiempo disponible para la función pedagógica. En tercer lugar, la gestión institucional debe forta</w:t>
      </w:r>
      <w:r>
        <w:lastRenderedPageBreak/>
        <w:t>lecer mecanismos de participación, escucha y acompañamiento, considerando que el apoyo directivo puede disminuir la percepción de aislamiento y aumentar la seguridad psicológica del profesorado.</w:t>
      </w:r>
    </w:p>
    <w:p w14:paraId="28DC2924" w14:textId="77777777" w:rsidR="00D05FD4" w:rsidRDefault="00D05FD4" w:rsidP="00D05FD4">
      <w:r>
        <w:t>Finalmente, estos hallazgos ofrecen una base empírica para la continuidad del estudio doctoral, pues permiten reconocer cuáles dimensiones descriptivas merecen ser exploradas posteriormente mediante análisis asociativos y predictivos. Antes de construir modelos de predicción, es necesario comprender cómo se manifiesta el fenómeno y en qué ámbitos se concentra. Por ello, el objetivo específico abordado en este capítulo cumple una función metodológica y sustantiva: ordenar el fenómeno, ubicar sus principales expresiones y fundamentar la necesidad de estrategias preventivas situadas en la realidad educativa del distrito analizado.</w:t>
      </w:r>
    </w:p>
    <w:p w14:paraId="21230B0B" w14:textId="77777777" w:rsidR="00D05FD4" w:rsidRDefault="00D05FD4" w:rsidP="00D05FD4">
      <w:pPr>
        <w:pStyle w:val="Ttulo1"/>
      </w:pPr>
      <w:r>
        <w:t>6. Conclusiones</w:t>
      </w:r>
    </w:p>
    <w:p w14:paraId="586B6AFA" w14:textId="77777777" w:rsidR="00D05FD4" w:rsidRDefault="00D05FD4" w:rsidP="00D05FD4">
      <w:r>
        <w:t>El análisis descriptivo del primer objetivo específico permitió caracterizar las manifestaciones del malestar docente en profesores de Educación General Básica. Los resultados muestran que el malestar se expresa con mayor intensidad en dimensiones vinculadas a las condiciones físicas y organizativas del trabajo, particularmente en el medio ambiente físico, los factores propios de la tarea docente y la organización del tiempo laboral.</w:t>
      </w:r>
    </w:p>
    <w:p w14:paraId="2BF3EBB0" w14:textId="77777777" w:rsidR="00D05FD4" w:rsidRDefault="00D05FD4" w:rsidP="00D05FD4">
      <w:r>
        <w:t>La dimensión medio ambiente físico concentró una proporción importante de respuestas en niveles mediano y excesivo, asociadas principalmente con ruido, higiene, ventilación y espacio físico. Esto evidencia que las condiciones materiales de la institución educativa tienen un impacto directo en la experiencia subjetiva de bienestar del profesorado.</w:t>
      </w:r>
    </w:p>
    <w:p w14:paraId="47A583DF" w14:textId="77777777" w:rsidR="00D05FD4" w:rsidRDefault="00D05FD4" w:rsidP="00D05FD4">
      <w:r>
        <w:t>Los factores propios de la tarea docente mostraron que la sobrecarga, el trabajo burocrático, la falta de recursos y la percepción de exigencias excesivas constituyen fuentes relevantes de malestar. Estos hallazgos reflejan una ampliación del rol docente que no siempre se acompaña de condiciones institucionales suficientes para sostenerlo.</w:t>
      </w:r>
    </w:p>
    <w:p w14:paraId="33C0E00C" w14:textId="77777777" w:rsidR="00D05FD4" w:rsidRDefault="00D05FD4" w:rsidP="00D05FD4">
      <w:r>
        <w:lastRenderedPageBreak/>
        <w:t>La organización del tiempo de trabajo se identificó como una dimensión crítica, vinculada con plazos ajustados, extensión de actividades fuera del horario formal y dificultad para organizar la propia tarea. Esta dimensión revela que el malestar docente también se relaciona con la pérdida de control sobre el tiempo laboral y con las dificultades para conciliar vida profesional y personal.</w:t>
      </w:r>
    </w:p>
    <w:p w14:paraId="096004A1" w14:textId="77777777" w:rsidR="00D05FD4" w:rsidRDefault="00D05FD4" w:rsidP="00D05FD4">
      <w:r>
        <w:t>Los aspectos institucionales, tecnológicos y personales presentaron niveles moderados o menores de malestar, aunque no deben considerarse irrelevantes. La comunicación institucional, el liderazgo directivo, la adaptación tecnológica y los recursos personales interactúan con las condiciones estructurales del trabajo y pueden amplificar o disminuir la experiencia de malestar.</w:t>
      </w:r>
    </w:p>
    <w:p w14:paraId="439E46EA" w14:textId="77777777" w:rsidR="00D05FD4" w:rsidRDefault="00D05FD4" w:rsidP="00D05FD4">
      <w:r>
        <w:t>Como conclusión general, el malestar docente en la muestra estudiada se configura como un fenómeno multidimensional y situado. Su comprensión exige superar explicaciones individualizantes y reconocer el peso de las condiciones laborales, organizativas y contextuales en la experiencia del profesorado. Estos resultados constituyen una base necesaria para el diseño de acciones preventivas orientadas al bienestar docente y para el desarrollo posterior de análisis explicativos y predictivos.</w:t>
      </w:r>
    </w:p>
    <w:p w14:paraId="2A136237" w14:textId="77777777" w:rsidR="00D05FD4" w:rsidRDefault="00D05FD4" w:rsidP="00D05FD4">
      <w:pPr>
        <w:pStyle w:val="Ttulo1"/>
      </w:pPr>
      <w:r>
        <w:t>7. Referencias</w:t>
      </w:r>
    </w:p>
    <w:p w14:paraId="44AB9E57" w14:textId="77777777" w:rsidR="00D05FD4" w:rsidRDefault="00D05FD4" w:rsidP="00D05FD4">
      <w:pPr>
        <w:pStyle w:val="Bibliografa"/>
        <w:ind w:left="283" w:hanging="283"/>
      </w:pPr>
      <w:r>
        <w:t>Esteve, J. M. (1994). El malestar docente. Paidós.</w:t>
      </w:r>
    </w:p>
    <w:p w14:paraId="06E63897" w14:textId="77777777" w:rsidR="00D05FD4" w:rsidRDefault="00D05FD4" w:rsidP="00D05FD4">
      <w:pPr>
        <w:pStyle w:val="Bibliografa"/>
        <w:ind w:left="283" w:hanging="283"/>
      </w:pPr>
      <w:r>
        <w:t>Gil-Monte, P. R. (2005). El síndrome de quemarse por el trabajo (burnout): Una enfermedad laboral en la sociedad del bienestar. Pirámide.</w:t>
      </w:r>
    </w:p>
    <w:p w14:paraId="4915A92F" w14:textId="77777777" w:rsidR="00D05FD4" w:rsidRDefault="00D05FD4" w:rsidP="00D05FD4">
      <w:pPr>
        <w:pStyle w:val="Bibliografa"/>
        <w:ind w:left="283" w:hanging="283"/>
      </w:pPr>
      <w:r>
        <w:t>González Villarreal, R., Rivera Ferreiro, L., &amp; Guerra Mendoza, M. (2024). La super-explotación del trabajo docente. Editorial Fray Bartolomé de Las Casas.</w:t>
      </w:r>
    </w:p>
    <w:p w14:paraId="5F084FFB" w14:textId="77777777" w:rsidR="00D05FD4" w:rsidRDefault="00D05FD4" w:rsidP="00D05FD4">
      <w:pPr>
        <w:pStyle w:val="Bibliografa"/>
        <w:ind w:left="283" w:hanging="283"/>
      </w:pPr>
      <w:r>
        <w:t>Karasek, R., &amp; Theorell, T. (1990). Healthy work: Stress, productivity and the reconstruction of working life. Basic Books.</w:t>
      </w:r>
    </w:p>
    <w:p w14:paraId="5CF13D34" w14:textId="77777777" w:rsidR="00D05FD4" w:rsidRDefault="00D05FD4" w:rsidP="00D05FD4">
      <w:pPr>
        <w:pStyle w:val="Bibliografa"/>
        <w:ind w:left="283" w:hanging="283"/>
      </w:pPr>
      <w:r>
        <w:t>Kyriacou, C. (2001). Teacher stress: Directions for future research. Educational Review, 53(1), 27-35.</w:t>
      </w:r>
    </w:p>
    <w:p w14:paraId="2DC5D8BF" w14:textId="77777777" w:rsidR="00D05FD4" w:rsidRDefault="00D05FD4" w:rsidP="00D05FD4">
      <w:pPr>
        <w:pStyle w:val="Bibliografa"/>
        <w:ind w:left="283" w:hanging="283"/>
      </w:pPr>
      <w:r>
        <w:t>Lazarus, R. S., &amp; Folkman, S. (1984). Stress, appraisal and coping. Springer.</w:t>
      </w:r>
    </w:p>
    <w:p w14:paraId="1A18DD99" w14:textId="77777777" w:rsidR="00D05FD4" w:rsidRDefault="00D05FD4" w:rsidP="00D05FD4">
      <w:pPr>
        <w:pStyle w:val="Bibliografa"/>
        <w:ind w:left="283" w:hanging="283"/>
      </w:pPr>
      <w:r>
        <w:t>Maslach, C., Jackson, S. E., &amp; Leiter, M. P. (2001). Job burnout. Annual Review of Psychology, 52, 397-422.</w:t>
      </w:r>
    </w:p>
    <w:p w14:paraId="46F9F1A0" w14:textId="77777777" w:rsidR="00D05FD4" w:rsidRDefault="00D05FD4" w:rsidP="00D05FD4">
      <w:pPr>
        <w:pStyle w:val="Bibliografa"/>
        <w:ind w:left="283" w:hanging="283"/>
      </w:pPr>
      <w:r>
        <w:lastRenderedPageBreak/>
        <w:t>Organización Internacional del Trabajo. (2016). La organización del trabajo y los riesgos psicosociales. OIT.</w:t>
      </w:r>
    </w:p>
    <w:p w14:paraId="7DB7660E" w14:textId="77777777" w:rsidR="00D05FD4" w:rsidRDefault="00D05FD4" w:rsidP="00D05FD4">
      <w:pPr>
        <w:pStyle w:val="Bibliografa"/>
        <w:ind w:left="283" w:hanging="283"/>
      </w:pPr>
      <w:r>
        <w:t>Rodríguez-López, B., Gilar-Corbí, R., &amp; Castejón-Costa, J. L. (2023). Bienestar psicológico y autoeficacia docente en contextos postpandemia. Revista de Psicodidáctica, 28(2), 115-126.</w:t>
      </w:r>
    </w:p>
    <w:p w14:paraId="35D31D5D" w14:textId="63632A85" w:rsidR="00D05FD4" w:rsidRPr="00D05FD4" w:rsidRDefault="00D05FD4" w:rsidP="00D05FD4">
      <w:pPr>
        <w:pStyle w:val="Bibliografa"/>
        <w:ind w:left="283" w:hanging="283"/>
      </w:pPr>
      <w:r>
        <w:t>Travers, C. J., &amp; Cooper, C. L. (1997). El estrés de los profesores: La presión en la actividad docente. Paidós.</w:t>
      </w:r>
    </w:p>
    <w:sectPr w:rsidR="00D05FD4" w:rsidRPr="00D05FD4"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366B2" w14:textId="77777777" w:rsidR="006839F0" w:rsidRDefault="006839F0" w:rsidP="00EB0247">
      <w:pPr>
        <w:spacing w:after="0" w:line="240" w:lineRule="auto"/>
      </w:pPr>
      <w:r>
        <w:separator/>
      </w:r>
    </w:p>
  </w:endnote>
  <w:endnote w:type="continuationSeparator" w:id="0">
    <w:p w14:paraId="0038D3D6" w14:textId="77777777" w:rsidR="006839F0" w:rsidRDefault="006839F0"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990">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A8FE9" w14:textId="77777777" w:rsidR="006839F0" w:rsidRDefault="006839F0" w:rsidP="00EB0247">
      <w:pPr>
        <w:spacing w:after="0" w:line="240" w:lineRule="auto"/>
      </w:pPr>
      <w:r>
        <w:separator/>
      </w:r>
    </w:p>
  </w:footnote>
  <w:footnote w:type="continuationSeparator" w:id="0">
    <w:p w14:paraId="571AF262" w14:textId="77777777" w:rsidR="006839F0" w:rsidRDefault="006839F0" w:rsidP="00EB02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64"/>
    <w:rsid w:val="000068CF"/>
    <w:rsid w:val="00012517"/>
    <w:rsid w:val="00033E3E"/>
    <w:rsid w:val="00063421"/>
    <w:rsid w:val="00097EEF"/>
    <w:rsid w:val="000C5EDB"/>
    <w:rsid w:val="00113EC0"/>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C4D9F"/>
    <w:rsid w:val="003E66FB"/>
    <w:rsid w:val="00422CDA"/>
    <w:rsid w:val="004307D4"/>
    <w:rsid w:val="00437ED3"/>
    <w:rsid w:val="0044345A"/>
    <w:rsid w:val="00477173"/>
    <w:rsid w:val="004819D7"/>
    <w:rsid w:val="004842F0"/>
    <w:rsid w:val="00484413"/>
    <w:rsid w:val="00493A17"/>
    <w:rsid w:val="004C0202"/>
    <w:rsid w:val="004D0180"/>
    <w:rsid w:val="004D4380"/>
    <w:rsid w:val="0051645A"/>
    <w:rsid w:val="005335DF"/>
    <w:rsid w:val="005417EB"/>
    <w:rsid w:val="005430EA"/>
    <w:rsid w:val="00584BB4"/>
    <w:rsid w:val="005A43E3"/>
    <w:rsid w:val="005A4AFE"/>
    <w:rsid w:val="005A6174"/>
    <w:rsid w:val="00607EE3"/>
    <w:rsid w:val="006131F7"/>
    <w:rsid w:val="00675757"/>
    <w:rsid w:val="00680332"/>
    <w:rsid w:val="00681364"/>
    <w:rsid w:val="006839F0"/>
    <w:rsid w:val="0068745E"/>
    <w:rsid w:val="006B7745"/>
    <w:rsid w:val="00714CBD"/>
    <w:rsid w:val="00721EBE"/>
    <w:rsid w:val="00742AC5"/>
    <w:rsid w:val="007701F1"/>
    <w:rsid w:val="00792960"/>
    <w:rsid w:val="007A0F17"/>
    <w:rsid w:val="007E4E94"/>
    <w:rsid w:val="007F0944"/>
    <w:rsid w:val="008238DE"/>
    <w:rsid w:val="00863A4D"/>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B0717D"/>
    <w:rsid w:val="00B57A4E"/>
    <w:rsid w:val="00B60DF4"/>
    <w:rsid w:val="00BA4EA8"/>
    <w:rsid w:val="00BA4FD5"/>
    <w:rsid w:val="00BB38AC"/>
    <w:rsid w:val="00BD7178"/>
    <w:rsid w:val="00BE3D2B"/>
    <w:rsid w:val="00BE5F2C"/>
    <w:rsid w:val="00BF45D1"/>
    <w:rsid w:val="00BF50C0"/>
    <w:rsid w:val="00C21F8C"/>
    <w:rsid w:val="00C302E3"/>
    <w:rsid w:val="00C30BA1"/>
    <w:rsid w:val="00C426AD"/>
    <w:rsid w:val="00C45F7D"/>
    <w:rsid w:val="00C930F7"/>
    <w:rsid w:val="00CA0400"/>
    <w:rsid w:val="00CC152D"/>
    <w:rsid w:val="00CD0091"/>
    <w:rsid w:val="00CE0F4B"/>
    <w:rsid w:val="00D0381D"/>
    <w:rsid w:val="00D05D1F"/>
    <w:rsid w:val="00D05FD4"/>
    <w:rsid w:val="00D36F76"/>
    <w:rsid w:val="00D47BD3"/>
    <w:rsid w:val="00D86CAA"/>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Cuadrculadetab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UnresolvedMention">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B26B0-A2FD-41FB-AD3E-7F2EB78E0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plantilla3.dotx</Template>
  <TotalTime>1672</TotalTime>
  <Pages>1</Pages>
  <Words>4696</Words>
  <Characters>25830</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30466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windows</cp:lastModifiedBy>
  <cp:revision>6</cp:revision>
  <dcterms:created xsi:type="dcterms:W3CDTF">2025-12-17T01:48:00Z</dcterms:created>
  <dcterms:modified xsi:type="dcterms:W3CDTF">2026-09-08T15:20:00Z</dcterms:modified>
  <cp:category>Categoria</cp:category>
  <cp:contentStatus>Estado</cp:contentStatus>
</cp:coreProperties>
</file>