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A307BBB" w:rsidR="001348A0" w:rsidRPr="00411E44" w:rsidRDefault="001348A0" w:rsidP="001348A0">
      <w:pPr>
        <w:pStyle w:val="Captulo"/>
      </w:pPr>
      <w:r w:rsidRPr="00411E44">
        <w:t>Capítulo XXX</w:t>
      </w:r>
    </w:p>
    <w:p w14:paraId="61BB19C6" w14:textId="77777777" w:rsidR="00217D0E" w:rsidRDefault="00217D0E" w:rsidP="00544E17">
      <w:pPr>
        <w:pStyle w:val="Autor"/>
        <w:rPr>
          <w:caps/>
          <w:smallCaps w:val="0"/>
          <w:spacing w:val="-2"/>
          <w:sz w:val="26"/>
          <w:szCs w:val="26"/>
          <w:lang w:eastAsia="es-ES"/>
        </w:rPr>
      </w:pPr>
      <w:bookmarkStart w:id="0" w:name="_Hlk239583178"/>
      <w:r w:rsidRPr="00217D0E">
        <w:rPr>
          <w:caps/>
          <w:smallCaps w:val="0"/>
          <w:spacing w:val="-2"/>
          <w:sz w:val="26"/>
          <w:szCs w:val="26"/>
          <w:lang w:eastAsia="es-ES"/>
        </w:rPr>
        <w:t>ESTADO DEL CONOCIMIENTO SOBRE FORMACIÓN DE ESTUDIANTES DE ENFERMERÍA EN ATENCIÓN A VIOLENCIA INTRAFAMILIAR: REVISIÓN INTEGRATIVA</w:t>
      </w:r>
    </w:p>
    <w:bookmarkEnd w:id="0"/>
    <w:p w14:paraId="4DADA9A0" w14:textId="77777777" w:rsidR="00217D0E" w:rsidRDefault="00217D0E" w:rsidP="00544E17">
      <w:pPr>
        <w:pStyle w:val="Autor"/>
        <w:rPr>
          <w:lang w:eastAsia="es-ES"/>
        </w:rPr>
      </w:pPr>
    </w:p>
    <w:p w14:paraId="0285C377" w14:textId="13748E26" w:rsidR="00504673" w:rsidRDefault="00217D0E" w:rsidP="00504673">
      <w:pPr>
        <w:pStyle w:val="Autor"/>
        <w:rPr>
          <w:lang w:eastAsia="es-ES"/>
        </w:rPr>
      </w:pPr>
      <w:bookmarkStart w:id="1" w:name="_Hlk239586883"/>
      <w:r>
        <w:rPr>
          <w:lang w:eastAsia="es-ES"/>
        </w:rPr>
        <w:t xml:space="preserve">Rosa </w:t>
      </w:r>
      <w:bookmarkStart w:id="2" w:name="_GoBack"/>
      <w:bookmarkEnd w:id="2"/>
      <w:r>
        <w:rPr>
          <w:lang w:eastAsia="es-ES"/>
        </w:rPr>
        <w:t>Muñoz Aucapiña</w:t>
      </w:r>
    </w:p>
    <w:p w14:paraId="207A6B56" w14:textId="77777777" w:rsidR="00504673" w:rsidRPr="00411E44" w:rsidRDefault="00504673" w:rsidP="00504673">
      <w:pPr>
        <w:pStyle w:val="Adscripcin"/>
        <w:rPr>
          <w:lang w:eastAsia="es-ES"/>
        </w:rPr>
      </w:pPr>
      <w:r w:rsidRPr="00411E44">
        <w:rPr>
          <w:lang w:eastAsia="es-ES"/>
        </w:rPr>
        <w:t xml:space="preserve">Universidad </w:t>
      </w:r>
      <w:r>
        <w:rPr>
          <w:lang w:eastAsia="es-ES"/>
        </w:rPr>
        <w:t>Católica de Santiago de Guayaquil</w:t>
      </w:r>
    </w:p>
    <w:p w14:paraId="3FCBD3AA" w14:textId="2CAB27CB" w:rsidR="00504673" w:rsidRDefault="00504673" w:rsidP="00504673">
      <w:pPr>
        <w:pStyle w:val="Autor"/>
        <w:rPr>
          <w:lang w:eastAsia="es-ES"/>
        </w:rPr>
      </w:pPr>
      <w:r>
        <w:rPr>
          <w:lang w:eastAsia="es-ES"/>
        </w:rPr>
        <w:t xml:space="preserve"> </w:t>
      </w:r>
      <w:r>
        <w:rPr>
          <w:lang w:eastAsia="es-ES"/>
        </w:rPr>
        <w:t xml:space="preserve">Miriam Muñoz </w:t>
      </w:r>
      <w:r>
        <w:rPr>
          <w:lang w:eastAsia="es-ES"/>
        </w:rPr>
        <w:t>Aucapiña</w:t>
      </w:r>
      <w:bookmarkEnd w:id="1"/>
    </w:p>
    <w:p w14:paraId="6324D6C9" w14:textId="079B0ADF" w:rsidR="00544E17" w:rsidRPr="00411E44" w:rsidRDefault="00544E17" w:rsidP="00544E17">
      <w:pPr>
        <w:pStyle w:val="Adscripcin"/>
        <w:rPr>
          <w:lang w:eastAsia="es-ES"/>
        </w:rPr>
      </w:pPr>
      <w:bookmarkStart w:id="3" w:name="_Hlk239587062"/>
      <w:r w:rsidRPr="00411E44">
        <w:rPr>
          <w:lang w:eastAsia="es-ES"/>
        </w:rPr>
        <w:t xml:space="preserve">Universidad </w:t>
      </w:r>
      <w:r w:rsidR="00217D0E">
        <w:rPr>
          <w:lang w:eastAsia="es-ES"/>
        </w:rPr>
        <w:t>Católica de Santiago de Guayaquil</w:t>
      </w:r>
    </w:p>
    <w:bookmarkEnd w:id="3"/>
    <w:p w14:paraId="6A02D415" w14:textId="1750C4A6" w:rsidR="0015066B" w:rsidRPr="00411E44" w:rsidRDefault="0015066B" w:rsidP="0015066B">
      <w:pPr>
        <w:pStyle w:val="Adscripcin"/>
      </w:pPr>
    </w:p>
    <w:p w14:paraId="7FB42A6F" w14:textId="0F2E2473" w:rsidR="009C0DFA" w:rsidRDefault="00721EBE" w:rsidP="00C45F7D">
      <w:pPr>
        <w:pStyle w:val="Ttulo1"/>
      </w:pPr>
      <w:r w:rsidRPr="00411E44">
        <w:t xml:space="preserve">1. </w:t>
      </w:r>
      <w:r w:rsidR="0015066B" w:rsidRPr="00411E44">
        <w:t>Introducción</w:t>
      </w:r>
    </w:p>
    <w:p w14:paraId="61D7DB6D" w14:textId="6DF63C3F" w:rsidR="00217D0E" w:rsidRDefault="00217D0E" w:rsidP="00DE02BF">
      <w:r>
        <w:t>La violencia intrafamiliar constituye un problema de salud pública que atraviesa edades, contextos sociales y escenarios asistenciales. Sus consecuencias no terminan en la lesión visible: pueden expresarse como miedo, ansiedad, depresión, aislamiento, deterioro de las relaciones, pérdida de autonomía y múltiples motivos de consulta que no siempre son reconocidos como parte de una situación de violencia. La Organización Mundial de la Salud estima que cerca del 30 % de las mujeres ha experimentado violencia a lo largo de su vida, lo que permite dimensionar la magnitud de un fenómeno que con frecuencia permanece oculto detrás de síntomas físicos o emocionales. En este escenario, el personal de enfermería ocupa una posición especial cercana a las personas y familias, por lo que puede contribuir a la identificación temprana, la atención inicial, la escucha y la orientación hacia redes de apoyo (World Health Organization, 2024; Poleshuck et al., 2021).</w:t>
      </w:r>
    </w:p>
    <w:p w14:paraId="3109CC73" w14:textId="2834946B" w:rsidR="00217D0E" w:rsidRDefault="00217D0E" w:rsidP="00DE02BF">
      <w:r>
        <w:t xml:space="preserve">Esa cercanía, sin embargo, no garantiza por sí sola una respuesta adecuada. Preguntar por violencia, reconocer indicadores, escuchar sin juzgar, proteger la confidencialidad, valorar el riesgo y actuar conforme a protocolos son competencias que deben aprenderse y practicarse. La literatura incluida en la revisión muestra que todavía existen brechas de preparación, conocimientos y confianza para responder ante la violencia intrafamiliar y de pareja (Poleshuck et al., 2021; Kyle et al., 2021; </w:t>
      </w:r>
      <w:r>
        <w:lastRenderedPageBreak/>
        <w:t>Cerulli et al., 2022; Li et al., 2024). Estas dificultades adquieren especial relevancia durante la formación universitaria: si el estudiante llega al escenario clínico sin herramientas suficientes, puede sentirse inseguro, evitar preguntar, interpretar de manera incompleta los signos de alarma o limitar su intervención a la dimensión física del problema.</w:t>
      </w:r>
    </w:p>
    <w:p w14:paraId="5FF5282C" w14:textId="09D81FD1" w:rsidR="00217D0E" w:rsidRDefault="00217D0E" w:rsidP="00DE02BF">
      <w:r>
        <w:t>La formación de enfermería, por tanto, necesita superar la idea de que abordar la violencia consiste sólo en transmitir definiciones, clasificaciones o normas. La atención exige integrar conocimiento, comunicación, juicio clínico, sensibilidad ética y capacidad para actuar ante situaciones complejas. Un estudiante puede memorizar los tipos de violencia y, aun así, no saber cómo iniciar una conversación con una persona que teme revelar lo que ocurre en su hogar. De igual forma, puede conocer un protocolo y no sentirse preparado para aplicarlo si la víctima expresa ambivalencia, miedo o dependencia. Esta distancia entre “saber” y “saber actuar” explica el interés creciente por metodologías que acerquen el aprendizaje a situaciones reales (Kyle et al., 2021; Hall &amp; Beck, 2021; Eckerström et al., 2025).</w:t>
      </w:r>
    </w:p>
    <w:p w14:paraId="5B131C5D" w14:textId="042EA00C" w:rsidR="00217D0E" w:rsidRDefault="00217D0E" w:rsidP="00DE02BF">
      <w:r>
        <w:t>En los últimos años se han evaluado programas estructurados, simulación clínica, pacientes virtuales, gamificación, cursos en línea, entrenamiento en habilidades de comunicación, educación interprofesional y aprendizaje experiencial. Estas propuestas comparten una intención: que el estudiante no sea un receptor pasivo, sino que pueda practicar decisiones, reconocer errores y recibir retroalimentación en un entorno formativo. No obstante, la evidencia permanece heterogénea. Los estudios utilizan diseños, poblaciones, contenidos, tiempos de seguimiento e instrumentos diferentes, lo que dificulta establecer una única estrategia como superior a las demás (Hall &amp; Beck, 2021; Eckerström et al., 2025; Aljomaie et al., 2022; Larkin et al., 2025; Childress et al., 2024; Forke et al., 2024; Chang et al., 2022; Allison et al., 2023).</w:t>
      </w:r>
    </w:p>
    <w:p w14:paraId="7838F9A9" w14:textId="0BBE914D" w:rsidR="00217D0E" w:rsidRPr="00217D0E" w:rsidRDefault="00217D0E" w:rsidP="00DE02BF">
      <w:r>
        <w:t>Ante esta dispersión, resulta pertinente integrar el conocimiento disponible y examinar no solo qué estrategias se han utilizado, sino qué resultados han mostrado y qué vacíos persisten. La revisión integrativa permite reunir evidencia procedente de distintos diseños y construir una lectura más amplia del fenómeno educativo. El propósito de este capí</w:t>
      </w:r>
      <w:r>
        <w:lastRenderedPageBreak/>
        <w:t>tulo es presentar, de forma articulada y centrada en la formación humana del futuro profesional, el estado del conocimiento sobre la preparación de estudiantes de enfermería para la atención a la violencia intrafamiliar.</w:t>
      </w:r>
    </w:p>
    <w:p w14:paraId="6E6B68A9" w14:textId="7C11834B" w:rsidR="0015066B" w:rsidRPr="00411E44" w:rsidRDefault="0015066B" w:rsidP="00DE02BF">
      <w:pPr>
        <w:pStyle w:val="Ttulo2"/>
      </w:pPr>
      <w:r w:rsidRPr="00411E44">
        <w:rPr>
          <w:smallCaps w:val="0"/>
        </w:rPr>
        <w:t>1.</w:t>
      </w:r>
      <w:r w:rsidRPr="00411E44">
        <w:t>1</w:t>
      </w:r>
      <w:r w:rsidR="001465AE">
        <w:t>. justificación de la investigación</w:t>
      </w:r>
    </w:p>
    <w:p w14:paraId="47E4F97B" w14:textId="4D5F969D" w:rsidR="00217D0E" w:rsidRPr="00217D0E" w:rsidRDefault="00217D0E" w:rsidP="00DE02BF">
      <w:pPr>
        <w:pStyle w:val="Ttulo2"/>
        <w:rPr>
          <w:smallCaps w:val="0"/>
          <w:szCs w:val="22"/>
          <w14:numForm w14:val="oldStyle"/>
        </w:rPr>
      </w:pPr>
      <w:r w:rsidRPr="00217D0E">
        <w:rPr>
          <w:smallCaps w:val="0"/>
          <w:szCs w:val="22"/>
          <w14:numForm w14:val="oldStyle"/>
        </w:rPr>
        <w:t>La investigación se justifica por una necesidad asistencial y educativa concreta. La violencia intrafamiliar puede estar presente en personas que acuden a servicios de urgencias, hospitalización, atención primaria salud sexual y reproductiva, pediatría, salud mental y otros escenarios. Enfermería mantiene contacto continuo con las personas y, en muchas ocasiones, dispone de oportunidades para observar cambios de conducta, lesiones, contradicciones en el relato o dinámicas familiares que requieren una valoración cuidado. Si el profesional carece de preparación, esa oportunidad de detección y acompañamiento puede perderse (Poleshuck et al., 2021; Li et al., 2024; Aljomaie et al., 2022; Fapohunda et al., 2022).</w:t>
      </w:r>
    </w:p>
    <w:p w14:paraId="3643B967" w14:textId="4A464506" w:rsidR="00217D0E" w:rsidRPr="00217D0E" w:rsidRDefault="00217D0E" w:rsidP="00DE02BF">
      <w:pPr>
        <w:pStyle w:val="Ttulo2"/>
        <w:rPr>
          <w:smallCaps w:val="0"/>
          <w:szCs w:val="22"/>
          <w14:numForm w14:val="oldStyle"/>
        </w:rPr>
      </w:pPr>
      <w:r w:rsidRPr="00217D0E">
        <w:rPr>
          <w:smallCaps w:val="0"/>
          <w:szCs w:val="22"/>
          <w14:numForm w14:val="oldStyle"/>
        </w:rPr>
        <w:t>Desde la perspectiva pedagógica, la revisión es relevante porque pemite reconocer qué formas de enseñanza parecen acercar mejor al estudiante a las exigencias reales del cuidado. Los hallazgos muestran resultados favorables si se combinan contenidos estructurados con experiencias prácticas, simulación, entornos virtuales, comunicación y reflexión. A la vez, evidencian que la formación continua variable y que una parte de los estudiantes y profesionales reporta preparación insuficiente. Sintetizar estos resultados puede orientar decisiones curriculares más coherentes y evitar que el tema quede reducido a una clase aislada o a contenidos que no se conectan con la práctica (Li et al., 2024; Hall &amp; Beck, 2021; Eckerström et al., 2025; Childress et al., 2024; Allison et al., 2023).</w:t>
      </w:r>
    </w:p>
    <w:p w14:paraId="61CB2E5F" w14:textId="77777777" w:rsidR="0007495A" w:rsidRDefault="00217D0E" w:rsidP="00DE02BF">
      <w:pPr>
        <w:pStyle w:val="Ttulo2"/>
        <w:rPr>
          <w:smallCaps w:val="0"/>
          <w:szCs w:val="22"/>
          <w14:numForm w14:val="oldStyle"/>
        </w:rPr>
      </w:pPr>
      <w:r w:rsidRPr="00217D0E">
        <w:rPr>
          <w:smallCaps w:val="0"/>
          <w:szCs w:val="22"/>
          <w14:numForm w14:val="oldStyle"/>
        </w:rPr>
        <w:t xml:space="preserve">Existe además una dimensión ética. La persona que vive violencia necesita ser tratada con respeto, privacidad, escucha y ausencia de juicio. Una respuesta inadecuada puede generar silencio, desconfianza o revictimización. Por ello, formar al estudiante significa también enseñarle a reconocer límites profesionales, comunicarse con sensibilidad y comprender que la seguridad de la persona debe guiar las decisiones. La </w:t>
      </w:r>
      <w:r w:rsidRPr="00217D0E">
        <w:rPr>
          <w:smallCaps w:val="0"/>
          <w:szCs w:val="22"/>
          <w14:numForm w14:val="oldStyle"/>
        </w:rPr>
        <w:lastRenderedPageBreak/>
        <w:t>educación no puede garantizar por sí sola la resolución de un fenómeno social complejo, pero sí puede preparar profesionales capaces de responder de manera más segura, informada y humana.</w:t>
      </w:r>
    </w:p>
    <w:p w14:paraId="09C55A65" w14:textId="6B9E1C46" w:rsidR="0015066B" w:rsidRPr="00411E44" w:rsidRDefault="0015066B" w:rsidP="00DE02BF">
      <w:pPr>
        <w:pStyle w:val="Ttulo2"/>
      </w:pPr>
      <w:r w:rsidRPr="00411E44">
        <w:t xml:space="preserve">1.2. </w:t>
      </w:r>
      <w:r w:rsidR="00997B3C">
        <w:t>marco teórico</w:t>
      </w:r>
      <w:bookmarkStart w:id="4" w:name="_Hlk68449564"/>
    </w:p>
    <w:bookmarkEnd w:id="4"/>
    <w:p w14:paraId="08521F30" w14:textId="77777777" w:rsidR="0007495A" w:rsidRDefault="0007495A" w:rsidP="00DE02BF">
      <w:r>
        <w:t>1.2.1. Violencia intrafamiliar y rol formativo de enfermería</w:t>
      </w:r>
    </w:p>
    <w:p w14:paraId="51832750" w14:textId="2D4EDB49" w:rsidR="0007495A" w:rsidRDefault="0007495A" w:rsidP="00DE02BF">
      <w:r>
        <w:t>La violencia intrafamiliar comprende situaciones de daño y control que ocurren dentro de relaciones familiares o íntimas y que pueden producir consecuencias físicas, psicológicas y sociales. En el ámbito sanitario, su identificación puede ser compleja porque la persona no siempre comunica de manera espontánea lo que vive. El miedo, la dependencia, la vergüenza, la normalización de conductas violentas o la preocupación por las consecuencias de revelar la situación pueden dificultar la búsqueda de ayuda. De ahí que el encuentro con enfermería requiera competencias que combinen observación clínica, comunicación y comprensión del contexto de la persona (World Health Organization, 2024; Poleshuck et al., 2021; Fapohunda et al., 2022).</w:t>
      </w:r>
    </w:p>
    <w:p w14:paraId="2F880EB7" w14:textId="328BEF8E" w:rsidR="0007495A" w:rsidRDefault="0007495A" w:rsidP="00DE02BF">
      <w:r>
        <w:t>El rol de enfermería incluye reconocer señales, establecer una comunicación terapéutica, brindar atención inicial y favorecer el acceso a recursos de apoyo dentro del marco institucional. La formación universitaria debería permitir que estas capacidades comiencen a desarrollarse antes del ejercicio profesional. La revisión identificó, sin embargo, que la preparación no es uniforme y que persisten brechas en conocimientos, habilidades y confianza. Esto sugiere que la exposición clínica por sí sola no sustituye una formación planificada y progresiva (Li et al., 2024; Eckerström et al., 2025; Aljomaie et al., 2022).</w:t>
      </w:r>
    </w:p>
    <w:p w14:paraId="11A9567A" w14:textId="77777777" w:rsidR="0007495A" w:rsidRDefault="0007495A" w:rsidP="00DE02BF">
      <w:r>
        <w:t>1.2.2. Del conocimiento teórico a la competencia para actuar</w:t>
      </w:r>
    </w:p>
    <w:p w14:paraId="2867518D" w14:textId="25E4832E" w:rsidR="0007495A" w:rsidRDefault="0007495A" w:rsidP="00DE02BF">
      <w:r>
        <w:t xml:space="preserve">Enseñar sobre violencia implica trabajar con contenidos que poseen una fuerte carga emocional y ética. El aprendizaje teórico es indispensable para comprender conceptos, formas de violencia, factores asociados y responsabilidades profesionales, pero resulta insuficiente si no se acompaña de oportunidades para aplicar ese conocimiento. Los estudios revisados muestran que las intervenciones estructuradas pueden incrementar conocimientos y habilidades comunicativas, mientras que </w:t>
      </w:r>
      <w:r>
        <w:lastRenderedPageBreak/>
        <w:t>las metodologías activas favorecen la aplicación del aprendizaje en situaciones simuladas (Kyle et al., 2021; Cerulli et al., 2022; Hall &amp; Beck, 2021; Eckerström et al., 2025).</w:t>
      </w:r>
    </w:p>
    <w:p w14:paraId="1EB04FCA" w14:textId="4A893F4C" w:rsidR="0007495A" w:rsidRDefault="0007495A" w:rsidP="00DE02BF">
      <w:r>
        <w:t>La simulación clínica y los pacientes virtuales ofrecen una ventaja particular: permiten ensayar conversaciones difíciles, tomar decisiones y equivocarse sin exponer a una víctima real. La gamificación y los recursos digitales pueden aumentar la participación y facilitar el aprendizaje, siempre que formen parte de un diseño pedagógico coherente y no se utilicen como elementos tecnológicos. El valor de estas estrategias reside en la posibilidad de conectar conocimiento, razonamiento y respuesta profesional (Hall &amp; Beck, 2021; Eckerström et al., 2025; Chang et al., 2022).</w:t>
      </w:r>
    </w:p>
    <w:p w14:paraId="6CF1A962" w14:textId="77777777" w:rsidR="0007495A" w:rsidRDefault="0007495A" w:rsidP="00DE02BF">
      <w:r>
        <w:t>1.2.3. Comunicación, aprendizaje experiencial e interprofesionalidad</w:t>
      </w:r>
    </w:p>
    <w:p w14:paraId="0DFC0CDD" w14:textId="579864E1" w:rsidR="0007495A" w:rsidRDefault="0007495A" w:rsidP="00DE02BF">
      <w:r>
        <w:t>La comunicación ocupa un lugar central en la atención de la violencia. Kyle et al. (2021) mostraron mejoras en habilidades comunicativas después de un entrenamiento estructurado, mientras que otras experiencias formativas incluidas en la revisión respaldan el valor de practicar la interacción clínica. En este campo, saber formular una pregunta de manera respetuosa, escuchar sin culpabilizar y responder ante una revelación constituye parte de la competencia profesional, no un complemento opcional.</w:t>
      </w:r>
    </w:p>
    <w:p w14:paraId="2435E992" w14:textId="0E4E1A4F" w:rsidR="00041F61" w:rsidRPr="00411E44" w:rsidRDefault="0007495A" w:rsidP="00DE02BF">
      <w:r>
        <w:t>La educación interprofesional y el aprendizaje experiencial amplían esta perspectiva. La violencia intrafamiliar rara vez puede abordarse desde una sola disciplina; requiere coordinación y comprensión de responsabilidades compartidas. Las revisiones de Childress et al. (2024) y Allison et al. (2023) identificaron aportes de estas estrategias al desarrollo de competencias colaborativas y centradas en la persona, aunque la evidencia disponible sigue limitada y heterogénea.</w:t>
      </w:r>
    </w:p>
    <w:p w14:paraId="5D8DC444" w14:textId="73CC29D6" w:rsidR="00607EE3" w:rsidRPr="002D7A71" w:rsidRDefault="00607EE3" w:rsidP="00DE02BF">
      <w:pPr>
        <w:pStyle w:val="Ttulo1"/>
        <w:jc w:val="both"/>
      </w:pPr>
      <w:r w:rsidRPr="00411E44">
        <w:t>2</w:t>
      </w:r>
      <w:r w:rsidRPr="002D7A71">
        <w:t>. Objetivos</w:t>
      </w:r>
    </w:p>
    <w:p w14:paraId="7A6DDB25" w14:textId="604361AD" w:rsidR="00607EE3" w:rsidRPr="002D7A71" w:rsidRDefault="00607EE3" w:rsidP="00DE02BF">
      <w:pPr>
        <w:pStyle w:val="Ttulo2"/>
      </w:pPr>
      <w:r w:rsidRPr="002D7A71">
        <w:t xml:space="preserve">2.1. </w:t>
      </w:r>
      <w:r w:rsidR="002D7A71" w:rsidRPr="002D7A71">
        <w:t>objetivo general</w:t>
      </w:r>
    </w:p>
    <w:p w14:paraId="3E3AB61E" w14:textId="429DE2E7" w:rsidR="0007495A" w:rsidRDefault="0007495A" w:rsidP="00DE02BF">
      <w:pPr>
        <w:pStyle w:val="Ttulo2"/>
        <w:rPr>
          <w:smallCaps w:val="0"/>
          <w:szCs w:val="22"/>
          <w14:numForm w14:val="oldStyle"/>
        </w:rPr>
      </w:pPr>
      <w:r w:rsidRPr="0007495A">
        <w:rPr>
          <w:smallCaps w:val="0"/>
          <w:szCs w:val="22"/>
          <w14:numForm w14:val="oldStyle"/>
        </w:rPr>
        <w:lastRenderedPageBreak/>
        <w:t>Explorar el estado del conocimiento sobre la formación de estudiantes de enfermería en atención a la violencia intrafamiliar.</w:t>
      </w:r>
    </w:p>
    <w:p w14:paraId="54B3FF41" w14:textId="35B3651C" w:rsidR="00607EE3" w:rsidRPr="002D7A71" w:rsidRDefault="00607EE3" w:rsidP="00DE02BF">
      <w:pPr>
        <w:pStyle w:val="Ttulo2"/>
      </w:pPr>
      <w:r w:rsidRPr="002D7A71">
        <w:t xml:space="preserve">2.2. </w:t>
      </w:r>
      <w:r w:rsidR="002D7A71" w:rsidRPr="002D7A71">
        <w:t>objetivos específicos</w:t>
      </w:r>
    </w:p>
    <w:p w14:paraId="30FC1D03" w14:textId="77777777" w:rsidR="0007495A" w:rsidRDefault="0007495A" w:rsidP="00DE02BF">
      <w:pPr>
        <w:spacing w:line="259" w:lineRule="auto"/>
      </w:pPr>
      <w:r>
        <w:t>– Identificar los principales enfoques e intervenciones educativas utilizados para la formación en violencia intrafamiliar.</w:t>
      </w:r>
    </w:p>
    <w:p w14:paraId="52F1C36C" w14:textId="77777777" w:rsidR="0007495A" w:rsidRDefault="0007495A" w:rsidP="00DE02BF">
      <w:pPr>
        <w:spacing w:line="259" w:lineRule="auto"/>
      </w:pPr>
      <w:r>
        <w:t>– Describir los resultados de aprendizaje reportados en los estudios incluidos.</w:t>
      </w:r>
    </w:p>
    <w:p w14:paraId="1FE2DD14" w14:textId="77777777" w:rsidR="0007495A" w:rsidRDefault="0007495A" w:rsidP="00DE02BF">
      <w:pPr>
        <w:spacing w:line="259" w:lineRule="auto"/>
      </w:pPr>
      <w:r>
        <w:t>– Reconocer las brechas formativas y limitaciones de la evidencia disponible que pueden orientar futuras decisiones curriculares.</w:t>
      </w:r>
    </w:p>
    <w:p w14:paraId="2708A763" w14:textId="4D768474" w:rsidR="005A43E3" w:rsidRPr="00411E44" w:rsidRDefault="005A43E3" w:rsidP="00DE02BF">
      <w:pPr>
        <w:pStyle w:val="Ttulo1"/>
        <w:jc w:val="both"/>
      </w:pPr>
      <w:r w:rsidRPr="00411E44">
        <w:t>3. Metodología</w:t>
      </w:r>
    </w:p>
    <w:p w14:paraId="4B47DDA2" w14:textId="77777777" w:rsidR="0007495A" w:rsidRDefault="0007495A" w:rsidP="00DE02BF">
      <w:pPr>
        <w:spacing w:line="259" w:lineRule="auto"/>
      </w:pPr>
      <w:r>
        <w:t>Se realizó una revisión integrativa, metodología que permite sintetizar evidencia empírica y teórica procedente de diferentes diseños para construir una comprensión amplia del fenómeno. El proceso siguió la estrategia INTEGRA de Valencia, organizada en siete etapas: idea o problema de estudio, interrogante u objetivo, táctica de búsqueda, ejecución de la búsqueda, grado y control de calidad, resultados filtrados y análisis y discusión (Chafloque-Capuñay et al., 2026; Valencia-Contrera, 2022).</w:t>
      </w:r>
    </w:p>
    <w:p w14:paraId="1F0E6F50" w14:textId="77777777" w:rsidR="0007495A" w:rsidRDefault="0007495A" w:rsidP="00DE02BF">
      <w:pPr>
        <w:spacing w:line="259" w:lineRule="auto"/>
      </w:pPr>
      <w:r>
        <w:t>La pregunta de investigación se formuló mediante el enfoque PICo. La población (P) correspondió a estudiantes de enfermería; el interés (I), a enfoques de formación orientados a la atención de la violencia intrafamiliar; y el contexto (Co), a instituciones de educación superior. La pregunta fue: ¿qué enfoques formativos reportan resultados positivos en el aprendizaje para la atención a la violencia intrafamiliar en el ámbito de la educación superior de enfermería? (Manterola et al., 2024).</w:t>
      </w:r>
    </w:p>
    <w:p w14:paraId="07D11347" w14:textId="77777777" w:rsidR="0007495A" w:rsidRDefault="0007495A" w:rsidP="00DE02BF">
      <w:pPr>
        <w:spacing w:line="259" w:lineRule="auto"/>
      </w:pPr>
      <w:r>
        <w:t>La búsqueda bibliográfica se efectuó entre noviembre y diciembre de 2025 en PubMed, Scopus y ScienceDirect. Se emplearon descriptores DeCS/MeSH y términos libres relacionados con estudiantes de enfermería, educación en enfermería, violencia doméstica o familiar, formación, conocimiento, actitudes y preparación, combinados mediante los operadores booleanos AND y OR. Las ecuaciones se adaptaron a las características de cada base de datos.</w:t>
      </w:r>
    </w:p>
    <w:p w14:paraId="7ADD3BA5" w14:textId="77777777" w:rsidR="0007495A" w:rsidRDefault="0007495A" w:rsidP="00DE02BF">
      <w:pPr>
        <w:spacing w:line="259" w:lineRule="auto"/>
      </w:pPr>
      <w:r>
        <w:lastRenderedPageBreak/>
        <w:t>Se incluyeron estudios publicados entre 2020 y 2025, en inglés, español o portugués, relacionados con formación sobre violencia intrafamiliar o violencia de pareja, con diseños primarios cuantitativos, cualitativos o mixtos y estudios secundarios pertinentes. Se excluyeron investigaciones centradas en otros profesionales sin aplicabilidad a enfermería, artículos sin texto completo, trabajos sin relación directa con procesos formativos, duplicados y estudios centrados en violencia infantil sin abordaje intrafamiliar general.</w:t>
      </w:r>
    </w:p>
    <w:p w14:paraId="14461345" w14:textId="77777777" w:rsidR="0007495A" w:rsidRDefault="0007495A" w:rsidP="00DE02BF">
      <w:pPr>
        <w:spacing w:line="259" w:lineRule="auto"/>
      </w:pPr>
      <w:r>
        <w:t>Los registros fueron exportados a Zotero para eliminar duplicados. La selección se realizó en dos fases: cribado por título y resumen y evaluación a texto completo. Tres investigadores participaron de forma independiente en la selección y las discrepancias se resolvieron por consenso. No se realizó búsqueda de literatura gris; se efectuó revisión manual de las referencias de los estudios incluidos. El proceso se informó mediante un diagrama de flujo basado en PRISMA 2020 (Page et al., 2021).</w:t>
      </w:r>
    </w:p>
    <w:p w14:paraId="5F5DE7F3" w14:textId="77777777" w:rsidR="0007495A" w:rsidRDefault="0007495A" w:rsidP="00DE02BF">
      <w:pPr>
        <w:spacing w:line="259" w:lineRule="auto"/>
      </w:pPr>
      <w:r>
        <w:t>La calidad metodológica se evaluó según el diseño. En los estudios primarios se utilizaron herramientas del Joanna Briggs Institute (JBI), mientras que las revisiones sistemáticas y de alcance se valoraron con AMSTAR 2 (Hilton, 2024; Ciapponi, 2018). Dos investigadores realizaron la evaluación de manera independiente y clasificaron la calidad como alta, moderada o baja, considera validez interna, claridad metodológica y consistencia de resultados.</w:t>
      </w:r>
    </w:p>
    <w:p w14:paraId="309843B9" w14:textId="77777777" w:rsidR="0007495A" w:rsidRDefault="0007495A" w:rsidP="00DE02BF">
      <w:pPr>
        <w:spacing w:line="259" w:lineRule="auto"/>
      </w:pPr>
      <w:r>
        <w:t>La extracción incluyó autor, año, país, diseño, población, intervención o enfoque formativo y principales resultados. Debido a la heterogeneidad metodológica y a la ausencia de medidas de efecto comparables, se realizó una síntesis narrativa temática. Los hallazgos se agruparon en tres ejes: tipos de intervenciones educativas, resultados de aprendizaje y brechas en la formación. Al tratarse de una revisión de fuentes secundarias, no se requirió aprobación de un comité de ética; se mantuvieron los principios de integridad científica, transparencia y citación adecuada.</w:t>
      </w:r>
    </w:p>
    <w:p w14:paraId="1760C026" w14:textId="32871763" w:rsidR="004307D4" w:rsidRDefault="00CE0F4B" w:rsidP="00DE02BF">
      <w:pPr>
        <w:pStyle w:val="Ttulo1"/>
        <w:jc w:val="both"/>
      </w:pPr>
      <w:r w:rsidRPr="00411E44">
        <w:rPr>
          <w:caps w:val="0"/>
        </w:rPr>
        <w:t>4</w:t>
      </w:r>
      <w:r w:rsidR="00721EBE" w:rsidRPr="00411E44">
        <w:rPr>
          <w:caps w:val="0"/>
        </w:rPr>
        <w:t>.</w:t>
      </w:r>
      <w:r w:rsidR="00721EBE" w:rsidRPr="00411E44">
        <w:t xml:space="preserve"> </w:t>
      </w:r>
      <w:r w:rsidR="004307D4" w:rsidRPr="00411E44">
        <w:t>resultados</w:t>
      </w:r>
    </w:p>
    <w:p w14:paraId="1B143E44" w14:textId="77777777" w:rsidR="0007495A" w:rsidRDefault="0007495A" w:rsidP="00DE02BF">
      <w:pPr>
        <w:spacing w:line="259" w:lineRule="auto"/>
      </w:pPr>
      <w:r>
        <w:t xml:space="preserve">La búsqueda identificó 2413 registros: 289 en PubMed, 9 en Scopus y 2115 en ScienceDirect. Después de eliminar 803 duplicados, se cribaron </w:t>
      </w:r>
      <w:r>
        <w:lastRenderedPageBreak/>
        <w:t>1610 registros por título y resumen y se excluyeron 1555. Posteriormente se evaluaron 55 artículos a texto completo; 42 fueron excluidos por ausencia de intervención o información formativa relevante (n=30), población no pertinente (n=9), enfoque exclusivo en violencia infantil (n=2) o falta de acceso al texto completo (n=1). La búsqueda manual identificó cuatro estudios adicionales, que fueron excluidos por abordar sólo violencia escolar. La síntesis final quedó conformada por 13 estudios.</w:t>
      </w:r>
    </w:p>
    <w:p w14:paraId="72A56C20" w14:textId="40B00772" w:rsidR="0007495A" w:rsidRDefault="0007495A" w:rsidP="00DE02BF">
      <w:pPr>
        <w:spacing w:line="259" w:lineRule="auto"/>
      </w:pPr>
      <w:r>
        <w:t xml:space="preserve">Los estudios incluidos fueron heterogéneos en diseño, población y enfoque educativo. Predominaron cinco estudios </w:t>
      </w:r>
      <w:r w:rsidR="00DE02BF">
        <w:t>cuasiexperimentales</w:t>
      </w:r>
      <w:r>
        <w:t>; además se identificó un estudio observacional, uno mixto y seis revisiones secundarias. La mayor representación correspondió a Estados Unidos, seguida de estudios desarrollados en Europa, Asia y Oceanía. Las intervenciones abarcaron programas estructurados, simulación clínica y pacientes virtuales, gamificación, cursos en línea, entrenamiento en habilidades de comunicación y programas comunitarios.</w:t>
      </w:r>
    </w:p>
    <w:p w14:paraId="4F31F505" w14:textId="77777777" w:rsidR="0007495A" w:rsidRDefault="0007495A" w:rsidP="00DE02BF">
      <w:pPr>
        <w:spacing w:line="259" w:lineRule="auto"/>
      </w:pPr>
      <w:r>
        <w:rPr>
          <w:b/>
        </w:rPr>
        <w:t>Tabla 1. Síntesis de intervenciones y resultados principales</w:t>
      </w:r>
    </w:p>
    <w:tbl>
      <w:tblPr>
        <w:tblStyle w:val="Tablaconcuadrcula"/>
        <w:tblW w:w="0" w:type="auto"/>
        <w:jc w:val="center"/>
        <w:tblLook w:val="04A0" w:firstRow="1" w:lastRow="0" w:firstColumn="1" w:lastColumn="0" w:noHBand="0" w:noVBand="1"/>
      </w:tblPr>
      <w:tblGrid>
        <w:gridCol w:w="1641"/>
        <w:gridCol w:w="1642"/>
        <w:gridCol w:w="1642"/>
        <w:gridCol w:w="1642"/>
      </w:tblGrid>
      <w:tr w:rsidR="0007495A" w14:paraId="16414AC2" w14:textId="77777777" w:rsidTr="00FD5A59">
        <w:trPr>
          <w:jc w:val="center"/>
        </w:trPr>
        <w:tc>
          <w:tcPr>
            <w:tcW w:w="1644" w:type="dxa"/>
            <w:vAlign w:val="center"/>
          </w:tcPr>
          <w:p w14:paraId="4A91A226" w14:textId="77777777" w:rsidR="0007495A" w:rsidRDefault="0007495A" w:rsidP="00DE02BF">
            <w:r>
              <w:rPr>
                <w:b/>
              </w:rPr>
              <w:t>Estudio</w:t>
            </w:r>
          </w:p>
        </w:tc>
        <w:tc>
          <w:tcPr>
            <w:tcW w:w="1644" w:type="dxa"/>
            <w:vAlign w:val="center"/>
          </w:tcPr>
          <w:p w14:paraId="500663C5" w14:textId="77777777" w:rsidR="0007495A" w:rsidRDefault="0007495A" w:rsidP="00DE02BF">
            <w:r>
              <w:rPr>
                <w:b/>
              </w:rPr>
              <w:t>Diseño / contexto</w:t>
            </w:r>
          </w:p>
        </w:tc>
        <w:tc>
          <w:tcPr>
            <w:tcW w:w="1644" w:type="dxa"/>
            <w:vAlign w:val="center"/>
          </w:tcPr>
          <w:p w14:paraId="202E5FD9" w14:textId="77777777" w:rsidR="0007495A" w:rsidRDefault="0007495A" w:rsidP="00DE02BF">
            <w:r>
              <w:rPr>
                <w:b/>
              </w:rPr>
              <w:t>Intervención o enfoque</w:t>
            </w:r>
          </w:p>
        </w:tc>
        <w:tc>
          <w:tcPr>
            <w:tcW w:w="1644" w:type="dxa"/>
            <w:vAlign w:val="center"/>
          </w:tcPr>
          <w:p w14:paraId="2E1FD529" w14:textId="77777777" w:rsidR="0007495A" w:rsidRDefault="0007495A" w:rsidP="00DE02BF">
            <w:r>
              <w:rPr>
                <w:b/>
              </w:rPr>
              <w:t>Resultado principal</w:t>
            </w:r>
          </w:p>
        </w:tc>
      </w:tr>
      <w:tr w:rsidR="0007495A" w14:paraId="181E7853" w14:textId="77777777" w:rsidTr="00FD5A59">
        <w:trPr>
          <w:jc w:val="center"/>
        </w:trPr>
        <w:tc>
          <w:tcPr>
            <w:tcW w:w="1644" w:type="dxa"/>
            <w:vAlign w:val="center"/>
          </w:tcPr>
          <w:p w14:paraId="61DDA52E" w14:textId="77777777" w:rsidR="0007495A" w:rsidRDefault="0007495A" w:rsidP="00DE02BF">
            <w:r>
              <w:t>Kyle et al. (2021)</w:t>
            </w:r>
          </w:p>
        </w:tc>
        <w:tc>
          <w:tcPr>
            <w:tcW w:w="1644" w:type="dxa"/>
            <w:vAlign w:val="center"/>
          </w:tcPr>
          <w:p w14:paraId="0F16B21A" w14:textId="5C4FDE20" w:rsidR="0007495A" w:rsidRDefault="00DE02BF" w:rsidP="00DE02BF">
            <w:r>
              <w:t>Cuasiexperimental</w:t>
            </w:r>
            <w:r w:rsidR="0007495A">
              <w:t>, EE. UU.</w:t>
            </w:r>
          </w:p>
        </w:tc>
        <w:tc>
          <w:tcPr>
            <w:tcW w:w="1644" w:type="dxa"/>
            <w:vAlign w:val="center"/>
          </w:tcPr>
          <w:p w14:paraId="74BB417F" w14:textId="77777777" w:rsidR="0007495A" w:rsidRDefault="0007495A" w:rsidP="00DE02BF">
            <w:r>
              <w:t>Entrenamiento en comunicación sobre IPV</w:t>
            </w:r>
          </w:p>
        </w:tc>
        <w:tc>
          <w:tcPr>
            <w:tcW w:w="1644" w:type="dxa"/>
            <w:vAlign w:val="center"/>
          </w:tcPr>
          <w:p w14:paraId="4ECC8BDD" w14:textId="77777777" w:rsidR="0007495A" w:rsidRDefault="0007495A" w:rsidP="00DE02BF">
            <w:r>
              <w:t>Mejora de habilidades comunicativas postintervención.</w:t>
            </w:r>
          </w:p>
        </w:tc>
      </w:tr>
      <w:tr w:rsidR="0007495A" w14:paraId="2F2FEC35" w14:textId="77777777" w:rsidTr="00FD5A59">
        <w:trPr>
          <w:jc w:val="center"/>
        </w:trPr>
        <w:tc>
          <w:tcPr>
            <w:tcW w:w="1644" w:type="dxa"/>
            <w:vAlign w:val="center"/>
          </w:tcPr>
          <w:p w14:paraId="63FAD63A" w14:textId="77777777" w:rsidR="0007495A" w:rsidRDefault="0007495A" w:rsidP="00DE02BF">
            <w:r>
              <w:t>Li et al. (2024)</w:t>
            </w:r>
          </w:p>
        </w:tc>
        <w:tc>
          <w:tcPr>
            <w:tcW w:w="1644" w:type="dxa"/>
            <w:vAlign w:val="center"/>
          </w:tcPr>
          <w:p w14:paraId="28F95340" w14:textId="77777777" w:rsidR="0007495A" w:rsidRDefault="0007495A" w:rsidP="00DE02BF">
            <w:r>
              <w:t>Observacional, China</w:t>
            </w:r>
          </w:p>
        </w:tc>
        <w:tc>
          <w:tcPr>
            <w:tcW w:w="1644" w:type="dxa"/>
            <w:vAlign w:val="center"/>
          </w:tcPr>
          <w:p w14:paraId="7FFB9277" w14:textId="77777777" w:rsidR="0007495A" w:rsidRDefault="0007495A" w:rsidP="00DE02BF">
            <w:r>
              <w:t>Evaluación de preparación en enfermería</w:t>
            </w:r>
          </w:p>
        </w:tc>
        <w:tc>
          <w:tcPr>
            <w:tcW w:w="1644" w:type="dxa"/>
            <w:vAlign w:val="center"/>
          </w:tcPr>
          <w:p w14:paraId="712EE5B9" w14:textId="77777777" w:rsidR="0007495A" w:rsidRDefault="0007495A" w:rsidP="00DE02BF">
            <w:r>
              <w:t>Se identificaron niveles bajos de preparación.</w:t>
            </w:r>
          </w:p>
        </w:tc>
      </w:tr>
      <w:tr w:rsidR="0007495A" w14:paraId="09723157" w14:textId="77777777" w:rsidTr="00FD5A59">
        <w:trPr>
          <w:jc w:val="center"/>
        </w:trPr>
        <w:tc>
          <w:tcPr>
            <w:tcW w:w="1644" w:type="dxa"/>
            <w:vAlign w:val="center"/>
          </w:tcPr>
          <w:p w14:paraId="5C858CC9" w14:textId="77777777" w:rsidR="0007495A" w:rsidRDefault="0007495A" w:rsidP="00DE02BF">
            <w:r>
              <w:t>Hall y Beck (2021)</w:t>
            </w:r>
          </w:p>
        </w:tc>
        <w:tc>
          <w:tcPr>
            <w:tcW w:w="1644" w:type="dxa"/>
            <w:vAlign w:val="center"/>
          </w:tcPr>
          <w:p w14:paraId="0A76EB91" w14:textId="464AEFCA" w:rsidR="0007495A" w:rsidRDefault="00DA61E7" w:rsidP="00DE02BF">
            <w:r>
              <w:t>Cuasiexperimental</w:t>
            </w:r>
            <w:r w:rsidR="0007495A">
              <w:t>, EE. UU.</w:t>
            </w:r>
          </w:p>
        </w:tc>
        <w:tc>
          <w:tcPr>
            <w:tcW w:w="1644" w:type="dxa"/>
            <w:vAlign w:val="center"/>
          </w:tcPr>
          <w:p w14:paraId="0F37C669" w14:textId="77777777" w:rsidR="0007495A" w:rsidRDefault="0007495A" w:rsidP="00DE02BF">
            <w:r>
              <w:t>Gamificación</w:t>
            </w:r>
          </w:p>
        </w:tc>
        <w:tc>
          <w:tcPr>
            <w:tcW w:w="1644" w:type="dxa"/>
            <w:vAlign w:val="center"/>
          </w:tcPr>
          <w:p w14:paraId="69C36E7A" w14:textId="77777777" w:rsidR="0007495A" w:rsidRDefault="0007495A" w:rsidP="00DE02BF">
            <w:r>
              <w:t>Aumento del aprendizaje respecto a la línea base.</w:t>
            </w:r>
          </w:p>
        </w:tc>
      </w:tr>
      <w:tr w:rsidR="0007495A" w14:paraId="2F16A96B" w14:textId="77777777" w:rsidTr="00FD5A59">
        <w:trPr>
          <w:jc w:val="center"/>
        </w:trPr>
        <w:tc>
          <w:tcPr>
            <w:tcW w:w="1644" w:type="dxa"/>
            <w:vAlign w:val="center"/>
          </w:tcPr>
          <w:p w14:paraId="7CDB831C" w14:textId="77777777" w:rsidR="0007495A" w:rsidRDefault="0007495A" w:rsidP="00DE02BF">
            <w:r>
              <w:lastRenderedPageBreak/>
              <w:t>Eckerström et al. (2025)</w:t>
            </w:r>
          </w:p>
        </w:tc>
        <w:tc>
          <w:tcPr>
            <w:tcW w:w="1644" w:type="dxa"/>
            <w:vAlign w:val="center"/>
          </w:tcPr>
          <w:p w14:paraId="0C41C555" w14:textId="77777777" w:rsidR="0007495A" w:rsidRDefault="0007495A" w:rsidP="00DE02BF">
            <w:r>
              <w:t>Mixto, Suecia</w:t>
            </w:r>
          </w:p>
        </w:tc>
        <w:tc>
          <w:tcPr>
            <w:tcW w:w="1644" w:type="dxa"/>
            <w:vAlign w:val="center"/>
          </w:tcPr>
          <w:p w14:paraId="523C009B" w14:textId="77777777" w:rsidR="0007495A" w:rsidRDefault="0007495A" w:rsidP="00DE02BF">
            <w:r>
              <w:t>Simulación con paciente virtual</w:t>
            </w:r>
          </w:p>
        </w:tc>
        <w:tc>
          <w:tcPr>
            <w:tcW w:w="1644" w:type="dxa"/>
            <w:vAlign w:val="center"/>
          </w:tcPr>
          <w:p w14:paraId="62F01306" w14:textId="77777777" w:rsidR="0007495A" w:rsidRDefault="0007495A" w:rsidP="00DE02BF">
            <w:r>
              <w:t>Mejoras de conocimiento en mediciones pre-post.</w:t>
            </w:r>
          </w:p>
        </w:tc>
      </w:tr>
      <w:tr w:rsidR="0007495A" w14:paraId="6F2A9DA3" w14:textId="77777777" w:rsidTr="00FD5A59">
        <w:trPr>
          <w:jc w:val="center"/>
        </w:trPr>
        <w:tc>
          <w:tcPr>
            <w:tcW w:w="1644" w:type="dxa"/>
            <w:vAlign w:val="center"/>
          </w:tcPr>
          <w:p w14:paraId="136E385A" w14:textId="77777777" w:rsidR="0007495A" w:rsidRDefault="0007495A" w:rsidP="00DE02BF">
            <w:r>
              <w:t>Larkin et al. (2025)</w:t>
            </w:r>
          </w:p>
        </w:tc>
        <w:tc>
          <w:tcPr>
            <w:tcW w:w="1644" w:type="dxa"/>
            <w:vAlign w:val="center"/>
          </w:tcPr>
          <w:p w14:paraId="06749D4E" w14:textId="337FF371" w:rsidR="0007495A" w:rsidRDefault="00DA61E7" w:rsidP="00DE02BF">
            <w:r>
              <w:t>Cuasiexperimental</w:t>
            </w:r>
            <w:r w:rsidR="0007495A">
              <w:t>, Reino Unido</w:t>
            </w:r>
          </w:p>
        </w:tc>
        <w:tc>
          <w:tcPr>
            <w:tcW w:w="1644" w:type="dxa"/>
            <w:vAlign w:val="center"/>
          </w:tcPr>
          <w:p w14:paraId="42C36D30" w14:textId="77777777" w:rsidR="0007495A" w:rsidRDefault="0007495A" w:rsidP="00DE02BF">
            <w:r>
              <w:t>Programa comunitario formativo</w:t>
            </w:r>
          </w:p>
        </w:tc>
        <w:tc>
          <w:tcPr>
            <w:tcW w:w="1644" w:type="dxa"/>
            <w:vAlign w:val="center"/>
          </w:tcPr>
          <w:p w14:paraId="5E409896" w14:textId="77777777" w:rsidR="0007495A" w:rsidRDefault="0007495A" w:rsidP="00DE02BF">
            <w:r>
              <w:t>Cambios positivos en conocimiento y práctica.</w:t>
            </w:r>
          </w:p>
        </w:tc>
      </w:tr>
      <w:tr w:rsidR="0007495A" w14:paraId="5526FB49" w14:textId="77777777" w:rsidTr="00FD5A59">
        <w:trPr>
          <w:jc w:val="center"/>
        </w:trPr>
        <w:tc>
          <w:tcPr>
            <w:tcW w:w="1644" w:type="dxa"/>
            <w:vAlign w:val="center"/>
          </w:tcPr>
          <w:p w14:paraId="50EE6CAD" w14:textId="77777777" w:rsidR="0007495A" w:rsidRDefault="0007495A" w:rsidP="00DE02BF">
            <w:r>
              <w:t>Chang et al. (2022)</w:t>
            </w:r>
          </w:p>
        </w:tc>
        <w:tc>
          <w:tcPr>
            <w:tcW w:w="1644" w:type="dxa"/>
            <w:vAlign w:val="center"/>
          </w:tcPr>
          <w:p w14:paraId="65CC096E" w14:textId="129EDA3D" w:rsidR="0007495A" w:rsidRDefault="00DA61E7" w:rsidP="00DE02BF">
            <w:r>
              <w:t>Cuasiexperimental</w:t>
            </w:r>
            <w:r w:rsidR="0007495A">
              <w:t>, Australia</w:t>
            </w:r>
          </w:p>
        </w:tc>
        <w:tc>
          <w:tcPr>
            <w:tcW w:w="1644" w:type="dxa"/>
            <w:vAlign w:val="center"/>
          </w:tcPr>
          <w:p w14:paraId="5F929FF8" w14:textId="77777777" w:rsidR="0007495A" w:rsidRDefault="0007495A" w:rsidP="00DE02BF">
            <w:r>
              <w:t>Programa online estructurado</w:t>
            </w:r>
          </w:p>
        </w:tc>
        <w:tc>
          <w:tcPr>
            <w:tcW w:w="1644" w:type="dxa"/>
            <w:vAlign w:val="center"/>
          </w:tcPr>
          <w:p w14:paraId="170FD339" w14:textId="77777777" w:rsidR="0007495A" w:rsidRDefault="0007495A" w:rsidP="00DE02BF">
            <w:r>
              <w:t>Incremento del conocimiento pre-post.</w:t>
            </w:r>
          </w:p>
        </w:tc>
      </w:tr>
      <w:tr w:rsidR="0007495A" w14:paraId="6575BEEA" w14:textId="77777777" w:rsidTr="00FD5A59">
        <w:trPr>
          <w:jc w:val="center"/>
        </w:trPr>
        <w:tc>
          <w:tcPr>
            <w:tcW w:w="1644" w:type="dxa"/>
            <w:vAlign w:val="center"/>
          </w:tcPr>
          <w:p w14:paraId="53830798" w14:textId="77777777" w:rsidR="0007495A" w:rsidRDefault="0007495A" w:rsidP="00DE02BF">
            <w:r>
              <w:t>Allison et al. (2023)</w:t>
            </w:r>
          </w:p>
        </w:tc>
        <w:tc>
          <w:tcPr>
            <w:tcW w:w="1644" w:type="dxa"/>
            <w:vAlign w:val="center"/>
          </w:tcPr>
          <w:p w14:paraId="64C73785" w14:textId="77777777" w:rsidR="0007495A" w:rsidRDefault="0007495A" w:rsidP="00DE02BF">
            <w:r>
              <w:t>Scoping review</w:t>
            </w:r>
          </w:p>
        </w:tc>
        <w:tc>
          <w:tcPr>
            <w:tcW w:w="1644" w:type="dxa"/>
            <w:vAlign w:val="center"/>
          </w:tcPr>
          <w:p w14:paraId="49A9D955" w14:textId="77777777" w:rsidR="0007495A" w:rsidRDefault="0007495A" w:rsidP="00DE02BF">
            <w:r>
              <w:t>Aprendizaje experiencial</w:t>
            </w:r>
          </w:p>
        </w:tc>
        <w:tc>
          <w:tcPr>
            <w:tcW w:w="1644" w:type="dxa"/>
            <w:vAlign w:val="center"/>
          </w:tcPr>
          <w:p w14:paraId="140380ED" w14:textId="77777777" w:rsidR="0007495A" w:rsidRDefault="0007495A" w:rsidP="00DE02BF">
            <w:r>
              <w:t>Efectos positivos en competencias reportadas.</w:t>
            </w:r>
          </w:p>
        </w:tc>
      </w:tr>
    </w:tbl>
    <w:p w14:paraId="712A0766" w14:textId="77777777" w:rsidR="0007495A" w:rsidRDefault="0007495A" w:rsidP="00DE02BF">
      <w:pPr>
        <w:spacing w:line="259" w:lineRule="auto"/>
      </w:pPr>
      <w:r>
        <w:t>En cuanto a la calidad metodológica, predominó la calidad moderada. Los estudios primarios evaluados con JBI mostraron, en general, claridad en objetivos y medición de resultados, pero presentaron limitaciones relacionadas con el tamaño muestral y el seguimiento longitudinal. Las revisiones valoradas mediante AMSTAR 2 mostraron calidad variable, con problemas vinculados a la ausencia de protocolos registrados y a la heterogeneidad de criterios de inclusión. En conjunto, la certeza de la evidencia se situó entre baja y moderada.</w:t>
      </w:r>
    </w:p>
    <w:p w14:paraId="746ABF93" w14:textId="77777777" w:rsidR="0007495A" w:rsidRDefault="0007495A" w:rsidP="00DE02BF">
      <w:pPr>
        <w:spacing w:line="259" w:lineRule="auto"/>
      </w:pPr>
      <w:r>
        <w:t>Los programas formativos estructurados se asociaron con incrementos en conocimiento, habilidades comunicativas y preparación percibida. Los resultados se midieron mediante diseños pre-post y cuestionarios estructurados. Aunque estos hallazgos son favorables, la predominancia de mediciones inmediatas limita la posibilidad de afirmar que los cambios se mantienen a largo plazo o se trasladan de forma sostenida a la práctica clínica.</w:t>
      </w:r>
    </w:p>
    <w:p w14:paraId="3E445D6B" w14:textId="451E9F8B" w:rsidR="0007495A" w:rsidRDefault="0007495A" w:rsidP="00DE02BF">
      <w:pPr>
        <w:spacing w:line="259" w:lineRule="auto"/>
      </w:pPr>
      <w:r>
        <w:t xml:space="preserve">Las metodologías activas, simulación clínica, gamificación y entornos virtuales mostraron mejoras en aprendizaje aplicado y desarrollo de competencias. Su aporte más relevante fue facilitar la integración entre </w:t>
      </w:r>
      <w:r>
        <w:lastRenderedPageBreak/>
        <w:t>teoría y práctica. En lugar de limitarse a reconocer conceptos, el estudiante podía enfrentarse a situaciones que exigían interpretar información, comunicarse y tomar decisiones. La simulación virtual destacó como una alternativa capaz de aproximar al estudiante a conversaciones sensibles sin poner en riesgo a una persona real (Hall &amp; Beck, 2021; Eckerström et al., 2025).</w:t>
      </w:r>
    </w:p>
    <w:p w14:paraId="5FC0A4D1" w14:textId="77777777" w:rsidR="0007495A" w:rsidRDefault="0007495A" w:rsidP="00DE02BF">
      <w:pPr>
        <w:spacing w:line="259" w:lineRule="auto"/>
      </w:pPr>
      <w:r>
        <w:t>Los estudios observacionales y mixtos mostraron, al mismo tiempo, una realidad que no debe perderse de vista: una proporción relevante de estudiantes y profesionales presenta preparación insuficiente, con brechas en conocimiento, habilidades y confianza para abordar situaciones de violencia. Este hallazgo sugiere que la existencia de experiencias educativas prometedoras no significa que la formación esté integrada de manera homogénea en los currículos (Li et al., 2024; Eckerström et al., 2025).</w:t>
      </w:r>
    </w:p>
    <w:p w14:paraId="7C7FC2AF" w14:textId="77777777" w:rsidR="0007495A" w:rsidRDefault="0007495A" w:rsidP="00DE02BF">
      <w:pPr>
        <w:spacing w:line="259" w:lineRule="auto"/>
      </w:pPr>
      <w:r>
        <w:t>Las revisiones sobre educación interprofesional y aprendizaje experiencial señalaron efectos favorables en competencias colaborativas y centradas en la persona. Sin embargo, la evidencia fue limitada y heterogénea. También se identificó una alta variabilidad en la incorporación curricular del tema, tanto en profundidad como en duración. De manera consistente, aparecieron brechas en la formación práctica y en la integración sistemática del abordaje de la violencia intrafamiliar a lo largo del proceso educativo (Aljomaie et al., 2022; Childress et al., 2024; Allison et al., 2023).</w:t>
      </w:r>
    </w:p>
    <w:p w14:paraId="4C5CAED5" w14:textId="77777777" w:rsidR="0007495A" w:rsidRDefault="0007495A" w:rsidP="00DE02BF">
      <w:pPr>
        <w:spacing w:line="259" w:lineRule="auto"/>
      </w:pPr>
      <w:r>
        <w:t>En síntesis, los resultados convergen en una idea: las intervenciones que combinan componentes teóricos y prácticos, al incorporar metodologías activas, tienden a mostrar mejores resultados de aprendizaje. No obstante, la evidencia disponible se apoya en estudios de corto plazo y con niveles de certeza baja a moderada, por lo que los resultados deben interpretarse con prudencia.</w:t>
      </w:r>
    </w:p>
    <w:p w14:paraId="740C7DA7" w14:textId="45BFE6AC" w:rsidR="00CE0F4B" w:rsidRDefault="002A43CD" w:rsidP="00DE02BF">
      <w:pPr>
        <w:pStyle w:val="Ttulo1"/>
        <w:jc w:val="both"/>
      </w:pPr>
      <w:r w:rsidRPr="00411E44">
        <w:lastRenderedPageBreak/>
        <w:t xml:space="preserve">5. </w:t>
      </w:r>
      <w:r w:rsidR="00CE0F4B" w:rsidRPr="00411E44">
        <w:t>discusión</w:t>
      </w:r>
    </w:p>
    <w:p w14:paraId="2B02FE70" w14:textId="04D2D153"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Los hallazgos muestran que la formación en enfermería para atender la violencia intrafamiliar ha ganado espacio en la investigación educati</w:t>
      </w:r>
      <w:r w:rsidR="00DA61E7">
        <w:rPr>
          <w:rFonts w:eastAsiaTheme="minorHAnsi" w:cstheme="minorBidi"/>
          <w:caps w:val="0"/>
          <w:sz w:val="23"/>
          <w:szCs w:val="22"/>
          <w:shd w:val="clear" w:color="auto" w:fill="auto"/>
          <w14:numForm w14:val="oldStyle"/>
        </w:rPr>
        <w:t>va</w:t>
      </w:r>
      <w:r w:rsidRPr="00DE02BF">
        <w:rPr>
          <w:rFonts w:eastAsiaTheme="minorHAnsi" w:cstheme="minorBidi"/>
          <w:caps w:val="0"/>
          <w:sz w:val="23"/>
          <w:szCs w:val="22"/>
          <w:shd w:val="clear" w:color="auto" w:fill="auto"/>
          <w14:numForm w14:val="oldStyle"/>
        </w:rPr>
        <w:t>, pero todavía no puede considerarse un componente consolidado y homogéneo. La revisión reúne experiencias que demuestran mejoras después de intervenciones educativas, a la vez que documenta niveles insuficientes de preparación en estudiantes y profesionales. Esta coexistenc</w:t>
      </w:r>
      <w:r w:rsidR="00DA61E7">
        <w:rPr>
          <w:rFonts w:eastAsiaTheme="minorHAnsi" w:cstheme="minorBidi"/>
          <w:caps w:val="0"/>
          <w:sz w:val="23"/>
          <w:szCs w:val="22"/>
          <w:shd w:val="clear" w:color="auto" w:fill="auto"/>
          <w14:numForm w14:val="oldStyle"/>
        </w:rPr>
        <w:t>ia</w:t>
      </w:r>
      <w:r w:rsidRPr="00DE02BF">
        <w:rPr>
          <w:rFonts w:eastAsiaTheme="minorHAnsi" w:cstheme="minorBidi"/>
          <w:caps w:val="0"/>
          <w:sz w:val="23"/>
          <w:szCs w:val="22"/>
          <w:shd w:val="clear" w:color="auto" w:fill="auto"/>
          <w14:numForm w14:val="oldStyle"/>
        </w:rPr>
        <w:t xml:space="preserve"> es importante: no indica que las estrategias educativas sean ineficaces, sino que su incorporación sigue desigual y que los resultados positivos de programas específicos todavía no representan la realidad de todos los currículos.</w:t>
      </w:r>
    </w:p>
    <w:p w14:paraId="2CE7EBC0" w14:textId="73C17DB1"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Los programas estructurados constituyen uno de los hallazgos más consistentes. Kyle et al. (2021), Cerulli et al. (2022), Hall y Beck (2021), Larkin et al. (2025) y Chang et al. (2022) reportaron cambios favorables en conocimiento, habilidades comunicativas o indicadores de práctica después de intervenciones educativas. Desde una mirada curricular, esto respalda la necesidad de planificar la enseñanza con objetivos, contenidos, práctica y evaluación definidos. La formación en violencia no debería depender sólo del interés de un docente o de la aparición ocasional de un caso durante las prácticas clínicas.</w:t>
      </w:r>
    </w:p>
    <w:p w14:paraId="584BEF27" w14:textId="66DF4560"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La simulación y los entornos virtuales resultan pertinentes porque permiten trabajar una dimensión difícil de enseñar mediante exposición magistral: la interacción humana. Eckerström et al. (2025) observaron mejoras de conocimiento mediante simulación virtual con pacientes, mientras que Hall y Beck (2021) exploraron la gamificación como estrategia educativa. En una situación de violencia, el modo en que el profesional pregunta y responde puede influir en la confianza de la persona. Por ello, practicar una entrevista, reconocer expresiones que pueden resultar juzgadoras y recibir retroalimentación aporta un aprendizaje distinto al que se obtiene sólo con la lectura de un protocolo.</w:t>
      </w:r>
    </w:p>
    <w:p w14:paraId="7422932A" w14:textId="7FF163E7"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lastRenderedPageBreak/>
        <w:t>La tecnología, sin embargo, no debe confundirse con innovación por sí misma. Un curso en línea, un videojuego o un paciente virtual será útil en la medida en que responda a objetivos formativos claros y se integre con reflexión, retroalimentación y aplicación clínica. Los resultados de Chang et al. (2022) apoyan el potencial de la formación online estructurada, pero la revisión en su conjunto no permite afirmar que una modalidad tecnológica sea superior a las demás. La evidencia favorece más bien la combinación de estrategias y la continuidad del aprendizaje.</w:t>
      </w:r>
    </w:p>
    <w:p w14:paraId="6D74B6F4" w14:textId="26B4FDF9"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Otro resultado relevante es la necesidad de fortalecer las habilidades comunicativas. La violencia intrafamiliar sitúa al estudiante ante conversaciones que pueden generar temor a equivocarse o a invadir la privacidad. El entrenamiento estructurado descrito por Kyle et al. (2021) mostró mejoras en habilidades comunicativas. Este hallazgo recuerda que la competencia no se reduce a “hacer la pregunta correcta”; también supone escuchar, validar la experiencia de la persona, evitar culpabilizarla y mantener una comunicación que preserve su dignidad.</w:t>
      </w:r>
    </w:p>
    <w:p w14:paraId="319BA2DB" w14:textId="0880025E"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La educación interprofesional aporta una dimensión adicional. Childress et al. (2024) identificaron mejoras en competencias reportadas en experiencias que articulan enfermería y trabajo social, y Allison et al. (2023) describieron el valor del aprendizaje experiencial en la educación profesional sobre violencia de pareja. Estos enfoques son coherentes con la naturaleza del problema: la respuesta puede requerir coordinación entre enfermería, medicina, trabajo social, psicología y otros servicios. Formar al estudiante en colaboración ayuda a evitar una visión fragmentada del cuidado.</w:t>
      </w:r>
    </w:p>
    <w:p w14:paraId="3AC37AE9" w14:textId="1025DFA9"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lastRenderedPageBreak/>
        <w:t>La revisión también evidencia una brecha entre los resultados inmediatos y la demostración de competencia sostenida. Muchos estudios utilizaron mediciones pre-post y periodos cortos de seguimiento. Es posible demostrar que el conocimiento aumenta después de una intervención, pero resulta más difícil establecer si el estudiante conserva ese aprendizaje meses después, si lo aplica de manera correcta en una situación clínica real o si mejora la experiencia y seguridad de las personas atendidas. Esta limitación explica por qué la certeza global de la evidencia se consideró baja a moderada.</w:t>
      </w:r>
    </w:p>
    <w:p w14:paraId="784EFDD4" w14:textId="08A6EAF5"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La integración curricular aparece, por tanto, como un desafío central. Una formación progresiva podría comenzar con conceptos y reconocimiento del problema, continuar con comunicación y análisis de casos, incorporar simulación y trabajo interprofesional y, evaluar la aplicación de competencias en escenarios clínicos. Esta lectura es coherente con los hallazgos de las revisiones incluidas, que señalan variabilidad en contenidos, métodos y profundidad de la enseñanza (Aljomaie et al., 2022; Childress et al., 2024; Allison et al., 2023). No se trata de crear una asignatura aislada, sino de evitar que el tema desaparezca entre contenidos dispersos y sin continuidad.</w:t>
      </w:r>
    </w:p>
    <w:p w14:paraId="096CAF45" w14:textId="126CD37A"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También es necesario considerar qué se enseña. La atención no debería centrarse en las manifestaciones físicas más visibles. La formación necesita preparar al estudiante para reconocer dimensiones psicológicas, relacionales y de control que pueden no acompañarse de lesiones evidentes. Una mirada centrada en la persona exige comprender que revelar una situación de violencia puede ser un proceso complejo y que la respuesta profesional debe evitar simplificaciones. La enseñan</w:t>
      </w:r>
      <w:r w:rsidR="00DA61E7">
        <w:rPr>
          <w:rFonts w:eastAsiaTheme="minorHAnsi" w:cstheme="minorBidi"/>
          <w:caps w:val="0"/>
          <w:sz w:val="23"/>
          <w:szCs w:val="22"/>
          <w:shd w:val="clear" w:color="auto" w:fill="auto"/>
          <w14:numForm w14:val="oldStyle"/>
        </w:rPr>
        <w:t>z</w:t>
      </w:r>
      <w:r w:rsidRPr="00DE02BF">
        <w:rPr>
          <w:rFonts w:eastAsiaTheme="minorHAnsi" w:cstheme="minorBidi"/>
          <w:caps w:val="0"/>
          <w:sz w:val="23"/>
          <w:szCs w:val="22"/>
          <w:shd w:val="clear" w:color="auto" w:fill="auto"/>
          <w14:numForm w14:val="oldStyle"/>
        </w:rPr>
        <w:t>a debe combinar rigor técnico con sensibilidad, porque ambos componentes forman parte de una atención segura.</w:t>
      </w:r>
    </w:p>
    <w:p w14:paraId="298CAA48" w14:textId="000DCAF5"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lastRenderedPageBreak/>
        <w:t>Desde el punto de vista de la investigación educativa, se requieren estudios con muestras más amplias, seguimiento longitudinal, instrumentos comparables y evaluación de resultados más allá del conocimiento inmediato. También sería útil analizar con mayor precisión qué componentes de las intervenciones producen los cambios: duración, número de sesiones, simulación, retroalimentación, participación interprofesiona</w:t>
      </w:r>
      <w:r w:rsidR="00DA61E7">
        <w:rPr>
          <w:rFonts w:eastAsiaTheme="minorHAnsi" w:cstheme="minorBidi"/>
          <w:caps w:val="0"/>
          <w:sz w:val="23"/>
          <w:szCs w:val="22"/>
          <w:shd w:val="clear" w:color="auto" w:fill="auto"/>
          <w14:numForm w14:val="oldStyle"/>
        </w:rPr>
        <w:t>l</w:t>
      </w:r>
      <w:r w:rsidRPr="00DE02BF">
        <w:rPr>
          <w:rFonts w:eastAsiaTheme="minorHAnsi" w:cstheme="minorBidi"/>
          <w:caps w:val="0"/>
          <w:sz w:val="23"/>
          <w:szCs w:val="22"/>
          <w:shd w:val="clear" w:color="auto" w:fill="auto"/>
          <w14:numForm w14:val="oldStyle"/>
        </w:rPr>
        <w:t xml:space="preserve"> o contacto con escenarios comunitarios. La revisión identifica estrategias prometedoras, pero aún no permite construir una jerarquía definitiva entre ellas.</w:t>
      </w:r>
    </w:p>
    <w:p w14:paraId="146D592F" w14:textId="3D7D021F"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El aporte de esta síntesis radica en reunir evidencia de diseños diversos para mostrar un panorama que es, a la vez, alentador y exigente. Existen experiencias capaces de mejorar la preparación del estudiante, pero persisten vacíos curriculares y metodológicos. La consecuencia práctica es clara: formar para la atención de la violencia intrafamiliar requiere continuidad, práctica y evaluación. La sensibilidad frente al sufrimiento humano es indispensable, pero debe acompañarse de conocimientos y habilidades que permitan actuar con seguridad.</w:t>
      </w:r>
    </w:p>
    <w:p w14:paraId="42032F6C" w14:textId="7FC72E02"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Entre las limitaciones de la revisión se encuentra la heterogeneidad de diseños y estrategias, que impidió realizar metaanálisis; la inclusión de estudios secundarios con distintos niveles de calidad; el uso de un número específico de bases de datos e idiomas; y la ausencia de un protocolo registrado. Estas condiciones obligan a interpretar los resultados con cautela y refuerzan la necesidad de nuevas investigaciones con mayor comparabilidad y seguimiento.</w:t>
      </w:r>
    </w:p>
    <w:p w14:paraId="0F3F29CA" w14:textId="77777777"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6. CONCLUSIONES</w:t>
      </w:r>
    </w:p>
    <w:p w14:paraId="0532DEE9" w14:textId="163003D6"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lastRenderedPageBreak/>
        <w:t>El estado del conocimiento muestra que la formación de estudiantes de enfermería para la atención a la violencia intrafamiliar necesita avanzar desde contenidos aislados hacia procesos educativos planificados, progresivos y vinculados con la práctica. Los programas estructurados, la simulación clínica, los pacientes virtuales, la gamificación, la formación online, el aprendizaje experiencial y la educación interprofesional han mostrado resultados favorables en distintos componentes del aprendizaje, en conocimiento, comunicación, preparación percibida y competencias aplicadas.</w:t>
      </w:r>
    </w:p>
    <w:p w14:paraId="0B9E50C9" w14:textId="6507BB2F" w:rsidR="00DE02BF"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La evidencia también muestra que continúan las brechas de preparació</w:t>
      </w:r>
      <w:r w:rsidR="00DA61E7">
        <w:rPr>
          <w:rFonts w:eastAsiaTheme="minorHAnsi" w:cstheme="minorBidi"/>
          <w:caps w:val="0"/>
          <w:sz w:val="23"/>
          <w:szCs w:val="22"/>
          <w:shd w:val="clear" w:color="auto" w:fill="auto"/>
          <w14:numForm w14:val="oldStyle"/>
        </w:rPr>
        <w:t>n</w:t>
      </w:r>
      <w:r w:rsidRPr="00DE02BF">
        <w:rPr>
          <w:rFonts w:eastAsiaTheme="minorHAnsi" w:cstheme="minorBidi"/>
          <w:caps w:val="0"/>
          <w:sz w:val="23"/>
          <w:szCs w:val="22"/>
          <w:shd w:val="clear" w:color="auto" w:fill="auto"/>
          <w14:numForm w14:val="oldStyle"/>
        </w:rPr>
        <w:t xml:space="preserve"> y una integración curricular variable. Por ello, el desafío no con</w:t>
      </w:r>
      <w:r w:rsidR="00DA61E7">
        <w:rPr>
          <w:rFonts w:eastAsiaTheme="minorHAnsi" w:cstheme="minorBidi"/>
          <w:caps w:val="0"/>
          <w:sz w:val="23"/>
          <w:szCs w:val="22"/>
          <w:shd w:val="clear" w:color="auto" w:fill="auto"/>
          <w14:numForm w14:val="oldStyle"/>
        </w:rPr>
        <w:t>s</w:t>
      </w:r>
      <w:r w:rsidRPr="00DE02BF">
        <w:rPr>
          <w:rFonts w:eastAsiaTheme="minorHAnsi" w:cstheme="minorBidi"/>
          <w:caps w:val="0"/>
          <w:sz w:val="23"/>
          <w:szCs w:val="22"/>
          <w:shd w:val="clear" w:color="auto" w:fill="auto"/>
          <w14:numForm w14:val="oldStyle"/>
        </w:rPr>
        <w:t>iste sólo en “incluir el tema”, sino en asegurar que el estudiante tenga oportunidades para comprenderlo, practicar la comunicación, analizar situaciones complejas, trabajar con otros profesionales y recibir retroalimentación. Una formación humanizada implica reconocer que detrás de cada protocolo existe una persona que puede sentir miedo, inseguridad o ambivalencia y que necesita una respuesta profesional respetuosa y competente.</w:t>
      </w:r>
    </w:p>
    <w:p w14:paraId="3D53FDE4" w14:textId="4B0FEC07" w:rsidR="00817C99" w:rsidRPr="00DE02BF" w:rsidRDefault="00DE02BF" w:rsidP="00DE02BF">
      <w:pPr>
        <w:pStyle w:val="Ttulo1"/>
        <w:jc w:val="both"/>
        <w:rPr>
          <w:rFonts w:eastAsiaTheme="minorHAnsi" w:cstheme="minorBidi"/>
          <w:caps w:val="0"/>
          <w:sz w:val="23"/>
          <w:szCs w:val="22"/>
          <w:shd w:val="clear" w:color="auto" w:fill="auto"/>
          <w14:numForm w14:val="oldStyle"/>
        </w:rPr>
      </w:pPr>
      <w:r w:rsidRPr="00DE02BF">
        <w:rPr>
          <w:rFonts w:eastAsiaTheme="minorHAnsi" w:cstheme="minorBidi"/>
          <w:caps w:val="0"/>
          <w:sz w:val="23"/>
          <w:szCs w:val="22"/>
          <w:shd w:val="clear" w:color="auto" w:fill="auto"/>
          <w14:numForm w14:val="oldStyle"/>
        </w:rPr>
        <w:t>Finalmente, los resultados deben interpretarse al considerarse que la certeza de la evidencia es baja a moderada y que predominan estudios de corto plazo. Se requieren investigaciones longitudinales y evaluaciones de competencias que permitan conocer si los aprendizajes se mantienen y se transfieren a la práctica clínica. Mientras esa evidencia se fortalece, la síntesis disponible respalda el uso de enfoques combinados que articulen teoría, práctica, simulación, retroalimentación y reflexión como base para una preparación más sólida de los futuros profesionales de enfermería.</w:t>
      </w:r>
    </w:p>
    <w:p w14:paraId="703B2935" w14:textId="0DF9F774" w:rsidR="004307D4" w:rsidRPr="00411E44" w:rsidRDefault="00DE02BF" w:rsidP="00DE02BF">
      <w:pPr>
        <w:pStyle w:val="Ttulo1"/>
        <w:jc w:val="both"/>
      </w:pPr>
      <w:r>
        <w:rPr>
          <w:caps w:val="0"/>
        </w:rPr>
        <w:t>7. Referencias</w:t>
      </w:r>
    </w:p>
    <w:p w14:paraId="55570018" w14:textId="77777777" w:rsidR="00DE02BF" w:rsidRDefault="00DE02BF" w:rsidP="00DE02BF">
      <w:pPr>
        <w:spacing w:after="0" w:line="259" w:lineRule="auto"/>
        <w:ind w:left="720" w:hanging="720"/>
      </w:pPr>
      <w:r>
        <w:t xml:space="preserve">Aljomaie, H. A. H., Hollingdrake, O., Cruz, A. A., &amp; Currie, J. (2022). Una revisión exhaustiva de la atención sanitaria proporcionada por las enfermeras a personas que sufren violencia doméstica </w:t>
      </w:r>
      <w:r>
        <w:lastRenderedPageBreak/>
        <w:t>en entornos de atención primaria. International Journal of Nursing Studies Advances, 4, 100068. https://doi.org/10.1016/j.ijnsa.2022.100068</w:t>
      </w:r>
    </w:p>
    <w:p w14:paraId="05AB8B70" w14:textId="77777777" w:rsidR="00DE02BF" w:rsidRDefault="00DE02BF" w:rsidP="00DE02BF">
      <w:pPr>
        <w:spacing w:after="0" w:line="259" w:lineRule="auto"/>
        <w:ind w:left="720" w:hanging="720"/>
      </w:pPr>
      <w:r>
        <w:t>Allison, A., Weerahandi, A., Johnson, T., Koshan, J., Bagstad, G., Ferreira, C., et al. (2023). Revisión de alcance sobre el uso del aprendizaje experiencial en la educación profesional sobre la violencia de pareja íntima. Revista de Violencia Familiar, 1–20. https://doi.org/10.1007/s10896-023-00552-4</w:t>
      </w:r>
    </w:p>
    <w:p w14:paraId="2110FEB0" w14:textId="77777777" w:rsidR="00DE02BF" w:rsidRDefault="00DE02BF" w:rsidP="00DE02BF">
      <w:pPr>
        <w:spacing w:after="0" w:line="259" w:lineRule="auto"/>
        <w:ind w:left="720" w:hanging="720"/>
      </w:pPr>
      <w:r>
        <w:t>Cerulli, C., Crean, H. F., Juskiewicz, I., Wittink, M., Cruz, G., ReQua, M. A., et al. (2022). Comparando dos formas de proporcionar atención a adultos que sufren violencia en pareja y depresión. Instituto de Investigación de Resultados Centrados en el Paciente (PCORI). https://doi.org/10.25302/02.2022.IHS.150731543</w:t>
      </w:r>
    </w:p>
    <w:p w14:paraId="240765DA" w14:textId="77777777" w:rsidR="00DE02BF" w:rsidRDefault="00DE02BF" w:rsidP="00DE02BF">
      <w:pPr>
        <w:spacing w:after="0" w:line="259" w:lineRule="auto"/>
        <w:ind w:left="720" w:hanging="720"/>
      </w:pPr>
      <w:r>
        <w:t>Chafloque-Capuñay, J. E., Sánchez-Luján, B. I., Juárez-Jiménez, V. B., Coronado-Porta, C. T., Solano-Leandro, K., Rodríguez-Hoyos, J. J., et al. (2026). La revisión integrativa: Guía práctica: metodología, IA y estrategias para la publicación académica (1.ª ed.). ARCO Editores. https://doi.org/10.48209/978-65-5417-641-5</w:t>
      </w:r>
    </w:p>
    <w:p w14:paraId="4ADB33B6" w14:textId="77777777" w:rsidR="00DE02BF" w:rsidRDefault="00DE02BF" w:rsidP="00DE02BF">
      <w:pPr>
        <w:spacing w:after="0" w:line="259" w:lineRule="auto"/>
        <w:ind w:left="720" w:hanging="720"/>
      </w:pPr>
      <w:r>
        <w:t>Chang, O., Ryan, B., Rokoduru, A., Hill, A., Hataogo, S., &amp; Naidu, V. (2022). El Proyecto Pasifika Veilomani: Un programa piloto de formación online para trabajadores sanitarios en la gestión de la violencia de género y la violencia familiar, y en compartir experiencias. Psiquiatría Australasia, 30(6), 762–767. https://doi.org/10.1177/10398562211045090</w:t>
      </w:r>
    </w:p>
    <w:p w14:paraId="565BACF3" w14:textId="77777777" w:rsidR="00DE02BF" w:rsidRDefault="00DE02BF" w:rsidP="00DE02BF">
      <w:pPr>
        <w:spacing w:after="0" w:line="259" w:lineRule="auto"/>
        <w:ind w:left="720" w:hanging="720"/>
      </w:pPr>
      <w:r>
        <w:t>Childress, S., Highfill, C., Mammah, R., Schrag, R. V., Arenas-Itotia, K., Orwig, T., et al. (2024). Educación interprofesional para la planificación de la seguridad ante la violencia doméstica en enfermería y trabajo social: Una revisión de alcance. Revista de Educación en Trabajo Social, 60(4), 551–564. https://doi.org/10.1080/10437797.2023.2298389</w:t>
      </w:r>
    </w:p>
    <w:p w14:paraId="1606CC55" w14:textId="77777777" w:rsidR="00DE02BF" w:rsidRDefault="00DE02BF" w:rsidP="00DE02BF">
      <w:pPr>
        <w:spacing w:after="0" w:line="259" w:lineRule="auto"/>
        <w:ind w:left="720" w:hanging="720"/>
      </w:pPr>
      <w:r>
        <w:t>Ciapponi, A. (2018). AMSTAR-2: Herramienta de evaluación crítica de revisiones sistemáticas de estudios de intervenciones de salud. EVIDENCIA - Actualización en la Práctica Ambulatoria, 21(1), 4–13. https://doi.org/10.51987/evidencia.v21i1.6834</w:t>
      </w:r>
    </w:p>
    <w:p w14:paraId="1DD99B7E" w14:textId="77777777" w:rsidR="00DE02BF" w:rsidRDefault="00DE02BF" w:rsidP="00DE02BF">
      <w:pPr>
        <w:spacing w:after="0" w:line="259" w:lineRule="auto"/>
        <w:ind w:left="720" w:hanging="720"/>
      </w:pPr>
      <w:r>
        <w:t xml:space="preserve">Eckerström, J., Mårtensson, S., Larsson, M., Knez, R., Ljudvåg, M., El Alaoui, S., et al. (2025). Simulación virtual de pacientes en un </w:t>
      </w:r>
      <w:r>
        <w:lastRenderedPageBreak/>
        <w:t>módulo educativo interactivo sobre violencia de pareja: Experiencias de estudiantes de enfermería: Un estudio de métodos mixtos. Fronteras en Salud Digital, 7, 1516379. https://doi.org/10.3389/fdgth.2025.1516379</w:t>
      </w:r>
    </w:p>
    <w:p w14:paraId="402EF69B" w14:textId="77777777" w:rsidR="00DE02BF" w:rsidRDefault="00DE02BF" w:rsidP="00DE02BF">
      <w:pPr>
        <w:spacing w:after="0" w:line="259" w:lineRule="auto"/>
        <w:ind w:left="720" w:hanging="720"/>
      </w:pPr>
      <w:r>
        <w:t>Fapohunda, T., Stiegler, N., Masiagwala, P., &amp; Bouchard, J. P. (2022). El papel de las enfermeras en la prevención y gestión postraumática de la violencia doméstica en Sudáfrica. Revue de l’infirmière, 71(284), 38–40. https://doi.org/10.1016/j.revinf.2022.10.011</w:t>
      </w:r>
    </w:p>
    <w:p w14:paraId="64B77D3C" w14:textId="77777777" w:rsidR="00DE02BF" w:rsidRDefault="00DE02BF" w:rsidP="00DE02BF">
      <w:pPr>
        <w:spacing w:after="0" w:line="259" w:lineRule="auto"/>
        <w:ind w:left="720" w:hanging="720"/>
      </w:pPr>
      <w:r>
        <w:t>Forke, C. M., Ellenbogen, R., &amp; Thompson, K. M. (2024). Consejos prácticos para abordar la violencia en las relaciones adolescentes durante encuentros clínicos. Atención Primaria, 51(4), 703–713. https://doi.org/10.1016/j.pop.2024.05.009</w:t>
      </w:r>
    </w:p>
    <w:p w14:paraId="6E4C5A55" w14:textId="77777777" w:rsidR="00DE02BF" w:rsidRDefault="00DE02BF" w:rsidP="00DE02BF">
      <w:pPr>
        <w:spacing w:after="0" w:line="259" w:lineRule="auto"/>
        <w:ind w:left="720" w:hanging="720"/>
      </w:pPr>
      <w:r>
        <w:t>Hall, S. W., &amp; Beck, M. S. (2021). Enseñando la educación sobre la violencia de pareja: Un estudio cuasi-experimental que explora los videojuegos y la narración. Perspectivas de la Educación en Enfermería, 42(6), 371–373. https://doi.org/10.1097/01.NEP.0000000000000786</w:t>
      </w:r>
    </w:p>
    <w:p w14:paraId="02327288" w14:textId="58227ADD" w:rsidR="00DE02BF" w:rsidRDefault="00DE02BF" w:rsidP="00DE02BF">
      <w:pPr>
        <w:spacing w:after="0" w:line="259" w:lineRule="auto"/>
        <w:ind w:left="720" w:hanging="720"/>
      </w:pPr>
      <w:r>
        <w:t>Hilton, M. (2024). JBI critical appraisal checklist for systematic reviews and research syntheses. The Journal of the Canadian Health Libraries Association, 45(3), 180–183. https://doi.org/10.29173/jchla29801</w:t>
      </w:r>
    </w:p>
    <w:p w14:paraId="6460846D" w14:textId="77777777" w:rsidR="00DE02BF" w:rsidRDefault="00DE02BF" w:rsidP="00DE02BF">
      <w:pPr>
        <w:spacing w:after="0" w:line="259" w:lineRule="auto"/>
        <w:ind w:left="720" w:hanging="720"/>
      </w:pPr>
      <w:r>
        <w:t>Kyle, J. R., Buranosky, R. A., Mutter, M., Rothenberger, S. D., Hamm, M. E., &amp; McNeil, M. A. (2021). Un currículo multifacético de habilidades de comunicación en casos de violencia de pareja aumenta el cribado entre los residentes de medicina interna. Revista de Salud de la Mujer, 30(12), 1778–1787. https://doi.org/10.1089/jwh.2020.8685</w:t>
      </w:r>
    </w:p>
    <w:p w14:paraId="65C52C34" w14:textId="77777777" w:rsidR="00DE02BF" w:rsidRDefault="00DE02BF" w:rsidP="00DE02BF">
      <w:pPr>
        <w:spacing w:after="0" w:line="259" w:lineRule="auto"/>
        <w:ind w:left="720" w:hanging="720"/>
      </w:pPr>
      <w:r>
        <w:t>Larkin, E., Conway, S., Gildea, A., Jack, S. M., Johnston, S., Magennis, C., et al. (2025). Adaptación e implementación de una intervención para identificar y responder a la violencia de pareja en el programa de pareja de enfermeras familiares en Irlanda del Norte. Maltrato y Negligencia Infantil, 167, 107538. https://doi.org/10.1016/j.chiabu.2025.107538</w:t>
      </w:r>
    </w:p>
    <w:p w14:paraId="583DB93B" w14:textId="77777777" w:rsidR="00DE02BF" w:rsidRDefault="00DE02BF" w:rsidP="00DE02BF">
      <w:pPr>
        <w:spacing w:after="0" w:line="259" w:lineRule="auto"/>
        <w:ind w:left="720" w:hanging="720"/>
      </w:pPr>
      <w:r>
        <w:t xml:space="preserve">Li, Q., Zeng, J., Zhao, B., Perrin, N., Wenzel, J., Liu, F., et al. (2024). Preparación, opiniones, barreras y facilitadores de las enfermeras en la respuesta a la violencia de pareja íntima: Un estudio </w:t>
      </w:r>
      <w:r>
        <w:lastRenderedPageBreak/>
        <w:t>de métodos mixtos. Journal of Nursing Scholarship, 56(1), 174–190. https://doi.org/10.1111/jnu.12929</w:t>
      </w:r>
    </w:p>
    <w:p w14:paraId="52F7ED51" w14:textId="77777777" w:rsidR="00DE02BF" w:rsidRDefault="00DE02BF" w:rsidP="00DE02BF">
      <w:pPr>
        <w:spacing w:after="0" w:line="259" w:lineRule="auto"/>
        <w:ind w:left="720" w:hanging="720"/>
      </w:pPr>
      <w:r>
        <w:t>Manterola, C., Rivadeneira, J., &amp; Otzen, T. (2024). La pregunta de investigación y su asociación con los niveles de evidencia y los grados de recomendación en estudios de investigación clínica. International Journal of Morphology, 42(4), 1020–1028. https://doi.org/10.4067/S0717-95022024000401020</w:t>
      </w:r>
    </w:p>
    <w:p w14:paraId="0C5810F3" w14:textId="77777777" w:rsidR="00DE02BF" w:rsidRDefault="00DE02BF" w:rsidP="00DE02BF">
      <w:pPr>
        <w:spacing w:after="0" w:line="259" w:lineRule="auto"/>
        <w:ind w:left="720" w:hanging="720"/>
      </w:pPr>
      <w:r>
        <w:t>Page, M. J., McKenzie, J. E., Bossuyt, P. M., Boutron, I., Hoffmann, T. C., Mulrow, C. D., et al. (2021). The PRISMA 2020 statement: An updated guideline for reporting systematic reviews. BMJ, 372, n71. https://doi.org/10.1136/bmj.n71</w:t>
      </w:r>
    </w:p>
    <w:p w14:paraId="298EE98F" w14:textId="77777777" w:rsidR="00DE02BF" w:rsidRDefault="00DE02BF" w:rsidP="00DE02BF">
      <w:pPr>
        <w:spacing w:after="0" w:line="259" w:lineRule="auto"/>
        <w:ind w:left="720" w:hanging="720"/>
      </w:pPr>
      <w:r>
        <w:t>Poleshuck, E., Wittink, M. N., Crean, H., Juskiewicz, I., ReQua, M. A., &amp; Cerulli, C. (2021). A biopsychosocial and interprofessional approach to the treatment of family and intimate partner violence: It takes a village. Frontiers in Psychiatry, 12, 738840. https://doi.org/10.3389/fpsyt.2021.738840</w:t>
      </w:r>
    </w:p>
    <w:p w14:paraId="6AA2DE06" w14:textId="77777777" w:rsidR="00DE02BF" w:rsidRDefault="00DE02BF" w:rsidP="00DE02BF">
      <w:pPr>
        <w:spacing w:after="0" w:line="259" w:lineRule="auto"/>
        <w:ind w:left="720" w:hanging="720"/>
      </w:pPr>
      <w:r>
        <w:t>Valencia-Contrera, M. A. (2022). Actualización metodológica de revisiones integrativas: Un énfasis en la calidad de los resultados. Salud, Ciencia y Tecnología, 2, 171. https://doi.org/10.56294/saludcyt2022171</w:t>
      </w:r>
    </w:p>
    <w:p w14:paraId="052C8C89" w14:textId="77777777" w:rsidR="00DE02BF" w:rsidRDefault="00DE02BF" w:rsidP="00DE02BF">
      <w:pPr>
        <w:spacing w:after="0" w:line="259" w:lineRule="auto"/>
        <w:ind w:left="720" w:hanging="720"/>
      </w:pPr>
      <w:r>
        <w:t>World Health Organization. (2024). Violence against women. https://www.who.int/news-room/fact-sheets/detail/violence-against-women</w:t>
      </w:r>
    </w:p>
    <w:p w14:paraId="1CED1DA4" w14:textId="77777777" w:rsidR="00CE0F4B" w:rsidRPr="00CE0F4B" w:rsidRDefault="00CE0F4B" w:rsidP="008B6A98"/>
    <w:sectPr w:rsidR="00CE0F4B" w:rsidRPr="00CE0F4B" w:rsidSect="00280126">
      <w:headerReference w:type="even" r:id="rId9"/>
      <w:headerReference w:type="default" r:id="rId10"/>
      <w:footerReference w:type="even" r:id="rId11"/>
      <w:footerReference w:type="default" r:id="rId12"/>
      <w:headerReference w:type="first" r:id="rId13"/>
      <w:footerReference w:type="first" r:id="rId1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A5ED5" w14:textId="77777777" w:rsidR="0032286F" w:rsidRPr="00411E44" w:rsidRDefault="0032286F" w:rsidP="00EB0247">
      <w:pPr>
        <w:spacing w:after="0" w:line="240" w:lineRule="auto"/>
      </w:pPr>
      <w:r w:rsidRPr="00411E44">
        <w:separator/>
      </w:r>
    </w:p>
  </w:endnote>
  <w:endnote w:type="continuationSeparator" w:id="0">
    <w:p w14:paraId="68F22568" w14:textId="77777777" w:rsidR="0032286F" w:rsidRPr="00411E44" w:rsidRDefault="0032286F"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4FA01" w14:textId="77777777" w:rsidR="0032286F" w:rsidRPr="00411E44" w:rsidRDefault="0032286F" w:rsidP="00EB0247">
      <w:pPr>
        <w:spacing w:after="0" w:line="240" w:lineRule="auto"/>
      </w:pPr>
      <w:r w:rsidRPr="00411E44">
        <w:separator/>
      </w:r>
    </w:p>
  </w:footnote>
  <w:footnote w:type="continuationSeparator" w:id="0">
    <w:p w14:paraId="122A7591" w14:textId="77777777" w:rsidR="0032286F" w:rsidRPr="00411E44" w:rsidRDefault="0032286F"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307F2"/>
    <w:rsid w:val="0003338A"/>
    <w:rsid w:val="00033E3E"/>
    <w:rsid w:val="00041F61"/>
    <w:rsid w:val="00063421"/>
    <w:rsid w:val="0007495A"/>
    <w:rsid w:val="00085C3B"/>
    <w:rsid w:val="00097EEF"/>
    <w:rsid w:val="000C5EDB"/>
    <w:rsid w:val="000E7A2C"/>
    <w:rsid w:val="000F093B"/>
    <w:rsid w:val="00103A38"/>
    <w:rsid w:val="001348A0"/>
    <w:rsid w:val="00140844"/>
    <w:rsid w:val="001465AE"/>
    <w:rsid w:val="001468AC"/>
    <w:rsid w:val="0015066B"/>
    <w:rsid w:val="0015099A"/>
    <w:rsid w:val="00156F2B"/>
    <w:rsid w:val="0016205A"/>
    <w:rsid w:val="0017278B"/>
    <w:rsid w:val="00182667"/>
    <w:rsid w:val="00184E6B"/>
    <w:rsid w:val="00185A00"/>
    <w:rsid w:val="0018654D"/>
    <w:rsid w:val="001950D8"/>
    <w:rsid w:val="00197D57"/>
    <w:rsid w:val="001A3221"/>
    <w:rsid w:val="001A7AD8"/>
    <w:rsid w:val="001B556B"/>
    <w:rsid w:val="001C6AAC"/>
    <w:rsid w:val="001E7681"/>
    <w:rsid w:val="00217D0E"/>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2F5D76"/>
    <w:rsid w:val="00321B5F"/>
    <w:rsid w:val="0032286F"/>
    <w:rsid w:val="003512A0"/>
    <w:rsid w:val="00375999"/>
    <w:rsid w:val="003813A6"/>
    <w:rsid w:val="00384FEF"/>
    <w:rsid w:val="0039591A"/>
    <w:rsid w:val="003C4D9F"/>
    <w:rsid w:val="003E66FB"/>
    <w:rsid w:val="00411E44"/>
    <w:rsid w:val="00412070"/>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254A"/>
    <w:rsid w:val="004D6012"/>
    <w:rsid w:val="004D7FA5"/>
    <w:rsid w:val="00504673"/>
    <w:rsid w:val="00504709"/>
    <w:rsid w:val="005335DF"/>
    <w:rsid w:val="005417EB"/>
    <w:rsid w:val="005430EA"/>
    <w:rsid w:val="00544E17"/>
    <w:rsid w:val="00563924"/>
    <w:rsid w:val="00584BB4"/>
    <w:rsid w:val="005A43E3"/>
    <w:rsid w:val="005A4AFE"/>
    <w:rsid w:val="005A6174"/>
    <w:rsid w:val="005B1ED0"/>
    <w:rsid w:val="005B3008"/>
    <w:rsid w:val="005C3F48"/>
    <w:rsid w:val="00607EE3"/>
    <w:rsid w:val="006131F7"/>
    <w:rsid w:val="00626B66"/>
    <w:rsid w:val="00641773"/>
    <w:rsid w:val="006460E7"/>
    <w:rsid w:val="0066570F"/>
    <w:rsid w:val="00675757"/>
    <w:rsid w:val="00680332"/>
    <w:rsid w:val="00681364"/>
    <w:rsid w:val="0068745E"/>
    <w:rsid w:val="006B136A"/>
    <w:rsid w:val="006B2417"/>
    <w:rsid w:val="006B7745"/>
    <w:rsid w:val="006C66C0"/>
    <w:rsid w:val="006F1629"/>
    <w:rsid w:val="006F3D25"/>
    <w:rsid w:val="00714CBD"/>
    <w:rsid w:val="00721EBE"/>
    <w:rsid w:val="00733DD2"/>
    <w:rsid w:val="00742AC5"/>
    <w:rsid w:val="00760440"/>
    <w:rsid w:val="007701F1"/>
    <w:rsid w:val="00792960"/>
    <w:rsid w:val="00797E2C"/>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A0BED"/>
    <w:rsid w:val="00DA61E7"/>
    <w:rsid w:val="00DB0768"/>
    <w:rsid w:val="00DC12C0"/>
    <w:rsid w:val="00DC3839"/>
    <w:rsid w:val="00DC5E7D"/>
    <w:rsid w:val="00DE02BF"/>
    <w:rsid w:val="00DE0B74"/>
    <w:rsid w:val="00DE5B69"/>
    <w:rsid w:val="00DF1B76"/>
    <w:rsid w:val="00E04357"/>
    <w:rsid w:val="00E050FB"/>
    <w:rsid w:val="00E05E1A"/>
    <w:rsid w:val="00E06000"/>
    <w:rsid w:val="00E06521"/>
    <w:rsid w:val="00E13BCF"/>
    <w:rsid w:val="00E14800"/>
    <w:rsid w:val="00E45764"/>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971E-2F1E-4858-B9D9-7EA115FB3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5</TotalTime>
  <Pages>18</Pages>
  <Words>5244</Words>
  <Characters>28846</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Rosa Elvira Muñoz Aucapiña</cp:lastModifiedBy>
  <cp:revision>3</cp:revision>
  <dcterms:created xsi:type="dcterms:W3CDTF">2026-09-06T15:54:00Z</dcterms:created>
  <dcterms:modified xsi:type="dcterms:W3CDTF">2026-09-06T16:37:00Z</dcterms:modified>
  <cp:category>Categoria</cp:category>
  <cp:contentStatus>Estado</cp:contentStatus>
</cp:coreProperties>
</file>