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A3A15A" w14:textId="77777777" w:rsidR="00CE0F4B" w:rsidRPr="003512A0" w:rsidRDefault="00CE0F4B" w:rsidP="003512A0">
      <w:pPr>
        <w:rPr>
          <w:rFonts w:cs="Times New Roman"/>
          <w:sz w:val="22"/>
        </w:rPr>
      </w:pPr>
    </w:p>
    <w:p w14:paraId="22C084B5" w14:textId="6A307BBB" w:rsidR="001348A0" w:rsidRDefault="001348A0" w:rsidP="001348A0">
      <w:pPr>
        <w:pStyle w:val="Captulo"/>
      </w:pPr>
      <w:r>
        <w:t>Capítulo XXX</w:t>
      </w:r>
    </w:p>
    <w:p w14:paraId="53F485B9" w14:textId="75775A2C" w:rsidR="0015066B" w:rsidRPr="00663985" w:rsidRDefault="00663985" w:rsidP="00663985">
      <w:pPr>
        <w:pStyle w:val="TtCap"/>
        <w:rPr>
          <w:lang w:val="pt-PT" w:eastAsia="es-ES"/>
        </w:rPr>
      </w:pPr>
      <w:r w:rsidRPr="00944BBB">
        <w:rPr>
          <w:lang w:val="pt-PT" w:eastAsia="es-ES"/>
        </w:rPr>
        <w:t>Construcción de imaginarios a partir del framing y el storytelling</w:t>
      </w:r>
    </w:p>
    <w:p w14:paraId="4645F320" w14:textId="003590E3" w:rsidR="0015066B" w:rsidRPr="00663985" w:rsidRDefault="00663985" w:rsidP="0015066B">
      <w:pPr>
        <w:pStyle w:val="Autor"/>
        <w:rPr>
          <w:color w:val="000000" w:themeColor="text1"/>
        </w:rPr>
      </w:pPr>
      <w:r w:rsidRPr="00663985">
        <w:rPr>
          <w:color w:val="000000" w:themeColor="text1"/>
        </w:rPr>
        <w:t xml:space="preserve">Paola </w:t>
      </w:r>
      <w:proofErr w:type="spellStart"/>
      <w:r w:rsidRPr="00663985">
        <w:rPr>
          <w:color w:val="000000" w:themeColor="text1"/>
        </w:rPr>
        <w:t>ulloa</w:t>
      </w:r>
      <w:r w:rsidR="0064335B">
        <w:rPr>
          <w:color w:val="000000" w:themeColor="text1"/>
        </w:rPr>
        <w:t>-</w:t>
      </w:r>
      <w:r w:rsidRPr="00663985">
        <w:rPr>
          <w:color w:val="000000" w:themeColor="text1"/>
        </w:rPr>
        <w:t>lópez</w:t>
      </w:r>
      <w:proofErr w:type="spellEnd"/>
    </w:p>
    <w:p w14:paraId="69FA3E26" w14:textId="12B64473" w:rsidR="0015066B" w:rsidRPr="00663985" w:rsidRDefault="00663985" w:rsidP="0015066B">
      <w:pPr>
        <w:pStyle w:val="Adscripcin"/>
        <w:rPr>
          <w:color w:val="000000" w:themeColor="text1"/>
        </w:rPr>
      </w:pPr>
      <w:r w:rsidRPr="00663985">
        <w:rPr>
          <w:color w:val="000000" w:themeColor="text1"/>
        </w:rPr>
        <w:t>Escuela Superior Politécnica del Litoral</w:t>
      </w:r>
    </w:p>
    <w:p w14:paraId="402F2AE6" w14:textId="405C7181" w:rsidR="0015066B" w:rsidRDefault="00663985" w:rsidP="0015066B">
      <w:pPr>
        <w:pStyle w:val="Autor"/>
      </w:pPr>
      <w:r>
        <w:t>Cristian Cortez Galecio</w:t>
      </w:r>
    </w:p>
    <w:p w14:paraId="45F0C8E5" w14:textId="6DCCCDC1" w:rsidR="009C0DFA" w:rsidRDefault="00663985" w:rsidP="0015066B">
      <w:pPr>
        <w:pStyle w:val="Adscripcin"/>
      </w:pPr>
      <w:r>
        <w:t>Universidad Católica de Santiago de Guayaquil</w:t>
      </w:r>
    </w:p>
    <w:p w14:paraId="17BF4E63" w14:textId="75C40C22" w:rsidR="00663985" w:rsidRDefault="00663985" w:rsidP="00663985">
      <w:pPr>
        <w:pStyle w:val="Autor"/>
      </w:pPr>
      <w:r>
        <w:t>María Luisa Heredia</w:t>
      </w:r>
    </w:p>
    <w:p w14:paraId="212EF000" w14:textId="0178F0FB" w:rsidR="00663985" w:rsidRDefault="00663985" w:rsidP="00663985">
      <w:pPr>
        <w:pStyle w:val="Adscripcin"/>
      </w:pPr>
      <w:r>
        <w:t>Universidad Católica de Santiago de Guayaquil</w:t>
      </w:r>
    </w:p>
    <w:p w14:paraId="6A02D415" w14:textId="49E3DF0D" w:rsidR="0015066B" w:rsidRDefault="0015066B" w:rsidP="0015066B">
      <w:pPr>
        <w:pStyle w:val="Adscripcin"/>
      </w:pPr>
      <w:r>
        <w:t xml:space="preserve"> </w:t>
      </w:r>
    </w:p>
    <w:p w14:paraId="7FB42A6F" w14:textId="5F4E0913" w:rsidR="009C0DFA" w:rsidRPr="00663985" w:rsidRDefault="00721EBE" w:rsidP="00C45F7D">
      <w:pPr>
        <w:pStyle w:val="Ttulo1"/>
        <w:rPr>
          <w:color w:val="000000" w:themeColor="text1"/>
        </w:rPr>
      </w:pPr>
      <w:r w:rsidRPr="00663985">
        <w:rPr>
          <w:color w:val="000000" w:themeColor="text1"/>
        </w:rPr>
        <w:t xml:space="preserve">1. </w:t>
      </w:r>
      <w:r w:rsidR="0015066B" w:rsidRPr="00663985">
        <w:rPr>
          <w:color w:val="000000" w:themeColor="text1"/>
        </w:rPr>
        <w:t>Introducción</w:t>
      </w:r>
      <w:r w:rsidR="009C0DFA" w:rsidRPr="00663985">
        <w:rPr>
          <w:color w:val="000000" w:themeColor="text1"/>
        </w:rPr>
        <w:t xml:space="preserve"> </w:t>
      </w:r>
    </w:p>
    <w:p w14:paraId="3AA04405" w14:textId="4BC9873F" w:rsidR="00663985" w:rsidRDefault="00663985" w:rsidP="00663985">
      <w:r>
        <w:t xml:space="preserve">A partir de las teorías de Sábada (2001), cuya base epistémica se </w:t>
      </w:r>
      <w:r w:rsidR="00A31205">
        <w:t>cimienta</w:t>
      </w:r>
      <w:r>
        <w:t xml:space="preserve"> sobre acepciones de la sociología (Goffman, 1992) y la psicología (Kahneman y Tversky, 2017) se </w:t>
      </w:r>
      <w:r w:rsidR="00445D8B">
        <w:t>realizó</w:t>
      </w:r>
      <w:r>
        <w:t xml:space="preserve"> una revisión bibliográfica sobre el </w:t>
      </w:r>
      <w:proofErr w:type="spellStart"/>
      <w:r>
        <w:t>framing</w:t>
      </w:r>
      <w:proofErr w:type="spellEnd"/>
      <w:r>
        <w:t xml:space="preserve">, desde el estudio de los medios. </w:t>
      </w:r>
      <w:r w:rsidR="005B6154">
        <w:t>Asimismo</w:t>
      </w:r>
      <w:r>
        <w:t>, se revis</w:t>
      </w:r>
      <w:r w:rsidR="005B6154">
        <w:t>ó</w:t>
      </w:r>
      <w:r>
        <w:t xml:space="preserve"> lo</w:t>
      </w:r>
      <w:r w:rsidR="005B6154">
        <w:t xml:space="preserve">s </w:t>
      </w:r>
      <w:r>
        <w:t xml:space="preserve">aportes teóricos de Ardévol-Abreu (2015), que estudia el fenómeno como una herramienta metodológica. Pero también </w:t>
      </w:r>
      <w:r w:rsidR="005B6154">
        <w:t xml:space="preserve">este estudio incluye teorías como </w:t>
      </w:r>
      <w:r>
        <w:t xml:space="preserve">los imaginarios de </w:t>
      </w:r>
      <w:proofErr w:type="spellStart"/>
      <w:r>
        <w:t>Catoriadis</w:t>
      </w:r>
      <w:proofErr w:type="spellEnd"/>
      <w:r>
        <w:t xml:space="preserve"> (1989) y desde el </w:t>
      </w:r>
      <w:proofErr w:type="spellStart"/>
      <w:r>
        <w:t>Storytelling</w:t>
      </w:r>
      <w:proofErr w:type="spellEnd"/>
      <w:r>
        <w:t xml:space="preserve"> </w:t>
      </w:r>
      <w:r w:rsidR="005B6154">
        <w:t xml:space="preserve">a </w:t>
      </w:r>
      <w:r>
        <w:t>Jenkins</w:t>
      </w:r>
      <w:r w:rsidR="005B6154">
        <w:t xml:space="preserve"> (</w:t>
      </w:r>
      <w:r>
        <w:t xml:space="preserve">2008). </w:t>
      </w:r>
    </w:p>
    <w:p w14:paraId="258AC01C" w14:textId="43BEF6C5" w:rsidR="0015066B" w:rsidRDefault="00663985" w:rsidP="00663985">
      <w:r>
        <w:t>Para ello</w:t>
      </w:r>
      <w:r w:rsidR="005B6154">
        <w:t xml:space="preserve"> </w:t>
      </w:r>
      <w:r>
        <w:t xml:space="preserve">se hizo una netnografía, como método y como técnicas se hizo dos encuestas a jóvenes adultos residentes en Guayaquil. Asimismo, se hizo dos </w:t>
      </w:r>
      <w:r w:rsidRPr="00A31205">
        <w:rPr>
          <w:i/>
          <w:iCs/>
        </w:rPr>
        <w:t xml:space="preserve">focus </w:t>
      </w:r>
      <w:proofErr w:type="spellStart"/>
      <w:r w:rsidRPr="00A31205">
        <w:rPr>
          <w:i/>
          <w:iCs/>
        </w:rPr>
        <w:t>groups</w:t>
      </w:r>
      <w:proofErr w:type="spellEnd"/>
      <w:r>
        <w:t xml:space="preserve"> al mismo grupo etario. El estudio reveló que los contenidos a los que acceden los jóve</w:t>
      </w:r>
      <w:r>
        <w:t>n</w:t>
      </w:r>
      <w:r>
        <w:t xml:space="preserve">es si contribuyen a sus imaginarios sociales y de género. Ellos señalaron que al principio no se cuestionaban frente a estos contenidos, pero a medida que van avanzando en sus estudios </w:t>
      </w:r>
      <w:r w:rsidR="00A31205">
        <w:t>universitarios</w:t>
      </w:r>
      <w:r>
        <w:t xml:space="preserve"> si eran capaces de identificarlos. </w:t>
      </w:r>
    </w:p>
    <w:p w14:paraId="6F7D5D5E" w14:textId="5BBDBBEF" w:rsidR="00477173" w:rsidRDefault="00477173" w:rsidP="0015066B">
      <w:r>
        <w:t>El vídeo proporciona una manera eficaz para ayudarle a demostrar el punto.</w:t>
      </w:r>
      <w:r w:rsidRPr="00477173">
        <w:t xml:space="preserve"> </w:t>
      </w:r>
      <w:r>
        <w:t>Cuando haga clic en Vídeo en línea, puede pegar el código para insertar del vídeo que desea agregar.</w:t>
      </w:r>
    </w:p>
    <w:p w14:paraId="6E6B68A9" w14:textId="5E371811" w:rsidR="0015066B" w:rsidRDefault="0015066B" w:rsidP="0015066B">
      <w:pPr>
        <w:pStyle w:val="Ttulo2"/>
      </w:pPr>
      <w:r w:rsidRPr="0015066B">
        <w:rPr>
          <w:smallCaps w:val="0"/>
        </w:rPr>
        <w:lastRenderedPageBreak/>
        <w:t>1.</w:t>
      </w:r>
      <w:r>
        <w:t xml:space="preserve">1. </w:t>
      </w:r>
      <w:r w:rsidR="008A7485" w:rsidRPr="00445D8B">
        <w:rPr>
          <w:color w:val="000000" w:themeColor="text1"/>
        </w:rPr>
        <w:t xml:space="preserve">Desde la cultura de la convergencia al </w:t>
      </w:r>
      <w:proofErr w:type="spellStart"/>
      <w:r w:rsidR="008A7485" w:rsidRPr="00445D8B">
        <w:rPr>
          <w:color w:val="000000" w:themeColor="text1"/>
        </w:rPr>
        <w:t>framing</w:t>
      </w:r>
      <w:proofErr w:type="spellEnd"/>
    </w:p>
    <w:p w14:paraId="013A86C3" w14:textId="2BAEC6D1" w:rsidR="00A31205" w:rsidRDefault="00A31205" w:rsidP="00A31205">
      <w:r>
        <w:t>Desde las teorías de Jenkins (2008), Fisher (1987</w:t>
      </w:r>
      <w:r w:rsidR="00AA1ECA">
        <w:t>),</w:t>
      </w:r>
      <w:r>
        <w:t xml:space="preserve"> Campbell (2016) y Simmons (2000, 2007) se puede analizar como el </w:t>
      </w:r>
      <w:proofErr w:type="spellStart"/>
      <w:r w:rsidRPr="00A31205">
        <w:rPr>
          <w:i/>
          <w:iCs/>
        </w:rPr>
        <w:t>fraiming</w:t>
      </w:r>
      <w:proofErr w:type="spellEnd"/>
      <w:r>
        <w:t xml:space="preserve">, el </w:t>
      </w:r>
      <w:proofErr w:type="spellStart"/>
      <w:r w:rsidRPr="00A31205">
        <w:rPr>
          <w:i/>
          <w:iCs/>
        </w:rPr>
        <w:t>storytelling</w:t>
      </w:r>
      <w:proofErr w:type="spellEnd"/>
      <w:r>
        <w:t xml:space="preserve"> y los imaginarios, van a ser determinantes para que los jóvenes construyan sus imaginarios. Pero</w:t>
      </w:r>
      <w:r>
        <w:t>,</w:t>
      </w:r>
      <w:r>
        <w:t xml:space="preserve"> sobre todo, </w:t>
      </w:r>
      <w:r>
        <w:t>ellos</w:t>
      </w:r>
      <w:r>
        <w:t xml:space="preserve"> los construyen desde lo que consumen en redes sociales. Jenkins (2008) pone en escena la cultura de la convergencia que es el entorno natural de los jóvenes. Pero deja claro que hay una divergencia tecnológica y que eso provoca que el mensaje se acople a cada uno de los formatos. </w:t>
      </w:r>
      <w:r w:rsidR="00AA1ECA">
        <w:t>Y,</w:t>
      </w:r>
      <w:r>
        <w:t xml:space="preserve"> en este caso es importante destacar que </w:t>
      </w:r>
      <w:r w:rsidR="00AA1ECA">
        <w:t xml:space="preserve">si </w:t>
      </w:r>
      <w:r>
        <w:t>el medio es el mensaje tal como lo decía McLuhan</w:t>
      </w:r>
      <w:r w:rsidR="00B07A9F">
        <w:t xml:space="preserve"> (1969)</w:t>
      </w:r>
      <w:r w:rsidR="00AA1ECA">
        <w:t xml:space="preserve">, </w:t>
      </w:r>
      <w:r>
        <w:t xml:space="preserve">en la divergencia tecnológica actual los medios van a determinar a qué </w:t>
      </w:r>
      <w:r>
        <w:t>público</w:t>
      </w:r>
      <w:r>
        <w:t xml:space="preserve"> se quiere dirigir el mensaje. </w:t>
      </w:r>
      <w:r w:rsidR="00AA1ECA">
        <w:t xml:space="preserve">Es por esto, que </w:t>
      </w:r>
      <w:r>
        <w:t xml:space="preserve">no podemos hablar del público que está en redes sociales, porque no es un todo, sino que las ecologías </w:t>
      </w:r>
      <w:r>
        <w:t>mediáticas</w:t>
      </w:r>
      <w:r w:rsidR="00AA1ECA">
        <w:t xml:space="preserve"> actuales son</w:t>
      </w:r>
      <w:r>
        <w:t xml:space="preserve"> híbridas </w:t>
      </w:r>
      <w:r w:rsidR="00AA1ECA">
        <w:t xml:space="preserve">y en ella no habita una gran masa uniforme de prosumidores (Scolari, 2008) sino que </w:t>
      </w:r>
      <w:r>
        <w:t xml:space="preserve">encontramos </w:t>
      </w:r>
      <w:proofErr w:type="spellStart"/>
      <w:r w:rsidRPr="00A31205">
        <w:rPr>
          <w:i/>
          <w:iCs/>
        </w:rPr>
        <w:t>multitargets</w:t>
      </w:r>
      <w:proofErr w:type="spellEnd"/>
      <w:r>
        <w:t xml:space="preserve">. </w:t>
      </w:r>
    </w:p>
    <w:p w14:paraId="3D5092D3" w14:textId="60E9833F" w:rsidR="00A31205" w:rsidRDefault="00A31205" w:rsidP="00A31205">
      <w:r>
        <w:t>Es por esto</w:t>
      </w:r>
      <w:r>
        <w:t>,</w:t>
      </w:r>
      <w:r>
        <w:t xml:space="preserve"> que</w:t>
      </w:r>
      <w:r>
        <w:t>,</w:t>
      </w:r>
      <w:r>
        <w:t xml:space="preserve"> Jenkins (2008) destaca que ante la divergencia tecnológica hay una multiplicación de los encuadres o </w:t>
      </w:r>
      <w:proofErr w:type="spellStart"/>
      <w:r w:rsidRPr="00A31205">
        <w:rPr>
          <w:i/>
          <w:iCs/>
        </w:rPr>
        <w:t>fraiming</w:t>
      </w:r>
      <w:proofErr w:type="spellEnd"/>
      <w:r>
        <w:t>. A</w:t>
      </w:r>
      <w:r w:rsidR="00AA1ECA">
        <w:t xml:space="preserve"> propósito de que </w:t>
      </w:r>
      <w:r>
        <w:t xml:space="preserve">los usuarios se encuentran en un escenario en el que consume un mismo hecho en </w:t>
      </w:r>
      <w:r>
        <w:t>múltiples propuestas</w:t>
      </w:r>
      <w:r>
        <w:t xml:space="preserve"> narrativas, es decir, </w:t>
      </w:r>
      <w:r w:rsidR="00AA1ECA">
        <w:t xml:space="preserve">que hay una puesta en escena </w:t>
      </w:r>
      <w:r>
        <w:t>transmedia</w:t>
      </w:r>
      <w:r w:rsidR="00AA1ECA">
        <w:t xml:space="preserve"> de los relatos</w:t>
      </w:r>
      <w:r>
        <w:t>. Pero, es importante comprender que el mensaje</w:t>
      </w:r>
      <w:r w:rsidR="00AA1ECA">
        <w:t xml:space="preserve"> se </w:t>
      </w:r>
      <w:r>
        <w:t xml:space="preserve">condiciona </w:t>
      </w:r>
      <w:r w:rsidR="00AA1ECA">
        <w:t>dependiendo de la plataforma en la que se transmite</w:t>
      </w:r>
      <w:r>
        <w:t xml:space="preserve">. En este sentido, </w:t>
      </w:r>
      <w:r w:rsidR="00AA1ECA">
        <w:t xml:space="preserve">Jenkins (2008) señala que los hechos se entienden distinto de acuerdo con el marco de referencia con que se exponen ante los usuarios.  </w:t>
      </w:r>
      <w:r w:rsidR="00A771A0">
        <w:t xml:space="preserve">A partir de ello, los prosumidores toman fragmentos de los contenidos que consumen en las redes para generar sus propias versiones de ese hecho inicial a través de </w:t>
      </w:r>
      <w:proofErr w:type="spellStart"/>
      <w:r w:rsidR="00A771A0" w:rsidRPr="00A771A0">
        <w:rPr>
          <w:i/>
          <w:iCs/>
        </w:rPr>
        <w:t>reels</w:t>
      </w:r>
      <w:proofErr w:type="spellEnd"/>
      <w:r w:rsidR="00A771A0">
        <w:t xml:space="preserve">, memes, etc. </w:t>
      </w:r>
      <w:r w:rsidR="00AA1ECA">
        <w:t xml:space="preserve">(Gutierres, Alves y </w:t>
      </w:r>
      <w:proofErr w:type="spellStart"/>
      <w:r w:rsidR="00AA1ECA">
        <w:t>Tolare</w:t>
      </w:r>
      <w:proofErr w:type="spellEnd"/>
      <w:r w:rsidR="00AA1ECA">
        <w:t xml:space="preserve">, </w:t>
      </w:r>
      <w:r w:rsidR="00A771A0">
        <w:t>2023).</w:t>
      </w:r>
    </w:p>
    <w:p w14:paraId="571D7408" w14:textId="6FF3996F" w:rsidR="00A31205" w:rsidRDefault="00A771A0" w:rsidP="00A31205">
      <w:r>
        <w:t>En este sentido el enfoque de la historia va a tener varias versiones porque los productores de contenidos que pueden ser las empresas de comunicación o los estamentos de poder económico o políticos y los prosumidores coinciden en un escenario impredecible, como lo son los medios digitales. Por eso cada medio ofrece una pieza distinta del universo narrativo (Jenkins, 2008)</w:t>
      </w:r>
    </w:p>
    <w:p w14:paraId="59D3BB18" w14:textId="79DC1277" w:rsidR="0028556A" w:rsidRPr="0028556A" w:rsidRDefault="008A7485" w:rsidP="008A7485">
      <w:r>
        <w:lastRenderedPageBreak/>
        <w:t>A</w:t>
      </w:r>
      <w:r w:rsidR="00A31205">
        <w:t xml:space="preserve"> propósito de dar una mirada epistémica oportuna, en tiempos en que las teorías de la comunicación que se basaron en investigaciones de los </w:t>
      </w:r>
      <w:proofErr w:type="spellStart"/>
      <w:r w:rsidR="00A31205" w:rsidRPr="00A31205">
        <w:rPr>
          <w:i/>
          <w:iCs/>
        </w:rPr>
        <w:t>mass</w:t>
      </w:r>
      <w:proofErr w:type="spellEnd"/>
      <w:r w:rsidR="00A31205" w:rsidRPr="00A31205">
        <w:rPr>
          <w:i/>
          <w:iCs/>
        </w:rPr>
        <w:t xml:space="preserve"> media</w:t>
      </w:r>
      <w:r w:rsidR="00A31205">
        <w:t xml:space="preserve"> son pertinentes en las redes sociales, que son los nuevos refrentes mediáticos de los nativos digitales que interactúan en </w:t>
      </w:r>
      <w:r w:rsidR="00A31205">
        <w:t>la</w:t>
      </w:r>
      <w:r w:rsidR="00A31205" w:rsidRPr="00A31205">
        <w:rPr>
          <w:i/>
          <w:iCs/>
        </w:rPr>
        <w:t xml:space="preserve"> </w:t>
      </w:r>
      <w:proofErr w:type="spellStart"/>
      <w:r w:rsidR="00A31205" w:rsidRPr="00A31205">
        <w:rPr>
          <w:i/>
          <w:iCs/>
        </w:rPr>
        <w:t>t</w:t>
      </w:r>
      <w:r w:rsidR="00A31205" w:rsidRPr="00A31205">
        <w:rPr>
          <w:i/>
          <w:iCs/>
        </w:rPr>
        <w:t>ecnocultura</w:t>
      </w:r>
      <w:proofErr w:type="spellEnd"/>
      <w:r w:rsidR="00A31205">
        <w:t xml:space="preserve"> (Shaw</w:t>
      </w:r>
      <w:r w:rsidR="00A31205">
        <w:t xml:space="preserve">, </w:t>
      </w:r>
      <w:r w:rsidR="00A31205">
        <w:t>2021; Robbins y Williams, 2001)</w:t>
      </w:r>
      <w:r w:rsidR="0015066B">
        <w:t xml:space="preserve">. </w:t>
      </w:r>
      <w:r w:rsidR="0028556A" w:rsidRPr="0028556A">
        <w:t xml:space="preserve">Sábado (2001) destaca que el </w:t>
      </w:r>
      <w:proofErr w:type="spellStart"/>
      <w:r w:rsidR="00B07A9F" w:rsidRPr="00B07A9F">
        <w:rPr>
          <w:i/>
          <w:iCs/>
        </w:rPr>
        <w:t>framing</w:t>
      </w:r>
      <w:proofErr w:type="spellEnd"/>
      <w:r w:rsidR="0028556A" w:rsidRPr="0028556A">
        <w:t xml:space="preserve"> permite dotar de coherencia al discurso. Pero que es importante identificar que hay dos tipos de </w:t>
      </w:r>
      <w:proofErr w:type="spellStart"/>
      <w:r w:rsidR="00B07A9F" w:rsidRPr="00B07A9F">
        <w:rPr>
          <w:i/>
          <w:iCs/>
        </w:rPr>
        <w:t>framing</w:t>
      </w:r>
      <w:proofErr w:type="spellEnd"/>
      <w:r w:rsidR="0028556A" w:rsidRPr="0028556A">
        <w:t>: el formal (noticias) y el de contenidos (temas específicos). A partir de ello, plantea el estudio de los medios.</w:t>
      </w:r>
    </w:p>
    <w:p w14:paraId="121D4F6B" w14:textId="381448A2" w:rsidR="00A31205" w:rsidRPr="00A31205" w:rsidRDefault="0028556A" w:rsidP="0028556A">
      <w:pPr>
        <w:pStyle w:val="Ttulo1"/>
        <w:rPr>
          <w:rFonts w:eastAsiaTheme="minorHAnsi" w:cstheme="minorBidi"/>
          <w:caps w:val="0"/>
          <w:sz w:val="23"/>
          <w:szCs w:val="22"/>
          <w:shd w:val="clear" w:color="auto" w:fill="auto"/>
          <w14:numForm w14:val="oldStyle"/>
        </w:rPr>
      </w:pPr>
      <w:r w:rsidRPr="0028556A">
        <w:rPr>
          <w:rFonts w:eastAsiaTheme="minorHAnsi" w:cstheme="minorBidi"/>
          <w:caps w:val="0"/>
          <w:sz w:val="23"/>
          <w:szCs w:val="22"/>
          <w:shd w:val="clear" w:color="auto" w:fill="auto"/>
          <w14:numForm w14:val="oldStyle"/>
        </w:rPr>
        <w:t xml:space="preserve">Es por ello </w:t>
      </w:r>
      <w:proofErr w:type="gramStart"/>
      <w:r w:rsidRPr="0028556A">
        <w:rPr>
          <w:rFonts w:eastAsiaTheme="minorHAnsi" w:cstheme="minorBidi"/>
          <w:caps w:val="0"/>
          <w:sz w:val="23"/>
          <w:szCs w:val="22"/>
          <w:shd w:val="clear" w:color="auto" w:fill="auto"/>
          <w14:numForm w14:val="oldStyle"/>
        </w:rPr>
        <w:t>que</w:t>
      </w:r>
      <w:proofErr w:type="gramEnd"/>
      <w:r w:rsidRPr="0028556A">
        <w:rPr>
          <w:rFonts w:eastAsiaTheme="minorHAnsi" w:cstheme="minorBidi"/>
          <w:caps w:val="0"/>
          <w:sz w:val="23"/>
          <w:szCs w:val="22"/>
          <w:shd w:val="clear" w:color="auto" w:fill="auto"/>
          <w14:numForm w14:val="oldStyle"/>
        </w:rPr>
        <w:t xml:space="preserve">, la revisión busca establecer </w:t>
      </w:r>
      <w:r w:rsidR="00AA1ECA" w:rsidRPr="0028556A">
        <w:rPr>
          <w:rFonts w:eastAsiaTheme="minorHAnsi" w:cstheme="minorBidi"/>
          <w:caps w:val="0"/>
          <w:sz w:val="23"/>
          <w:szCs w:val="22"/>
          <w:shd w:val="clear" w:color="auto" w:fill="auto"/>
          <w14:numForm w14:val="oldStyle"/>
        </w:rPr>
        <w:t>las visiones</w:t>
      </w:r>
      <w:r w:rsidRPr="0028556A">
        <w:rPr>
          <w:rFonts w:eastAsiaTheme="minorHAnsi" w:cstheme="minorBidi"/>
          <w:caps w:val="0"/>
          <w:sz w:val="23"/>
          <w:szCs w:val="22"/>
          <w:shd w:val="clear" w:color="auto" w:fill="auto"/>
          <w14:numForm w14:val="oldStyle"/>
        </w:rPr>
        <w:t xml:space="preserve"> de los autores que permiten, por ejemplo, desde la visión de Sábad</w:t>
      </w:r>
      <w:r w:rsidR="008A7485">
        <w:rPr>
          <w:rFonts w:eastAsiaTheme="minorHAnsi" w:cstheme="minorBidi"/>
          <w:caps w:val="0"/>
          <w:sz w:val="23"/>
          <w:szCs w:val="22"/>
          <w:shd w:val="clear" w:color="auto" w:fill="auto"/>
          <w14:numForm w14:val="oldStyle"/>
        </w:rPr>
        <w:t>0 (2001)</w:t>
      </w:r>
      <w:r w:rsidRPr="0028556A">
        <w:rPr>
          <w:rFonts w:eastAsiaTheme="minorHAnsi" w:cstheme="minorBidi"/>
          <w:caps w:val="0"/>
          <w:sz w:val="23"/>
          <w:szCs w:val="22"/>
          <w:shd w:val="clear" w:color="auto" w:fill="auto"/>
          <w14:numForm w14:val="oldStyle"/>
        </w:rPr>
        <w:t xml:space="preserve">, tener una vinculación del </w:t>
      </w:r>
      <w:proofErr w:type="spellStart"/>
      <w:r w:rsidRPr="00B07A9F">
        <w:rPr>
          <w:rFonts w:eastAsiaTheme="minorHAnsi" w:cstheme="minorBidi"/>
          <w:i/>
          <w:iCs/>
          <w:caps w:val="0"/>
          <w:sz w:val="23"/>
          <w:szCs w:val="22"/>
          <w:shd w:val="clear" w:color="auto" w:fill="auto"/>
          <w14:numForm w14:val="oldStyle"/>
        </w:rPr>
        <w:t>framing</w:t>
      </w:r>
      <w:proofErr w:type="spellEnd"/>
      <w:r w:rsidRPr="0028556A">
        <w:rPr>
          <w:rFonts w:eastAsiaTheme="minorHAnsi" w:cstheme="minorBidi"/>
          <w:caps w:val="0"/>
          <w:sz w:val="23"/>
          <w:szCs w:val="22"/>
          <w:shd w:val="clear" w:color="auto" w:fill="auto"/>
          <w14:numForm w14:val="oldStyle"/>
        </w:rPr>
        <w:t xml:space="preserve"> con la agenda </w:t>
      </w:r>
      <w:proofErr w:type="spellStart"/>
      <w:r w:rsidRPr="00AA1ECA">
        <w:rPr>
          <w:rFonts w:eastAsiaTheme="minorHAnsi" w:cstheme="minorBidi"/>
          <w:i/>
          <w:iCs/>
          <w:caps w:val="0"/>
          <w:sz w:val="23"/>
          <w:szCs w:val="22"/>
          <w:shd w:val="clear" w:color="auto" w:fill="auto"/>
          <w14:numForm w14:val="oldStyle"/>
        </w:rPr>
        <w:t>setting</w:t>
      </w:r>
      <w:proofErr w:type="spellEnd"/>
      <w:r w:rsidRPr="0028556A">
        <w:rPr>
          <w:rFonts w:eastAsiaTheme="minorHAnsi" w:cstheme="minorBidi"/>
          <w:caps w:val="0"/>
          <w:sz w:val="23"/>
          <w:szCs w:val="22"/>
          <w:shd w:val="clear" w:color="auto" w:fill="auto"/>
          <w14:numForm w14:val="oldStyle"/>
        </w:rPr>
        <w:t xml:space="preserve"> y a</w:t>
      </w:r>
      <w:r w:rsidR="00AA1ECA">
        <w:rPr>
          <w:rFonts w:eastAsiaTheme="minorHAnsi" w:cstheme="minorBidi"/>
          <w:caps w:val="0"/>
          <w:sz w:val="23"/>
          <w:szCs w:val="22"/>
          <w:shd w:val="clear" w:color="auto" w:fill="auto"/>
          <w14:numForm w14:val="oldStyle"/>
        </w:rPr>
        <w:t xml:space="preserve"> </w:t>
      </w:r>
      <w:r w:rsidRPr="0028556A">
        <w:rPr>
          <w:rFonts w:eastAsiaTheme="minorHAnsi" w:cstheme="minorBidi"/>
          <w:caps w:val="0"/>
          <w:sz w:val="23"/>
          <w:szCs w:val="22"/>
          <w:shd w:val="clear" w:color="auto" w:fill="auto"/>
          <w14:numForm w14:val="oldStyle"/>
        </w:rPr>
        <w:t>partir de ello se ve al encuadre como una herramienta de interpretación de la realidad que le da el periodista a los usuarios</w:t>
      </w:r>
      <w:r w:rsidR="008A7485">
        <w:rPr>
          <w:rFonts w:eastAsiaTheme="minorHAnsi" w:cstheme="minorBidi"/>
          <w:caps w:val="0"/>
          <w:sz w:val="23"/>
          <w:szCs w:val="22"/>
          <w:shd w:val="clear" w:color="auto" w:fill="auto"/>
          <w14:numForm w14:val="oldStyle"/>
        </w:rPr>
        <w:t>, en el caso del encuadre formal</w:t>
      </w:r>
      <w:r w:rsidRPr="0028556A">
        <w:rPr>
          <w:rFonts w:eastAsiaTheme="minorHAnsi" w:cstheme="minorBidi"/>
          <w:caps w:val="0"/>
          <w:sz w:val="23"/>
          <w:szCs w:val="22"/>
          <w:shd w:val="clear" w:color="auto" w:fill="auto"/>
          <w14:numForm w14:val="oldStyle"/>
        </w:rPr>
        <w:t>.</w:t>
      </w:r>
      <w:r w:rsidR="008A7485">
        <w:rPr>
          <w:rFonts w:eastAsiaTheme="minorHAnsi" w:cstheme="minorBidi"/>
          <w:caps w:val="0"/>
          <w:sz w:val="23"/>
          <w:szCs w:val="22"/>
          <w:shd w:val="clear" w:color="auto" w:fill="auto"/>
          <w14:numForm w14:val="oldStyle"/>
        </w:rPr>
        <w:t xml:space="preserve"> Pero, cuando se trata del encuadre de contenidos que no lo hace un profesional del periodismo, va a tener una carga sociocultural y si se quiere ideológica, en algunos casos, el contenido que se difunda. </w:t>
      </w:r>
    </w:p>
    <w:p w14:paraId="29CBC4C6" w14:textId="4B103F98" w:rsidR="0028556A" w:rsidRDefault="0028556A" w:rsidP="0028556A">
      <w:pPr>
        <w:pStyle w:val="Ttulo2"/>
      </w:pPr>
      <w:r w:rsidRPr="0015066B">
        <w:t>1.</w:t>
      </w:r>
      <w:r w:rsidR="008A7485">
        <w:t>2</w:t>
      </w:r>
      <w:r>
        <w:t xml:space="preserve">. </w:t>
      </w:r>
      <w:r>
        <w:t xml:space="preserve">los imaginarios sociales </w:t>
      </w:r>
    </w:p>
    <w:p w14:paraId="6C830152" w14:textId="7458B40B" w:rsidR="0028556A" w:rsidRDefault="0028556A" w:rsidP="0028556A">
      <w:pPr>
        <w:spacing w:before="0" w:after="0" w:line="240" w:lineRule="auto"/>
        <w:jc w:val="left"/>
      </w:pPr>
      <w:r w:rsidRPr="00396213">
        <w:t xml:space="preserve">Un imaginario social es una construcción tanto social como histórica que abarca diversas instituciones, normas y símbolos distintivos de un grupo social. A pesar de su naturaleza imaginativa, un imaginario social influye en la realidad, regulando las acciones de las personas. </w:t>
      </w:r>
    </w:p>
    <w:p w14:paraId="61CA2AB9" w14:textId="5BC46B38" w:rsidR="0028556A" w:rsidRDefault="0028556A" w:rsidP="0028556A">
      <w:pPr>
        <w:spacing w:before="0" w:after="0" w:line="240" w:lineRule="auto"/>
        <w:jc w:val="left"/>
      </w:pPr>
      <w:r>
        <w:t>Es</w:t>
      </w:r>
      <w:r w:rsidRPr="0028556A">
        <w:t>to implica que es la manera en que una sociedad interpreta su entorno y cómo esta interpretación afecta su vida diaria (Castoriadis, 1989, como se citó en Miranda, 2014).</w:t>
      </w:r>
    </w:p>
    <w:p w14:paraId="7D45621C" w14:textId="23A8B585" w:rsidR="0028556A" w:rsidRDefault="0028556A" w:rsidP="0028556A">
      <w:pPr>
        <w:spacing w:before="0" w:after="0" w:line="240" w:lineRule="auto"/>
        <w:jc w:val="left"/>
      </w:pPr>
      <w:r>
        <w:t>C</w:t>
      </w:r>
      <w:r w:rsidRPr="00396213">
        <w:t xml:space="preserve">uando Castoriadis menciona un “carácter imaginativo”, no </w:t>
      </w:r>
      <w:r w:rsidR="008A7485">
        <w:t xml:space="preserve">hace referencia a </w:t>
      </w:r>
      <w:r w:rsidRPr="00396213">
        <w:t>que estos imaginarios s</w:t>
      </w:r>
      <w:r w:rsidR="008A7485">
        <w:t>o</w:t>
      </w:r>
      <w:r w:rsidRPr="00396213">
        <w:t>n ficticios, sino a que las personas regulan su comportamiento basándose en su percepción de la realidad,</w:t>
      </w:r>
      <w:r w:rsidR="008A7485">
        <w:t xml:space="preserve"> una que ha sido concebida desde sus creencias y no desde </w:t>
      </w:r>
      <w:r w:rsidRPr="00396213">
        <w:t>parámetros objetivos. </w:t>
      </w:r>
      <w:r w:rsidR="008A7485">
        <w:t xml:space="preserve">Desde esta perspectiva es importante determinar que los imaginarios son valores, mitos, símbolos y deseos compartidos que influyen en que las personas vean el mundo de determinada forma. Castoriadis </w:t>
      </w:r>
      <w:proofErr w:type="gramStart"/>
      <w:r w:rsidR="008A7485">
        <w:t xml:space="preserve">(  </w:t>
      </w:r>
      <w:proofErr w:type="gramEnd"/>
      <w:r w:rsidR="008A7485">
        <w:t xml:space="preserve"> ) destaca que si bien los jóvenes ya tienen un </w:t>
      </w:r>
      <w:proofErr w:type="spellStart"/>
      <w:r w:rsidR="008A7485" w:rsidRPr="008A7485">
        <w:rPr>
          <w:i/>
          <w:iCs/>
        </w:rPr>
        <w:t>background</w:t>
      </w:r>
      <w:proofErr w:type="spellEnd"/>
      <w:r w:rsidR="008A7485">
        <w:t xml:space="preserve"> cultural sobre lo que está bien o está mal, antes de consumir noticias o contenidos digitales. </w:t>
      </w:r>
      <w:r w:rsidR="00866608">
        <w:t xml:space="preserve">Los imaginarios que se formen a partir de su </w:t>
      </w:r>
      <w:r w:rsidR="00866608">
        <w:lastRenderedPageBreak/>
        <w:t xml:space="preserve">consumo de contenidos en las ecologías híbridas de medios van a ser la lente con la que midan su realidad, es decir, que sí va a influir. </w:t>
      </w:r>
    </w:p>
    <w:p w14:paraId="695B70E0" w14:textId="60E310EB" w:rsidR="00866608" w:rsidRPr="00396213" w:rsidRDefault="00866608" w:rsidP="0028556A">
      <w:pPr>
        <w:spacing w:before="0" w:after="0" w:line="240" w:lineRule="auto"/>
        <w:jc w:val="left"/>
      </w:pPr>
      <w:r>
        <w:t xml:space="preserve">Pero ¿de qué manera sucede esto? Cuando los jóvenes consumen un hecho, por ejemplo, una protesta. Los medios o los influencers publican una versión de los hechos que ha sido colocado en un encuadre y a partir de ello se ha decidido </w:t>
      </w:r>
      <w:r w:rsidR="00445D8B">
        <w:t xml:space="preserve">omitir o destacar parte de la información. </w:t>
      </w:r>
    </w:p>
    <w:p w14:paraId="3D518598" w14:textId="69D1CA80" w:rsidR="0028556A" w:rsidRPr="00396213" w:rsidRDefault="0028556A" w:rsidP="0028556A">
      <w:pPr>
        <w:spacing w:before="0" w:after="0" w:line="240" w:lineRule="auto"/>
        <w:jc w:val="left"/>
      </w:pPr>
    </w:p>
    <w:p w14:paraId="5D8DC444" w14:textId="73CC29D6" w:rsidR="00607EE3" w:rsidRDefault="00607EE3" w:rsidP="00607EE3">
      <w:pPr>
        <w:pStyle w:val="Ttulo1"/>
      </w:pPr>
      <w:r>
        <w:t>2. Objetivos</w:t>
      </w:r>
    </w:p>
    <w:p w14:paraId="281F5386" w14:textId="265B5938" w:rsidR="00607EE3" w:rsidRDefault="005B6154" w:rsidP="00C45F7D">
      <w:pPr>
        <w:pStyle w:val="Listado"/>
      </w:pPr>
      <w:r>
        <w:t xml:space="preserve">Analizar si los contenidos que consumen en redes sociales los jóvenes contribuyen a la construcción de sus imaginarios y por ello a las lecturas que hacen de su entorno. </w:t>
      </w:r>
    </w:p>
    <w:p w14:paraId="62C03AA7" w14:textId="3CA93ABE" w:rsidR="005B6154" w:rsidRDefault="005B6154" w:rsidP="00C45F7D">
      <w:pPr>
        <w:pStyle w:val="Listado"/>
      </w:pPr>
      <w:r>
        <w:t xml:space="preserve">Analizar de qué manera el </w:t>
      </w:r>
      <w:proofErr w:type="spellStart"/>
      <w:r w:rsidRPr="005B6154">
        <w:rPr>
          <w:i/>
          <w:iCs/>
        </w:rPr>
        <w:t>fraiming</w:t>
      </w:r>
      <w:proofErr w:type="spellEnd"/>
      <w:r>
        <w:t xml:space="preserve"> es una herramienta que aporta a la construcción de imaginarios en los jóvenes adultos de Guayaquil. </w:t>
      </w:r>
    </w:p>
    <w:p w14:paraId="14E7E27C" w14:textId="675ED340" w:rsidR="005B6154" w:rsidRDefault="005B6154" w:rsidP="005B6154">
      <w:pPr>
        <w:pStyle w:val="Listado"/>
      </w:pPr>
      <w:r>
        <w:t xml:space="preserve">Consultar a jóvenes adultos de Guayaquil a través de encuestas y </w:t>
      </w:r>
      <w:r w:rsidRPr="005B6154">
        <w:rPr>
          <w:i/>
          <w:iCs/>
        </w:rPr>
        <w:t xml:space="preserve">focus </w:t>
      </w:r>
      <w:proofErr w:type="spellStart"/>
      <w:r w:rsidRPr="005B6154">
        <w:rPr>
          <w:i/>
          <w:iCs/>
        </w:rPr>
        <w:t>groups</w:t>
      </w:r>
      <w:proofErr w:type="spellEnd"/>
      <w:r>
        <w:t xml:space="preserve"> que permitan comprobar nuestra hipótesis.</w:t>
      </w:r>
    </w:p>
    <w:p w14:paraId="2708A763" w14:textId="4D768474" w:rsidR="005A43E3" w:rsidRPr="005A43E3" w:rsidRDefault="005A43E3" w:rsidP="005A43E3">
      <w:pPr>
        <w:pStyle w:val="Ttulo1"/>
      </w:pPr>
      <w:r>
        <w:t>3. Metodología</w:t>
      </w:r>
    </w:p>
    <w:p w14:paraId="7103385B" w14:textId="4988C8A7" w:rsidR="0028556A" w:rsidRDefault="0028556A" w:rsidP="0028556A">
      <w:r>
        <w:t xml:space="preserve">El diseño metodológico de esta investigación es mixto. Tiene un paradigma </w:t>
      </w:r>
      <w:proofErr w:type="spellStart"/>
      <w:r>
        <w:t>interpretativista</w:t>
      </w:r>
      <w:proofErr w:type="spellEnd"/>
      <w:r>
        <w:t xml:space="preserve"> y la investigación por su alcance es descriptiva.</w:t>
      </w:r>
      <w:r w:rsidR="005B6154">
        <w:t xml:space="preserve"> </w:t>
      </w:r>
      <w:r>
        <w:t xml:space="preserve">El método de la investigación fue la netnografía que se realizó en dos periodos, entre mayo y agosto del 2024; y luego un segundo ejercicio entre enero y marzo del 2025. </w:t>
      </w:r>
    </w:p>
    <w:p w14:paraId="205200AA" w14:textId="3FD6760F" w:rsidR="005A43E3" w:rsidRDefault="0028556A" w:rsidP="0028556A">
      <w:r>
        <w:t>Sobre las técnicas implementadas en la investigación se levantó dos encuestas a jóvenes adultos</w:t>
      </w:r>
      <w:r w:rsidR="00430D3D">
        <w:t xml:space="preserve">, estudiantes de tercer nivel, </w:t>
      </w:r>
      <w:r>
        <w:t xml:space="preserve">entre 18 y 25 años que viven en Guayaquil. También se hizo dos </w:t>
      </w:r>
      <w:r w:rsidRPr="0028556A">
        <w:rPr>
          <w:i/>
          <w:iCs/>
        </w:rPr>
        <w:t xml:space="preserve">focus </w:t>
      </w:r>
      <w:proofErr w:type="spellStart"/>
      <w:r w:rsidRPr="0028556A">
        <w:rPr>
          <w:i/>
          <w:iCs/>
        </w:rPr>
        <w:t>groups</w:t>
      </w:r>
      <w:proofErr w:type="spellEnd"/>
      <w:r>
        <w:t xml:space="preserve"> a personas del mismo grupo etario. El primero, en enero del 2025; y el segundo, en noviembre el 2025</w:t>
      </w:r>
      <w:r w:rsidR="0015066B">
        <w:t>.</w:t>
      </w:r>
      <w:r w:rsidR="004307D4" w:rsidRPr="004307D4">
        <w:t xml:space="preserve"> </w:t>
      </w:r>
    </w:p>
    <w:p w14:paraId="1760C026" w14:textId="32871763" w:rsidR="004307D4" w:rsidRDefault="00CE0F4B" w:rsidP="00721EBE">
      <w:pPr>
        <w:pStyle w:val="Ttulo1"/>
      </w:pPr>
      <w:r>
        <w:rPr>
          <w:caps w:val="0"/>
        </w:rPr>
        <w:lastRenderedPageBreak/>
        <w:t>4</w:t>
      </w:r>
      <w:r w:rsidR="00721EBE" w:rsidRPr="00721EBE">
        <w:rPr>
          <w:caps w:val="0"/>
        </w:rPr>
        <w:t>.</w:t>
      </w:r>
      <w:r w:rsidR="00721EBE">
        <w:t xml:space="preserve"> </w:t>
      </w:r>
      <w:r w:rsidR="004307D4">
        <w:t>resultados</w:t>
      </w:r>
    </w:p>
    <w:p w14:paraId="5B755439" w14:textId="5D01A000" w:rsidR="0028556A" w:rsidRDefault="0015066B" w:rsidP="0028556A">
      <w:r>
        <w:t xml:space="preserve">Para </w:t>
      </w:r>
      <w:r w:rsidR="00C02B1E">
        <w:t>l</w:t>
      </w:r>
      <w:r w:rsidR="0028556A">
        <w:t>os jóvenes</w:t>
      </w:r>
      <w:r w:rsidR="00AA1ECA">
        <w:t xml:space="preserve"> </w:t>
      </w:r>
      <w:r w:rsidR="0028556A">
        <w:t xml:space="preserve">de Ecuador que fueron consultados se conectan mayormente a Instagram (84%) y TIKTOK (65%). El tiempo de exposición en las redes sociales es un promedio diario de 8 horas, tiempo durante el cual se entretienen y se informan. </w:t>
      </w:r>
      <w:r w:rsidR="00430D3D">
        <w:t xml:space="preserve">Esto es posible porque la red a la que mayormente se conectan es la de su hogar y en segundo lugar a las redes públicas de sus universidades. </w:t>
      </w:r>
    </w:p>
    <w:p w14:paraId="3F2CEA92" w14:textId="1FD3F666" w:rsidR="0028556A" w:rsidRDefault="0028556A" w:rsidP="0028556A">
      <w:r>
        <w:t>La mayoría de los encuestados opinó que las redes sociales promueven estereotipos de género de la comunidad LGLBTIQ+, con un 76,4</w:t>
      </w:r>
      <w:r w:rsidR="00430D3D">
        <w:t xml:space="preserve"> por ciento</w:t>
      </w:r>
      <w:r>
        <w:t xml:space="preserve"> respondiendo afirmativamente. Además, el 62,2% mencionó que los contenidos audiovisuales en redes sociales muestran situaciones de desigualdad entre hombres y mujeres. Por otro lado, un 73</w:t>
      </w:r>
      <w:r w:rsidR="00430D3D">
        <w:t xml:space="preserve"> por ciento</w:t>
      </w:r>
      <w:r>
        <w:t xml:space="preserve"> percibe discriminación o perpetuación de estereotipos hacia la comunidad LGBTIQ+ en estos contenidos, un porcentaje mayor al encontrado en la pregunta anterior. </w:t>
      </w:r>
    </w:p>
    <w:p w14:paraId="70053408" w14:textId="02F1C0D4" w:rsidR="0028556A" w:rsidRDefault="0028556A" w:rsidP="0028556A">
      <w:r>
        <w:t>En este escenario, se puede observar una discriminación por género en la política llevada a través de redes sociales. En la encuesta, los jóvenes mayoritariamente dicen que el contenido de entretenimiento que tiene a personajes de</w:t>
      </w:r>
      <w:r w:rsidR="005B6154">
        <w:t xml:space="preserve"> </w:t>
      </w:r>
      <w:r>
        <w:t>la comunidad LGLBTIQ</w:t>
      </w:r>
      <w:r w:rsidR="00B07A9F">
        <w:t>+</w:t>
      </w:r>
      <w:r>
        <w:t xml:space="preserve"> refuerza estereotipos.</w:t>
      </w:r>
    </w:p>
    <w:p w14:paraId="12A9FCF6" w14:textId="0BAD9B35" w:rsidR="0028556A" w:rsidRDefault="0028556A" w:rsidP="0028556A">
      <w:r>
        <w:t xml:space="preserve">En la entrevista grupal, los jóvenes hombres y mujeres mostraron su oposición a consumir este tipo de contenido en un futuro, aunque admitieron que antes de entrar a la universidad e incluso en su año inicial consumieron este tipo de contenido, lo compartieron y les causó gracia. </w:t>
      </w:r>
    </w:p>
    <w:p w14:paraId="1E5A2C21" w14:textId="0E9433A7" w:rsidR="0028556A" w:rsidRDefault="0028556A" w:rsidP="0028556A">
      <w:r>
        <w:t xml:space="preserve">Es importante determinar que la pregunta se planteó en los dos </w:t>
      </w:r>
      <w:r w:rsidRPr="00D02F1D">
        <w:rPr>
          <w:i/>
          <w:iCs/>
        </w:rPr>
        <w:t xml:space="preserve">focus </w:t>
      </w:r>
      <w:proofErr w:type="spellStart"/>
      <w:r w:rsidRPr="00D02F1D">
        <w:rPr>
          <w:i/>
          <w:iCs/>
        </w:rPr>
        <w:t>groups</w:t>
      </w:r>
      <w:proofErr w:type="spellEnd"/>
      <w:r>
        <w:t xml:space="preserve"> realizados</w:t>
      </w:r>
      <w:r w:rsidR="00AA1581">
        <w:t>,</w:t>
      </w:r>
      <w:r>
        <w:t xml:space="preserve"> las reacciones fueron similares en ambas</w:t>
      </w:r>
      <w:r w:rsidR="00AA1581">
        <w:t xml:space="preserve"> ocasiones</w:t>
      </w:r>
      <w:r>
        <w:t xml:space="preserve">. </w:t>
      </w:r>
    </w:p>
    <w:p w14:paraId="4F250C2A" w14:textId="4ABBA4EF" w:rsidR="0028556A" w:rsidRDefault="00AA1581" w:rsidP="00AA1581">
      <w:r>
        <w:t xml:space="preserve">Las dos </w:t>
      </w:r>
      <w:proofErr w:type="spellStart"/>
      <w:r>
        <w:t>netnografías</w:t>
      </w:r>
      <w:proofErr w:type="spellEnd"/>
      <w:r>
        <w:t xml:space="preserve"> realizadas para esta investigación determinaron que e</w:t>
      </w:r>
      <w:r w:rsidR="0028556A">
        <w:t xml:space="preserve">l </w:t>
      </w:r>
      <w:proofErr w:type="spellStart"/>
      <w:r w:rsidR="0028556A" w:rsidRPr="00B07A9F">
        <w:rPr>
          <w:i/>
          <w:iCs/>
        </w:rPr>
        <w:t>storytelling</w:t>
      </w:r>
      <w:proofErr w:type="spellEnd"/>
      <w:r w:rsidR="0028556A">
        <w:t xml:space="preserve"> es principal herramienta que se utiliza en redes sociales sobre todo desde la producción </w:t>
      </w:r>
      <w:r>
        <w:t>d</w:t>
      </w:r>
      <w:r w:rsidR="0028556A">
        <w:t>e comedia y de entretenimiento. Pero</w:t>
      </w:r>
      <w:r>
        <w:t>, también se detectó que</w:t>
      </w:r>
      <w:r w:rsidR="0028556A">
        <w:t xml:space="preserve"> el </w:t>
      </w:r>
      <w:proofErr w:type="spellStart"/>
      <w:r w:rsidR="00B07A9F" w:rsidRPr="00B07A9F">
        <w:rPr>
          <w:i/>
          <w:iCs/>
        </w:rPr>
        <w:t>storytelling</w:t>
      </w:r>
      <w:proofErr w:type="spellEnd"/>
      <w:r w:rsidR="0028556A">
        <w:t xml:space="preserve"> también es un recurso utilizado por los portales que transmiten información política.</w:t>
      </w:r>
      <w:r>
        <w:t xml:space="preserve"> En este tipo de contenido se pudo constatar que en los relatos de la información política se identifican claramente personajes arquetípicos como la víctima, los villanos, los sabios y guerreros que combaten a los anteriores. </w:t>
      </w:r>
      <w:r w:rsidR="0028556A">
        <w:t xml:space="preserve"> </w:t>
      </w:r>
    </w:p>
    <w:p w14:paraId="6BF8DF3E" w14:textId="43401744" w:rsidR="0015066B" w:rsidRDefault="0028556A" w:rsidP="0028556A">
      <w:r>
        <w:lastRenderedPageBreak/>
        <w:t xml:space="preserve">La causa de este uso continuo del </w:t>
      </w:r>
      <w:proofErr w:type="spellStart"/>
      <w:r w:rsidRPr="00AA1581">
        <w:rPr>
          <w:i/>
          <w:iCs/>
        </w:rPr>
        <w:t>storytelling</w:t>
      </w:r>
      <w:proofErr w:type="spellEnd"/>
      <w:r>
        <w:t xml:space="preserve"> es </w:t>
      </w:r>
      <w:r w:rsidR="0036138E">
        <w:t>por</w:t>
      </w:r>
      <w:r>
        <w:t xml:space="preserve">que es la forma en que se logra que los usuarios centren su atención </w:t>
      </w:r>
      <w:r w:rsidR="00AA1581">
        <w:t>porque es más fácil de comprenderlo</w:t>
      </w:r>
      <w:r>
        <w:t>. Sin embargo, hay dos problemas que son evidentes desde los consultados. Desde la comedia nacional que se hace en redes sociales se posiciona imaginarios de género cargados de estereotipos. Y</w:t>
      </w:r>
      <w:r w:rsidR="00AA1581">
        <w:t>,</w:t>
      </w:r>
      <w:r>
        <w:t xml:space="preserve"> en los contenidos informativos difundidos por portales cuya información no ha tenido un tratamiento riguroso, pueden p</w:t>
      </w:r>
      <w:r>
        <w:t>o</w:t>
      </w:r>
      <w:r>
        <w:t>sicionar falacias, porque se trata de información no verificada. De esta manera se posicionan historias que carecen de la contrastación de fuentes</w:t>
      </w:r>
      <w:r w:rsidR="002A43CD">
        <w:t>.</w:t>
      </w:r>
    </w:p>
    <w:p w14:paraId="2283571D" w14:textId="3524EE76" w:rsidR="0036138E" w:rsidRDefault="0036138E" w:rsidP="0028556A">
      <w:r>
        <w:t xml:space="preserve">En este sentido, la mayoría de los jóvenes consultados </w:t>
      </w:r>
      <w:r w:rsidR="001632C8">
        <w:t>-96</w:t>
      </w:r>
      <w:r w:rsidR="00430D3D">
        <w:t xml:space="preserve"> por ciento</w:t>
      </w:r>
      <w:r w:rsidR="001632C8">
        <w:t>-</w:t>
      </w:r>
      <w:r>
        <w:t xml:space="preserve">determinaron que si están al tanto de que hay un sesgo en la información que encuentran en redes sociales. Es decir, que la información puede ser tendenciosa. </w:t>
      </w:r>
      <w:r w:rsidR="001632C8">
        <w:t xml:space="preserve">Pero luego, cuando se les pregunta si la información que tienen en redes sociales va a ser determinante para que ellos formen su opinión sobre determinado tema. Los consultados señalan en un 97.3% que si influye. Esto denota dos puntos que hay que resaltar. Un problema de ausencia de pensamiento crítico porque lo expuesto en redes sociales se acoge y a partir de ello se forma una opinión. Y, luego, que los relatos en redes sociales, que se construyen a partir del </w:t>
      </w:r>
      <w:proofErr w:type="spellStart"/>
      <w:r w:rsidR="00B07A9F" w:rsidRPr="00B07A9F">
        <w:rPr>
          <w:i/>
          <w:iCs/>
        </w:rPr>
        <w:t>storytelling</w:t>
      </w:r>
      <w:proofErr w:type="spellEnd"/>
      <w:r w:rsidR="001632C8">
        <w:t xml:space="preserve"> como formato para presentar contenido, tiene un efecto determinante en los usuarios más jóvenes adultos. </w:t>
      </w:r>
    </w:p>
    <w:p w14:paraId="0C2AAA1C" w14:textId="590A1CA8" w:rsidR="00994E6A" w:rsidRDefault="00994E6A" w:rsidP="0028556A">
      <w:r>
        <w:t xml:space="preserve">Gráfico 1: Información de internet sesgada </w:t>
      </w:r>
    </w:p>
    <w:p w14:paraId="4B28B79B" w14:textId="20687546" w:rsidR="00994E6A" w:rsidRDefault="00994E6A" w:rsidP="006A4A01">
      <w:pPr>
        <w:jc w:val="center"/>
      </w:pPr>
      <w:r>
        <w:rPr>
          <w:noProof/>
          <w14:numForm w14:val="default"/>
        </w:rPr>
        <w:drawing>
          <wp:inline distT="0" distB="0" distL="0" distR="0" wp14:anchorId="6267D319" wp14:editId="1CAE5352">
            <wp:extent cx="4176395" cy="1893727"/>
            <wp:effectExtent l="0" t="0" r="14605" b="11430"/>
            <wp:docPr id="133255246" name="Gráfico 1">
              <a:extLst xmlns:a="http://schemas.openxmlformats.org/drawingml/2006/main">
                <a:ext uri="{FF2B5EF4-FFF2-40B4-BE49-F238E27FC236}">
                  <a16:creationId xmlns:a16="http://schemas.microsoft.com/office/drawing/2014/main" id="{B4A14FF5-6A0C-7CFF-1A91-BB1D3D501F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03F972" w14:textId="6D479E8D" w:rsidR="006A4A01" w:rsidRPr="00C8704E" w:rsidRDefault="006A4A01" w:rsidP="0028556A">
      <w:pPr>
        <w:rPr>
          <w:rFonts w:ascii="Arial" w:hAnsi="Arial" w:cs="Arial"/>
          <w:sz w:val="20"/>
          <w:szCs w:val="20"/>
        </w:rPr>
      </w:pPr>
      <w:r w:rsidRPr="00C8704E">
        <w:rPr>
          <w:rFonts w:ascii="Arial" w:hAnsi="Arial" w:cs="Arial"/>
          <w:sz w:val="20"/>
          <w:szCs w:val="20"/>
        </w:rPr>
        <w:t>Nota: Encuesta realizada en</w:t>
      </w:r>
      <w:r w:rsidR="00C8704E" w:rsidRPr="00C8704E">
        <w:rPr>
          <w:rFonts w:ascii="Arial" w:hAnsi="Arial" w:cs="Arial"/>
          <w:sz w:val="20"/>
          <w:szCs w:val="20"/>
        </w:rPr>
        <w:t>tre enero y marzo del 2025 (Ulloa-López. Cortez y Heredia, 2025)</w:t>
      </w:r>
    </w:p>
    <w:p w14:paraId="5C6D20F2" w14:textId="76154BA5" w:rsidR="00FF682A" w:rsidRDefault="00FF682A" w:rsidP="0028556A">
      <w:r w:rsidRPr="00FF682A">
        <w:lastRenderedPageBreak/>
        <w:t xml:space="preserve">A esto hay que sumarle que en los focus group, los jóvenes respondieron que suelen ser referentes de información para sus padres y hermanos, es decir, </w:t>
      </w:r>
      <w:r w:rsidRPr="00FF682A">
        <w:t>que,</w:t>
      </w:r>
      <w:r w:rsidRPr="00FF682A">
        <w:t xml:space="preserve"> al no poder acceder a varias posiciones sobre un tema, a causa del sesgo de contenidos, ellos no pueden formar un criterio sobre un tema con todos los elementos que esto requiere.</w:t>
      </w:r>
    </w:p>
    <w:p w14:paraId="40407334" w14:textId="26FCC09F" w:rsidR="0036138E" w:rsidRDefault="00FF682A" w:rsidP="0028556A">
      <w:r>
        <w:t xml:space="preserve">Asimismo, en las entrevistas grupales, los jóvenes destacaron que preferían informarse por contenido que publicaban sus pares que por contenido formalmente noticioso. También señalaron que preferían que les cuenten una historia en el contenido que consumen en redes sociales, en lugar de que solo se expongan datos, como números o fechas, porque les parece que son datos que al final se olvidan. </w:t>
      </w:r>
    </w:p>
    <w:p w14:paraId="740C7DA7" w14:textId="45BFE6AC" w:rsidR="00CE0F4B" w:rsidRDefault="002A43CD" w:rsidP="002A43CD">
      <w:pPr>
        <w:pStyle w:val="Ttulo1"/>
      </w:pPr>
      <w:r w:rsidRPr="002A43CD">
        <w:t>5.</w:t>
      </w:r>
      <w:r>
        <w:t xml:space="preserve"> </w:t>
      </w:r>
      <w:r w:rsidR="00CE0F4B">
        <w:t>discusión</w:t>
      </w:r>
    </w:p>
    <w:p w14:paraId="3DE6C434" w14:textId="5B3042B0" w:rsidR="00C02B1E" w:rsidRDefault="00C8704E" w:rsidP="002A43CD">
      <w:r>
        <w:t>Los hallazgos permiten tener una panorámica de cómo los</w:t>
      </w:r>
      <w:r w:rsidR="00C02B1E">
        <w:t xml:space="preserve"> adolescentes consumen el contenido al que pueden acceder en las redes sociales. </w:t>
      </w:r>
      <w:r w:rsidR="00C02B1E" w:rsidRPr="00C02B1E">
        <w:t>en la encuesta implementada es pertinente acotar lo expuesto por Han (2022), quien destaca que los usuarios de redes sociales no analizan de manera crítica su contexto mediático, a pesar de que pasan horas en entornos digitales Han pone sobre la mesa de discusión la posición crítica que pueden no tener los usuarios de los nuevos medios con respecto a los contenidos que consumen</w:t>
      </w:r>
      <w:r w:rsidR="00C02B1E">
        <w:t xml:space="preserve"> </w:t>
      </w:r>
      <w:r w:rsidR="00C02B1E" w:rsidRPr="00C02B1E">
        <w:t>Situación que se evidenc</w:t>
      </w:r>
      <w:r w:rsidR="00C02B1E">
        <w:t>i</w:t>
      </w:r>
      <w:r w:rsidR="00C02B1E" w:rsidRPr="00C02B1E">
        <w:t>a en el caso de los jóvenes estudiados. Por eso se puede afirmar que hay una ausencia de pensamiento crítico digital</w:t>
      </w:r>
      <w:r w:rsidR="00C02B1E">
        <w:t xml:space="preserve">. </w:t>
      </w:r>
    </w:p>
    <w:p w14:paraId="3B074C99" w14:textId="77884DE0" w:rsidR="00413B25" w:rsidRDefault="00C02B1E" w:rsidP="002A43CD">
      <w:r>
        <w:t xml:space="preserve">Asimismo, si bien los jóvenes no son críticos frente al contenido que encuentran en redes sociales. Ellos consumen contenidos fragmentados porque navegan en varias redes sociales, es decir, que ven contenidos que cuentan diferentes versiones de un mismo hecho y en ocasiones ellos producen contenido que está relacionados a posts </w:t>
      </w:r>
      <w:r w:rsidR="00413B25">
        <w:t xml:space="preserve">a los </w:t>
      </w:r>
      <w:r>
        <w:t>que ellos accedieron antes, tal como lo señala</w:t>
      </w:r>
      <w:r w:rsidR="00413B25">
        <w:t xml:space="preserve"> </w:t>
      </w:r>
      <w:proofErr w:type="gramStart"/>
      <w:r w:rsidR="00413B25">
        <w:t>Sábado</w:t>
      </w:r>
      <w:proofErr w:type="gramEnd"/>
      <w:r w:rsidR="00413B25">
        <w:t xml:space="preserve"> (2001). </w:t>
      </w:r>
    </w:p>
    <w:p w14:paraId="229F9D44" w14:textId="7FF8550B" w:rsidR="00341755" w:rsidRDefault="00413B25" w:rsidP="002A43CD">
      <w:r>
        <w:t xml:space="preserve">Por otra parte, los jóvenes consultados son parte de la </w:t>
      </w:r>
      <w:proofErr w:type="spellStart"/>
      <w:r>
        <w:t>Tecnocultura</w:t>
      </w:r>
      <w:proofErr w:type="spellEnd"/>
      <w:r>
        <w:t xml:space="preserve"> (Shaw, 2021; Robbin y Williams, 2001), la cual tiene una carga sociocultural que la condiciona y a ello hay que sumarle que los contenidos que exhiben en son sujeto de encuadres que priorizaron una serie de elementos por encima de otros, lo cual condiciona la veracidad de esos </w:t>
      </w:r>
      <w:r>
        <w:lastRenderedPageBreak/>
        <w:t xml:space="preserve">contenidos. Ante esto, </w:t>
      </w:r>
      <w:r w:rsidR="00E30818">
        <w:t xml:space="preserve">es importante determinar que los marcos son la forma en que las personas analizan las cosas que les pasan o que los rodean (Goffman, </w:t>
      </w:r>
      <w:r w:rsidR="00B07A9F">
        <w:t>2022</w:t>
      </w:r>
      <w:r w:rsidR="00E30818">
        <w:t xml:space="preserve">). Son como las reglas del juego, es decir, que dependiendo de eso se puede razonar un hecho como válido o no. Ante esto, este marco no siempre va a ser igual, porque a él va a tributar el </w:t>
      </w:r>
      <w:proofErr w:type="spellStart"/>
      <w:r w:rsidR="00E30818" w:rsidRPr="00B07A9F">
        <w:rPr>
          <w:i/>
          <w:iCs/>
        </w:rPr>
        <w:t>background</w:t>
      </w:r>
      <w:proofErr w:type="spellEnd"/>
      <w:r w:rsidR="00E30818">
        <w:t xml:space="preserve"> cultural de los sujetos estudiados. Es así como Goffman</w:t>
      </w:r>
      <w:r w:rsidR="00B07A9F">
        <w:t xml:space="preserve"> (2022)</w:t>
      </w:r>
      <w:r w:rsidR="00E30818">
        <w:t xml:space="preserve"> pone la estructura social de como un </w:t>
      </w:r>
      <w:proofErr w:type="spellStart"/>
      <w:r w:rsidR="00E30818" w:rsidRPr="0064335B">
        <w:rPr>
          <w:i/>
          <w:iCs/>
        </w:rPr>
        <w:t>like</w:t>
      </w:r>
      <w:proofErr w:type="spellEnd"/>
      <w:r w:rsidR="00E30818">
        <w:t xml:space="preserve"> y un contenido en redes sociales puede calar en la mente de un joven. Mientras de Kaheman y Tversky</w:t>
      </w:r>
      <w:r w:rsidR="00B07A9F">
        <w:t xml:space="preserve"> (2017)</w:t>
      </w:r>
      <w:r w:rsidR="00E30818">
        <w:t xml:space="preserve">, aportan el sesgo psicológico e intuitivo de los jóvenes de cara a lo que consumen en redes sociales. Es por esto </w:t>
      </w:r>
      <w:proofErr w:type="gramStart"/>
      <w:r w:rsidR="00E30818">
        <w:t>que</w:t>
      </w:r>
      <w:proofErr w:type="gramEnd"/>
      <w:r w:rsidR="00E30818">
        <w:t xml:space="preserve"> los autores señalan que un encuadre puede cambiar por completo la interpretación que las personas le dan a un hecho, aunque la información lógica </w:t>
      </w:r>
      <w:r w:rsidR="00341755">
        <w:t xml:space="preserve">también esté presente. </w:t>
      </w:r>
    </w:p>
    <w:p w14:paraId="624CEB23" w14:textId="332DF6A1" w:rsidR="00341755" w:rsidRDefault="00341755" w:rsidP="002A43CD">
      <w:r>
        <w:t xml:space="preserve">Cuando los jóvenes señalan en el </w:t>
      </w:r>
      <w:r w:rsidRPr="00B07A9F">
        <w:rPr>
          <w:i/>
          <w:iCs/>
        </w:rPr>
        <w:t xml:space="preserve">focus </w:t>
      </w:r>
      <w:proofErr w:type="spellStart"/>
      <w:r w:rsidRPr="00B07A9F">
        <w:rPr>
          <w:i/>
          <w:iCs/>
        </w:rPr>
        <w:t>groups</w:t>
      </w:r>
      <w:proofErr w:type="spellEnd"/>
      <w:r>
        <w:t xml:space="preserve"> que confían y que consumen más contenidos realizado por sus pares, es decir, por jóvenes influencers se activa lo que Simons </w:t>
      </w:r>
      <w:r w:rsidR="00B07A9F">
        <w:t xml:space="preserve">(2022) </w:t>
      </w:r>
      <w:r>
        <w:t>señala como canales afectivos emocionales. A esto hay que sumarle que</w:t>
      </w:r>
      <w:r w:rsidR="00B07A9F">
        <w:t xml:space="preserve"> e</w:t>
      </w:r>
      <w:r>
        <w:t xml:space="preserve">llos jóvenes ya no consumen en un solo </w:t>
      </w:r>
      <w:r w:rsidR="00B07A9F">
        <w:t>medio,</w:t>
      </w:r>
      <w:r>
        <w:t xml:space="preserve"> sino que habitan una ecología de medios híbrida en la que se propicia un escenario de marcos en competencia. Es decir, que en la pantalla de su teléfono conviven el encuadre de </w:t>
      </w:r>
      <w:proofErr w:type="spellStart"/>
      <w:r>
        <w:t>de</w:t>
      </w:r>
      <w:proofErr w:type="spellEnd"/>
      <w:r>
        <w:t xml:space="preserve"> un medio tradicional, de un </w:t>
      </w:r>
      <w:proofErr w:type="spellStart"/>
      <w:proofErr w:type="gramStart"/>
      <w:r w:rsidRPr="00B07A9F">
        <w:rPr>
          <w:i/>
          <w:iCs/>
        </w:rPr>
        <w:t>influencer</w:t>
      </w:r>
      <w:proofErr w:type="spellEnd"/>
      <w:proofErr w:type="gramEnd"/>
      <w:r>
        <w:t xml:space="preserve">, de un político y el de sus amigos. Simons destaca que ante este escenario gana el encuadre que logre la emoción más intensa que puede pasar por la indignación, miedo, ternura u otras. De esta forma, Simons </w:t>
      </w:r>
      <w:r w:rsidR="00B07A9F">
        <w:t xml:space="preserve">(2022) </w:t>
      </w:r>
      <w:r>
        <w:t xml:space="preserve">dice que el encuadre que mejor conecte con sus valores identitarios y que despierte una reacción afectiva inmediata termina por desplazar a la información neutral. </w:t>
      </w:r>
    </w:p>
    <w:p w14:paraId="456C6936" w14:textId="3C3E74A9" w:rsidR="00C02B1E" w:rsidRDefault="00341755" w:rsidP="002A43CD">
      <w:r>
        <w:t xml:space="preserve">En el caso de esta investigación se puede </w:t>
      </w:r>
      <w:r w:rsidR="00B07A9F">
        <w:t>constatar</w:t>
      </w:r>
      <w:r>
        <w:t xml:space="preserve"> </w:t>
      </w:r>
      <w:r w:rsidR="00944305">
        <w:t>que,</w:t>
      </w:r>
      <w:r>
        <w:t xml:space="preserve"> si bien los jóvenes obedecen a las reacciones advertidas por los teóricos, no son solo ellos los </w:t>
      </w:r>
      <w:r w:rsidR="00B07A9F">
        <w:t>involucrados,</w:t>
      </w:r>
      <w:r>
        <w:t xml:space="preserve"> sino que también sus familias, porque como lo dijeron en la entrevista grupal ellos son los </w:t>
      </w:r>
      <w:r w:rsidR="00B07A9F">
        <w:t>portavoces</w:t>
      </w:r>
      <w:r>
        <w:t xml:space="preserve"> de los temas que se tratan en redes sociales para sus familiares mayores. En este caso, ellos le dan un encuadre si se quiere poco fidedigno a sus familiares que asumen esa información como real. </w:t>
      </w:r>
      <w:r w:rsidR="00E30818">
        <w:t xml:space="preserve"> </w:t>
      </w:r>
      <w:r w:rsidR="00413B25">
        <w:t xml:space="preserve"> </w:t>
      </w:r>
    </w:p>
    <w:p w14:paraId="3571804A" w14:textId="77777777" w:rsidR="00C02B1E" w:rsidRDefault="00C02B1E" w:rsidP="002A43CD"/>
    <w:p w14:paraId="41352519" w14:textId="77777777" w:rsidR="00C02B1E" w:rsidRDefault="00C02B1E" w:rsidP="002A43CD"/>
    <w:p w14:paraId="568F694A" w14:textId="337BD443" w:rsidR="004307D4" w:rsidRDefault="00721EBE" w:rsidP="00721EBE">
      <w:pPr>
        <w:pStyle w:val="Ttulo1"/>
      </w:pPr>
      <w:r w:rsidRPr="00721EBE">
        <w:rPr>
          <w:caps w:val="0"/>
        </w:rPr>
        <w:t>6.</w:t>
      </w:r>
      <w:r>
        <w:t xml:space="preserve"> </w:t>
      </w:r>
      <w:r w:rsidR="004307D4">
        <w:t xml:space="preserve">conclusiones </w:t>
      </w:r>
    </w:p>
    <w:p w14:paraId="469AFDA0" w14:textId="77E82E75" w:rsidR="0028556A" w:rsidRDefault="0028556A" w:rsidP="0028556A">
      <w:r>
        <w:t>Según los resultados de este estudio, los jóvenes utilizan los medios digitales como su fuente principal de información y de entretenimiento, la cual forma la base de la construcción de sus imaginarios sociales, de géneros</w:t>
      </w:r>
      <w:r w:rsidR="0064335B">
        <w:t>, sociales</w:t>
      </w:r>
      <w:r>
        <w:t xml:space="preserve"> y políticos. </w:t>
      </w:r>
    </w:p>
    <w:p w14:paraId="172FB6F1" w14:textId="3928F7C4" w:rsidR="0028556A" w:rsidRDefault="0028556A" w:rsidP="0028556A">
      <w:r>
        <w:t>Entonces, si en los medios digitales se posicionan narrativas en los que se estigmatizan agrupaciones o actores políticos. Es</w:t>
      </w:r>
      <w:r w:rsidR="00704996">
        <w:t>t</w:t>
      </w:r>
      <w:r>
        <w:t>o va a contribuir a que se cree un imaginario sobre dichos colectivos o personajes, sin que necesariamente eso haya sido basado en información verificada o contrastada.</w:t>
      </w:r>
      <w:r w:rsidR="00704996">
        <w:t xml:space="preserve"> Es decir que va a tributar a la formación de los imaginarios </w:t>
      </w:r>
      <w:r w:rsidR="00836B35">
        <w:t xml:space="preserve">en los jóvenes, pero también en quienes ellos tienen directa repercusión. </w:t>
      </w:r>
    </w:p>
    <w:p w14:paraId="5B6FDD01" w14:textId="5D2DD210" w:rsidR="0064335B" w:rsidRDefault="0064335B" w:rsidP="0028556A">
      <w:r>
        <w:t>Estos relatos conectan con los jóvenes porque hay una narrativa donde prima el</w:t>
      </w:r>
      <w:r w:rsidRPr="00010D4A">
        <w:rPr>
          <w:i/>
          <w:iCs/>
        </w:rPr>
        <w:t xml:space="preserve"> </w:t>
      </w:r>
      <w:proofErr w:type="spellStart"/>
      <w:r w:rsidRPr="00010D4A">
        <w:rPr>
          <w:i/>
          <w:iCs/>
        </w:rPr>
        <w:t>storytelling</w:t>
      </w:r>
      <w:proofErr w:type="spellEnd"/>
      <w:r>
        <w:t xml:space="preserve"> y logra ser más verosímil para los jóvenes cuando quien les cuenta la historia es un joven como ellos. Los sujetos estudiados si bien son conscientes de que el contenido en redes sociales puede ser manipulado o tener sesgos, ellos declaran que este contenido cala en sus opiniones, lo cual obedece al sistema afectivo, que se </w:t>
      </w:r>
      <w:r w:rsidR="00A53397">
        <w:t>activa,</w:t>
      </w:r>
      <w:r>
        <w:t xml:space="preserve"> aunque haya información neutral a la vista del prosumidor. </w:t>
      </w:r>
    </w:p>
    <w:p w14:paraId="0365DF12" w14:textId="77777777" w:rsidR="00413B25" w:rsidRDefault="00413B25" w:rsidP="0028556A"/>
    <w:p w14:paraId="6C5733CD" w14:textId="383B7AE6" w:rsidR="002F3733" w:rsidRDefault="00721EBE" w:rsidP="0028556A">
      <w:r w:rsidRPr="00721EBE">
        <w:t>7</w:t>
      </w:r>
      <w:r w:rsidR="00920563">
        <w:t>.</w:t>
      </w:r>
      <w:r>
        <w:t xml:space="preserve"> </w:t>
      </w:r>
      <w:r w:rsidR="002F3733">
        <w:t>Agradecimiento</w:t>
      </w:r>
      <w:r w:rsidR="00A53397">
        <w:t>s</w:t>
      </w:r>
    </w:p>
    <w:p w14:paraId="74DC25C0" w14:textId="048A9D46" w:rsidR="002F3733" w:rsidRDefault="0064335B" w:rsidP="00920563">
      <w:r>
        <w:t xml:space="preserve">Esta investigación ha sido posible a los estudiantes que formaron parte de las ayudantías de investigación en la Facultad de Arte Diseño y Comunicación Audiovisual de la </w:t>
      </w:r>
      <w:r>
        <w:t>Escuela Superior Politécnica del Litoral</w:t>
      </w:r>
      <w:r>
        <w:t>: Kennia Rosales y Antonella Oliva. También agradezco a mis coautores por los aportes que hicieron a la investigación</w:t>
      </w:r>
      <w:r w:rsidR="00A53397">
        <w:t xml:space="preserve"> con sus aportes teóricos y en la recolección de datos</w:t>
      </w:r>
      <w:r>
        <w:t xml:space="preserve">. </w:t>
      </w:r>
    </w:p>
    <w:p w14:paraId="6AEAE870" w14:textId="4BDA271F" w:rsidR="00A53397" w:rsidRDefault="00A53397" w:rsidP="00920563">
      <w:r>
        <w:t xml:space="preserve">Esta investigación es parte del proyecto de investigación </w:t>
      </w:r>
      <w:r w:rsidR="00010D4A">
        <w:t xml:space="preserve">FADCOM 008-2024, </w:t>
      </w:r>
      <w:r w:rsidR="00010D4A" w:rsidRPr="00010D4A">
        <w:t>Análisis de los niveles de pensamiento crítico digital en jóvenes adultos de Ecuador y la repercusión de esto en ellos como actores sociales</w:t>
      </w:r>
      <w:r w:rsidR="00010D4A">
        <w:t>.</w:t>
      </w:r>
    </w:p>
    <w:p w14:paraId="703B2935" w14:textId="4FECB773" w:rsidR="004307D4" w:rsidRPr="008B6A98" w:rsidRDefault="00721EBE" w:rsidP="00721EBE">
      <w:pPr>
        <w:pStyle w:val="Ttulo1"/>
      </w:pPr>
      <w:r w:rsidRPr="008B6A98">
        <w:rPr>
          <w:caps w:val="0"/>
        </w:rPr>
        <w:lastRenderedPageBreak/>
        <w:t>8.</w:t>
      </w:r>
      <w:r w:rsidRPr="008B6A98">
        <w:t xml:space="preserve"> </w:t>
      </w:r>
      <w:r w:rsidR="002F3733" w:rsidRPr="008B6A98">
        <w:t>Referencias</w:t>
      </w:r>
    </w:p>
    <w:p w14:paraId="243441E6" w14:textId="3B9C73C7" w:rsidR="00714277" w:rsidRDefault="0064335B" w:rsidP="00944305">
      <w:pPr>
        <w:pStyle w:val="Bibliografa"/>
        <w:rPr>
          <w:rStyle w:val="14Versalitas"/>
          <w:smallCaps w:val="0"/>
        </w:rPr>
      </w:pPr>
      <w:r w:rsidRPr="0064335B">
        <w:rPr>
          <w:rStyle w:val="14Versalitas"/>
          <w:smallCaps w:val="0"/>
        </w:rPr>
        <w:t xml:space="preserve">Castoriadis, C. (1983). </w:t>
      </w:r>
      <w:r w:rsidRPr="00714277">
        <w:rPr>
          <w:rStyle w:val="14Versalitas"/>
          <w:i/>
          <w:iCs/>
          <w:smallCaps w:val="0"/>
        </w:rPr>
        <w:t>La institución imaginaria de la sociedad (Vol. 1).</w:t>
      </w:r>
      <w:r w:rsidRPr="0064335B">
        <w:rPr>
          <w:rStyle w:val="14Versalitas"/>
          <w:smallCaps w:val="0"/>
        </w:rPr>
        <w:t xml:space="preserve"> Tusquets Editores.</w:t>
      </w:r>
    </w:p>
    <w:p w14:paraId="30A339FE" w14:textId="354FC2B0" w:rsidR="00714277" w:rsidRPr="00944305" w:rsidRDefault="0076492B" w:rsidP="00714277">
      <w:pPr>
        <w:pStyle w:val="Bibliografa"/>
        <w:rPr>
          <w:rFonts w:eastAsiaTheme="minorHAnsi" w:cstheme="minorBidi"/>
          <w:spacing w:val="1"/>
          <w:szCs w:val="20"/>
          <w:lang w:val="es-EC"/>
          <w14:numSpacing w14:val="default"/>
        </w:rPr>
      </w:pPr>
      <w:r w:rsidRPr="00944305">
        <w:rPr>
          <w:rFonts w:eastAsiaTheme="minorHAnsi" w:cstheme="minorBidi"/>
          <w:spacing w:val="1"/>
          <w:szCs w:val="20"/>
          <w:lang w:val="es-EC"/>
          <w14:numSpacing w14:val="default"/>
        </w:rPr>
        <w:t>Gutierres Castanha</w:t>
      </w:r>
      <w:r w:rsidRPr="00944305">
        <w:rPr>
          <w:rFonts w:eastAsiaTheme="minorHAnsi" w:cstheme="minorBidi"/>
          <w:spacing w:val="1"/>
          <w:szCs w:val="20"/>
          <w:lang w:val="es-EC"/>
          <w14:numSpacing w14:val="default"/>
        </w:rPr>
        <w:t xml:space="preserve">, R., Alves dos Santos, E. y </w:t>
      </w:r>
      <w:proofErr w:type="spellStart"/>
      <w:r w:rsidRPr="00944305">
        <w:rPr>
          <w:rFonts w:eastAsiaTheme="minorHAnsi" w:cstheme="minorBidi"/>
          <w:spacing w:val="1"/>
          <w:szCs w:val="20"/>
          <w:lang w:val="es-EC"/>
          <w14:numSpacing w14:val="default"/>
        </w:rPr>
        <w:t>Tolare</w:t>
      </w:r>
      <w:proofErr w:type="spellEnd"/>
      <w:r w:rsidRPr="00944305">
        <w:rPr>
          <w:rFonts w:eastAsiaTheme="minorHAnsi" w:cstheme="minorBidi"/>
          <w:spacing w:val="1"/>
          <w:szCs w:val="20"/>
          <w:lang w:val="es-EC"/>
          <w14:numSpacing w14:val="default"/>
        </w:rPr>
        <w:t xml:space="preserve">, J. (2023). </w:t>
      </w:r>
      <w:r w:rsidRPr="00944305">
        <w:rPr>
          <w:rFonts w:eastAsiaTheme="minorHAnsi" w:cstheme="minorBidi"/>
          <w:i/>
          <w:iCs/>
          <w:spacing w:val="1"/>
          <w:szCs w:val="20"/>
          <w:lang w:val="es-EC"/>
          <w14:numSpacing w14:val="default"/>
        </w:rPr>
        <w:t>Convergence culture: an analysis based on bibliometric indicators of production, citation and relational co-citation of authors in the Web of Science database (2008-2021)</w:t>
      </w:r>
      <w:r w:rsidRPr="00944305">
        <w:rPr>
          <w:rFonts w:eastAsiaTheme="minorHAnsi" w:cstheme="minorBidi"/>
          <w:i/>
          <w:iCs/>
          <w:spacing w:val="1"/>
          <w:szCs w:val="20"/>
          <w:lang w:val="es-EC"/>
          <w14:numSpacing w14:val="default"/>
        </w:rPr>
        <w:t>.</w:t>
      </w:r>
      <w:r w:rsidRPr="00944305">
        <w:rPr>
          <w:rFonts w:eastAsiaTheme="minorHAnsi" w:cstheme="minorBidi"/>
          <w:spacing w:val="1"/>
          <w:szCs w:val="20"/>
          <w:lang w:val="es-EC"/>
          <w14:numSpacing w14:val="default"/>
        </w:rPr>
        <w:t xml:space="preserve"> En Quest</w:t>
      </w:r>
      <w:r w:rsidRPr="00944305">
        <w:rPr>
          <w:rFonts w:eastAsiaTheme="minorHAnsi" w:cstheme="minorBidi"/>
          <w:spacing w:val="1"/>
          <w:szCs w:val="20"/>
          <w:lang w:val="es-EC"/>
          <w14:numSpacing w14:val="default"/>
        </w:rPr>
        <w:t>ã</w:t>
      </w:r>
      <w:r w:rsidRPr="00944305">
        <w:rPr>
          <w:rFonts w:eastAsiaTheme="minorHAnsi" w:cstheme="minorBidi"/>
          <w:spacing w:val="1"/>
          <w:szCs w:val="20"/>
          <w:lang w:val="es-EC"/>
          <w14:numSpacing w14:val="default"/>
        </w:rPr>
        <w:t>o.</w:t>
      </w:r>
      <w:r w:rsidR="00A53397" w:rsidRPr="00944305">
        <w:rPr>
          <w:rFonts w:eastAsiaTheme="minorHAnsi" w:cstheme="minorBidi"/>
          <w:spacing w:val="1"/>
          <w:szCs w:val="20"/>
          <w:lang w:val="es-EC"/>
          <w14:numSpacing w14:val="default"/>
        </w:rPr>
        <w:t xml:space="preserve"> </w:t>
      </w:r>
      <w:r w:rsidR="00A53397" w:rsidRPr="00944305">
        <w:rPr>
          <w:rFonts w:eastAsiaTheme="minorHAnsi" w:cstheme="minorBidi"/>
          <w:spacing w:val="1"/>
          <w:szCs w:val="20"/>
          <w:lang w:val="es-EC"/>
          <w14:numSpacing w14:val="default"/>
        </w:rPr>
        <w:t>https://bit.ly/4iN3YuO</w:t>
      </w:r>
      <w:r w:rsidR="00A53397" w:rsidRPr="00944305">
        <w:rPr>
          <w:rFonts w:eastAsiaTheme="minorHAnsi" w:cstheme="minorBidi"/>
          <w:spacing w:val="1"/>
          <w:szCs w:val="20"/>
          <w:lang w:val="es-EC"/>
          <w14:numSpacing w14:val="default"/>
        </w:rPr>
        <w:t xml:space="preserve"> </w:t>
      </w:r>
    </w:p>
    <w:p w14:paraId="182BAC90" w14:textId="3C1D918F" w:rsidR="00714277" w:rsidRDefault="00714277" w:rsidP="00714277">
      <w:pPr>
        <w:rPr>
          <w:sz w:val="20"/>
          <w:szCs w:val="20"/>
          <w:lang w:val="es-EC"/>
        </w:rPr>
      </w:pPr>
      <w:r>
        <w:rPr>
          <w:sz w:val="20"/>
          <w:szCs w:val="20"/>
          <w:lang w:val="es-EC"/>
        </w:rPr>
        <w:t xml:space="preserve">Goffman, E. (2006) Frame Analysis. Los marcos de la experiencia. (J. Marfany </w:t>
      </w:r>
      <w:r>
        <w:rPr>
          <w:sz w:val="20"/>
          <w:szCs w:val="20"/>
          <w:lang w:val="es-EC"/>
        </w:rPr>
        <w:br/>
        <w:t xml:space="preserve">              Trad.). Centro de Investigaciones Sociológicas (CIS). (Trabajo original </w:t>
      </w:r>
      <w:r>
        <w:rPr>
          <w:sz w:val="20"/>
          <w:szCs w:val="20"/>
          <w:lang w:val="es-EC"/>
        </w:rPr>
        <w:br/>
        <w:t xml:space="preserve">               publicado en 1974)</w:t>
      </w:r>
    </w:p>
    <w:p w14:paraId="1A36A1BD" w14:textId="3CE78024" w:rsidR="00714277" w:rsidRPr="00714277" w:rsidRDefault="00714277" w:rsidP="00714277">
      <w:pPr>
        <w:rPr>
          <w:sz w:val="20"/>
          <w:szCs w:val="20"/>
          <w:lang w:val="es-EC"/>
        </w:rPr>
      </w:pPr>
      <w:r w:rsidRPr="00714277">
        <w:rPr>
          <w:sz w:val="20"/>
          <w:szCs w:val="20"/>
          <w:lang w:val="es-EC"/>
        </w:rPr>
        <w:t>Jenkins, H.</w:t>
      </w:r>
      <w:r>
        <w:rPr>
          <w:sz w:val="20"/>
          <w:szCs w:val="20"/>
          <w:lang w:val="es-EC"/>
        </w:rPr>
        <w:t xml:space="preserve"> (2008)</w:t>
      </w:r>
      <w:r w:rsidRPr="00714277">
        <w:rPr>
          <w:sz w:val="20"/>
          <w:szCs w:val="20"/>
          <w:lang w:val="es-EC"/>
        </w:rPr>
        <w:t xml:space="preserve"> </w:t>
      </w:r>
      <w:r w:rsidRPr="00714277">
        <w:rPr>
          <w:i/>
          <w:iCs/>
          <w:sz w:val="20"/>
          <w:szCs w:val="20"/>
          <w:lang w:val="es-EC"/>
        </w:rPr>
        <w:t xml:space="preserve">Convergence Cultural: La cultura de la convergencia en los    </w:t>
      </w:r>
      <w:r w:rsidRPr="00714277">
        <w:rPr>
          <w:i/>
          <w:iCs/>
          <w:sz w:val="20"/>
          <w:szCs w:val="20"/>
          <w:lang w:val="es-EC"/>
        </w:rPr>
        <w:br/>
        <w:t xml:space="preserve">             medios de comunicación</w:t>
      </w:r>
      <w:r w:rsidRPr="00714277">
        <w:rPr>
          <w:sz w:val="20"/>
          <w:szCs w:val="20"/>
          <w:lang w:val="es-EC"/>
        </w:rPr>
        <w:t>.</w:t>
      </w:r>
      <w:r>
        <w:rPr>
          <w:sz w:val="20"/>
          <w:szCs w:val="20"/>
          <w:lang w:val="es-EC"/>
        </w:rPr>
        <w:t xml:space="preserve"> </w:t>
      </w:r>
      <w:r w:rsidRPr="00714277">
        <w:rPr>
          <w:sz w:val="20"/>
          <w:szCs w:val="20"/>
          <w:lang w:val="es-EC"/>
        </w:rPr>
        <w:t>Paidós</w:t>
      </w:r>
    </w:p>
    <w:p w14:paraId="2E1FEF93" w14:textId="616608DB" w:rsidR="00714277" w:rsidRPr="00A53397" w:rsidRDefault="00A53397" w:rsidP="009C304F">
      <w:pPr>
        <w:pStyle w:val="Bibliografa"/>
        <w:rPr>
          <w:rStyle w:val="14Versalitas"/>
          <w:smallCaps w:val="0"/>
          <w:lang w:val="es-EC"/>
        </w:rPr>
      </w:pPr>
      <w:r w:rsidRPr="00A53397">
        <w:rPr>
          <w:rStyle w:val="14Versalitas"/>
          <w:smallCaps w:val="0"/>
          <w:lang w:val="es-EC"/>
        </w:rPr>
        <w:t xml:space="preserve">Kahneman, D.y Tversky, F. (2017) </w:t>
      </w:r>
      <w:r w:rsidRPr="00A53397">
        <w:rPr>
          <w:rStyle w:val="14Versalitas"/>
          <w:i/>
          <w:iCs/>
          <w:smallCaps w:val="0"/>
          <w:lang w:val="es-EC"/>
        </w:rPr>
        <w:t>Pensar rápido, pensar despacio.</w:t>
      </w:r>
      <w:r>
        <w:rPr>
          <w:rStyle w:val="14Versalitas"/>
          <w:smallCaps w:val="0"/>
          <w:lang w:val="es-EC"/>
        </w:rPr>
        <w:t xml:space="preserve"> (J. Chamorro Mielke Trad.) Debate (Trabajo original publicado en 2011)</w:t>
      </w:r>
    </w:p>
    <w:p w14:paraId="5808DAE0" w14:textId="77777777" w:rsidR="00A53397" w:rsidRDefault="00A53397" w:rsidP="00714277">
      <w:pPr>
        <w:rPr>
          <w:sz w:val="20"/>
          <w:szCs w:val="20"/>
          <w:lang w:val="es-EC"/>
        </w:rPr>
      </w:pPr>
      <w:r>
        <w:rPr>
          <w:sz w:val="20"/>
          <w:szCs w:val="20"/>
          <w:lang w:val="es-EC"/>
        </w:rPr>
        <w:t xml:space="preserve">Han, B. (2022) Infocracia: La digitalización de la crisis de la democracia. Taurus. </w:t>
      </w:r>
    </w:p>
    <w:p w14:paraId="4B057207" w14:textId="4EB3852C" w:rsidR="00714277" w:rsidRPr="00714277" w:rsidRDefault="00714277" w:rsidP="00714277">
      <w:pPr>
        <w:rPr>
          <w:sz w:val="20"/>
          <w:szCs w:val="20"/>
          <w:lang w:val="es-EC"/>
        </w:rPr>
      </w:pPr>
      <w:r w:rsidRPr="00714277">
        <w:rPr>
          <w:sz w:val="20"/>
          <w:szCs w:val="20"/>
          <w:lang w:val="es-EC"/>
        </w:rPr>
        <w:t>Jenkins, H.</w:t>
      </w:r>
      <w:r>
        <w:rPr>
          <w:sz w:val="20"/>
          <w:szCs w:val="20"/>
          <w:lang w:val="es-EC"/>
        </w:rPr>
        <w:t xml:space="preserve"> (2008)</w:t>
      </w:r>
      <w:r w:rsidRPr="00714277">
        <w:rPr>
          <w:sz w:val="20"/>
          <w:szCs w:val="20"/>
          <w:lang w:val="es-EC"/>
        </w:rPr>
        <w:t xml:space="preserve"> </w:t>
      </w:r>
      <w:r w:rsidRPr="00714277">
        <w:rPr>
          <w:i/>
          <w:iCs/>
          <w:sz w:val="20"/>
          <w:szCs w:val="20"/>
          <w:lang w:val="es-EC"/>
        </w:rPr>
        <w:t xml:space="preserve">Convergence Cultural: La cultura de la convergencia en los    </w:t>
      </w:r>
      <w:r w:rsidRPr="00714277">
        <w:rPr>
          <w:i/>
          <w:iCs/>
          <w:sz w:val="20"/>
          <w:szCs w:val="20"/>
          <w:lang w:val="es-EC"/>
        </w:rPr>
        <w:br/>
        <w:t xml:space="preserve">             medios de comunicación</w:t>
      </w:r>
      <w:r w:rsidRPr="00714277">
        <w:rPr>
          <w:sz w:val="20"/>
          <w:szCs w:val="20"/>
          <w:lang w:val="es-EC"/>
        </w:rPr>
        <w:t>.</w:t>
      </w:r>
      <w:r>
        <w:rPr>
          <w:sz w:val="20"/>
          <w:szCs w:val="20"/>
          <w:lang w:val="es-EC"/>
        </w:rPr>
        <w:t xml:space="preserve"> </w:t>
      </w:r>
      <w:r w:rsidRPr="00714277">
        <w:rPr>
          <w:sz w:val="20"/>
          <w:szCs w:val="20"/>
          <w:lang w:val="es-EC"/>
        </w:rPr>
        <w:t>Paidós</w:t>
      </w:r>
    </w:p>
    <w:p w14:paraId="175ABBF4" w14:textId="4C88EA97" w:rsidR="00944305" w:rsidRPr="00944305" w:rsidRDefault="00944305" w:rsidP="00A53397">
      <w:pPr>
        <w:pStyle w:val="Bibliografa"/>
        <w:rPr>
          <w:rStyle w:val="14Versalitas"/>
          <w:smallCaps w:val="0"/>
          <w:lang w:val="en-US"/>
        </w:rPr>
      </w:pPr>
      <w:r w:rsidRPr="00944305">
        <w:rPr>
          <w:rStyle w:val="14Versalitas"/>
          <w:smallCaps w:val="0"/>
          <w:lang w:val="en-US"/>
        </w:rPr>
        <w:t xml:space="preserve">McLuhan, M. (1969) </w:t>
      </w:r>
      <w:r w:rsidRPr="00944305">
        <w:rPr>
          <w:rStyle w:val="14Versalitas"/>
          <w:i/>
          <w:iCs/>
          <w:smallCaps w:val="0"/>
          <w:lang w:val="en-US"/>
        </w:rPr>
        <w:t xml:space="preserve">Understanding Media: </w:t>
      </w:r>
      <w:proofErr w:type="gramStart"/>
      <w:r w:rsidRPr="00944305">
        <w:rPr>
          <w:rStyle w:val="14Versalitas"/>
          <w:i/>
          <w:iCs/>
          <w:smallCaps w:val="0"/>
          <w:lang w:val="en-US"/>
        </w:rPr>
        <w:t>A</w:t>
      </w:r>
      <w:proofErr w:type="gramEnd"/>
      <w:r w:rsidRPr="00944305">
        <w:rPr>
          <w:rStyle w:val="14Versalitas"/>
          <w:i/>
          <w:iCs/>
          <w:smallCaps w:val="0"/>
          <w:lang w:val="en-US"/>
        </w:rPr>
        <w:t xml:space="preserve"> </w:t>
      </w:r>
      <w:proofErr w:type="spellStart"/>
      <w:r w:rsidRPr="00944305">
        <w:rPr>
          <w:rStyle w:val="14Versalitas"/>
          <w:i/>
          <w:iCs/>
          <w:smallCaps w:val="0"/>
          <w:lang w:val="en-US"/>
        </w:rPr>
        <w:t>extention</w:t>
      </w:r>
      <w:proofErr w:type="spellEnd"/>
      <w:r w:rsidRPr="00944305">
        <w:rPr>
          <w:rStyle w:val="14Versalitas"/>
          <w:i/>
          <w:iCs/>
          <w:smallCaps w:val="0"/>
          <w:lang w:val="en-US"/>
        </w:rPr>
        <w:t xml:space="preserve"> of man</w:t>
      </w:r>
      <w:r>
        <w:rPr>
          <w:rStyle w:val="14Versalitas"/>
          <w:smallCaps w:val="0"/>
          <w:lang w:val="en-US"/>
        </w:rPr>
        <w:t>. McGraw Hill</w:t>
      </w:r>
    </w:p>
    <w:p w14:paraId="05920AC3" w14:textId="430E5189" w:rsidR="00A53397" w:rsidRDefault="00A53397" w:rsidP="00A53397">
      <w:pPr>
        <w:pStyle w:val="Bibliografa"/>
        <w:rPr>
          <w:rStyle w:val="14Versalitas"/>
          <w:smallCaps w:val="0"/>
        </w:rPr>
      </w:pPr>
      <w:r w:rsidRPr="00A53397">
        <w:rPr>
          <w:rStyle w:val="14Versalitas"/>
          <w:smallCaps w:val="0"/>
          <w:lang w:val="es-EC"/>
        </w:rPr>
        <w:t xml:space="preserve">Scolari, C. (2008). </w:t>
      </w:r>
      <w:r w:rsidRPr="00714277">
        <w:rPr>
          <w:rStyle w:val="14Versalitas"/>
          <w:i/>
          <w:iCs/>
          <w:smallCaps w:val="0"/>
        </w:rPr>
        <w:t xml:space="preserve">Hipermediaciones: Teorías de la nueva comunicación Digital. </w:t>
      </w:r>
      <w:r w:rsidRPr="0064335B">
        <w:rPr>
          <w:rStyle w:val="14Versalitas"/>
          <w:smallCaps w:val="0"/>
        </w:rPr>
        <w:t>Barcelona (Gedisa)</w:t>
      </w:r>
    </w:p>
    <w:p w14:paraId="531C73C4" w14:textId="77777777" w:rsidR="00A53397" w:rsidRDefault="00A53397" w:rsidP="009C304F">
      <w:pPr>
        <w:pStyle w:val="Bibliografa"/>
        <w:rPr>
          <w:rStyle w:val="14Versalitas"/>
          <w:smallCaps w:val="0"/>
          <w:lang w:val="es-EC"/>
        </w:rPr>
      </w:pP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F95582" w14:textId="77777777" w:rsidR="0064391B" w:rsidRDefault="0064391B" w:rsidP="00EB0247">
      <w:pPr>
        <w:spacing w:after="0" w:line="240" w:lineRule="auto"/>
      </w:pPr>
      <w:r>
        <w:separator/>
      </w:r>
    </w:p>
  </w:endnote>
  <w:endnote w:type="continuationSeparator" w:id="0">
    <w:p w14:paraId="7941FAC1" w14:textId="77777777" w:rsidR="0064391B" w:rsidRDefault="0064391B"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dobe Garamond Pro">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BB9130" w14:textId="77777777" w:rsidR="0064391B" w:rsidRDefault="0064391B" w:rsidP="00EB0247">
      <w:pPr>
        <w:spacing w:after="0" w:line="240" w:lineRule="auto"/>
      </w:pPr>
      <w:r>
        <w:separator/>
      </w:r>
    </w:p>
  </w:footnote>
  <w:footnote w:type="continuationSeparator" w:id="0">
    <w:p w14:paraId="6221C1C5" w14:textId="77777777" w:rsidR="0064391B" w:rsidRDefault="0064391B"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520B9A"/>
    <w:multiLevelType w:val="hybridMultilevel"/>
    <w:tmpl w:val="928EFEF6"/>
    <w:lvl w:ilvl="0" w:tplc="E5BABE82">
      <w:start w:val="1"/>
      <w:numFmt w:val="bullet"/>
      <w:lvlText w:val="•"/>
      <w:lvlJc w:val="left"/>
      <w:pPr>
        <w:tabs>
          <w:tab w:val="num" w:pos="720"/>
        </w:tabs>
        <w:ind w:left="720" w:hanging="360"/>
      </w:pPr>
      <w:rPr>
        <w:rFonts w:ascii="Arial" w:hAnsi="Arial" w:hint="default"/>
      </w:rPr>
    </w:lvl>
    <w:lvl w:ilvl="1" w:tplc="0D84C130" w:tentative="1">
      <w:start w:val="1"/>
      <w:numFmt w:val="bullet"/>
      <w:lvlText w:val="•"/>
      <w:lvlJc w:val="left"/>
      <w:pPr>
        <w:tabs>
          <w:tab w:val="num" w:pos="1440"/>
        </w:tabs>
        <w:ind w:left="1440" w:hanging="360"/>
      </w:pPr>
      <w:rPr>
        <w:rFonts w:ascii="Arial" w:hAnsi="Arial" w:hint="default"/>
      </w:rPr>
    </w:lvl>
    <w:lvl w:ilvl="2" w:tplc="E0F003B0" w:tentative="1">
      <w:start w:val="1"/>
      <w:numFmt w:val="bullet"/>
      <w:lvlText w:val="•"/>
      <w:lvlJc w:val="left"/>
      <w:pPr>
        <w:tabs>
          <w:tab w:val="num" w:pos="2160"/>
        </w:tabs>
        <w:ind w:left="2160" w:hanging="360"/>
      </w:pPr>
      <w:rPr>
        <w:rFonts w:ascii="Arial" w:hAnsi="Arial" w:hint="default"/>
      </w:rPr>
    </w:lvl>
    <w:lvl w:ilvl="3" w:tplc="C81A0A20" w:tentative="1">
      <w:start w:val="1"/>
      <w:numFmt w:val="bullet"/>
      <w:lvlText w:val="•"/>
      <w:lvlJc w:val="left"/>
      <w:pPr>
        <w:tabs>
          <w:tab w:val="num" w:pos="2880"/>
        </w:tabs>
        <w:ind w:left="2880" w:hanging="360"/>
      </w:pPr>
      <w:rPr>
        <w:rFonts w:ascii="Arial" w:hAnsi="Arial" w:hint="default"/>
      </w:rPr>
    </w:lvl>
    <w:lvl w:ilvl="4" w:tplc="D7B0FF10" w:tentative="1">
      <w:start w:val="1"/>
      <w:numFmt w:val="bullet"/>
      <w:lvlText w:val="•"/>
      <w:lvlJc w:val="left"/>
      <w:pPr>
        <w:tabs>
          <w:tab w:val="num" w:pos="3600"/>
        </w:tabs>
        <w:ind w:left="3600" w:hanging="360"/>
      </w:pPr>
      <w:rPr>
        <w:rFonts w:ascii="Arial" w:hAnsi="Arial" w:hint="default"/>
      </w:rPr>
    </w:lvl>
    <w:lvl w:ilvl="5" w:tplc="9632894A" w:tentative="1">
      <w:start w:val="1"/>
      <w:numFmt w:val="bullet"/>
      <w:lvlText w:val="•"/>
      <w:lvlJc w:val="left"/>
      <w:pPr>
        <w:tabs>
          <w:tab w:val="num" w:pos="4320"/>
        </w:tabs>
        <w:ind w:left="4320" w:hanging="360"/>
      </w:pPr>
      <w:rPr>
        <w:rFonts w:ascii="Arial" w:hAnsi="Arial" w:hint="default"/>
      </w:rPr>
    </w:lvl>
    <w:lvl w:ilvl="6" w:tplc="78749F28" w:tentative="1">
      <w:start w:val="1"/>
      <w:numFmt w:val="bullet"/>
      <w:lvlText w:val="•"/>
      <w:lvlJc w:val="left"/>
      <w:pPr>
        <w:tabs>
          <w:tab w:val="num" w:pos="5040"/>
        </w:tabs>
        <w:ind w:left="5040" w:hanging="360"/>
      </w:pPr>
      <w:rPr>
        <w:rFonts w:ascii="Arial" w:hAnsi="Arial" w:hint="default"/>
      </w:rPr>
    </w:lvl>
    <w:lvl w:ilvl="7" w:tplc="717871D4" w:tentative="1">
      <w:start w:val="1"/>
      <w:numFmt w:val="bullet"/>
      <w:lvlText w:val="•"/>
      <w:lvlJc w:val="left"/>
      <w:pPr>
        <w:tabs>
          <w:tab w:val="num" w:pos="5760"/>
        </w:tabs>
        <w:ind w:left="5760" w:hanging="360"/>
      </w:pPr>
      <w:rPr>
        <w:rFonts w:ascii="Arial" w:hAnsi="Arial" w:hint="default"/>
      </w:rPr>
    </w:lvl>
    <w:lvl w:ilvl="8" w:tplc="504604C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377511315">
    <w:abstractNumId w:val="8"/>
  </w:num>
  <w:num w:numId="2" w16cid:durableId="1558279590">
    <w:abstractNumId w:val="3"/>
  </w:num>
  <w:num w:numId="3" w16cid:durableId="1259095119">
    <w:abstractNumId w:val="2"/>
  </w:num>
  <w:num w:numId="4" w16cid:durableId="1437022291">
    <w:abstractNumId w:val="1"/>
  </w:num>
  <w:num w:numId="5" w16cid:durableId="2025671925">
    <w:abstractNumId w:val="0"/>
  </w:num>
  <w:num w:numId="6" w16cid:durableId="1115490028">
    <w:abstractNumId w:val="9"/>
  </w:num>
  <w:num w:numId="7" w16cid:durableId="1962033128">
    <w:abstractNumId w:val="7"/>
  </w:num>
  <w:num w:numId="8" w16cid:durableId="88475566">
    <w:abstractNumId w:val="6"/>
  </w:num>
  <w:num w:numId="9" w16cid:durableId="1512142212">
    <w:abstractNumId w:val="5"/>
  </w:num>
  <w:num w:numId="10" w16cid:durableId="2056196425">
    <w:abstractNumId w:val="4"/>
  </w:num>
  <w:num w:numId="11" w16cid:durableId="716583333">
    <w:abstractNumId w:val="11"/>
  </w:num>
  <w:num w:numId="12" w16cid:durableId="446195433">
    <w:abstractNumId w:val="13"/>
  </w:num>
  <w:num w:numId="13" w16cid:durableId="1206213209">
    <w:abstractNumId w:val="17"/>
  </w:num>
  <w:num w:numId="14" w16cid:durableId="2024473495">
    <w:abstractNumId w:val="18"/>
  </w:num>
  <w:num w:numId="15" w16cid:durableId="1321498531">
    <w:abstractNumId w:val="19"/>
  </w:num>
  <w:num w:numId="16" w16cid:durableId="1535191820">
    <w:abstractNumId w:val="29"/>
  </w:num>
  <w:num w:numId="17" w16cid:durableId="2140104414">
    <w:abstractNumId w:val="26"/>
  </w:num>
  <w:num w:numId="18" w16cid:durableId="994915828">
    <w:abstractNumId w:val="10"/>
  </w:num>
  <w:num w:numId="19" w16cid:durableId="1465002585">
    <w:abstractNumId w:val="25"/>
  </w:num>
  <w:num w:numId="20" w16cid:durableId="1345791576">
    <w:abstractNumId w:val="30"/>
  </w:num>
  <w:num w:numId="21" w16cid:durableId="2020037446">
    <w:abstractNumId w:val="31"/>
  </w:num>
  <w:num w:numId="22" w16cid:durableId="435715701">
    <w:abstractNumId w:val="22"/>
  </w:num>
  <w:num w:numId="23" w16cid:durableId="33191496">
    <w:abstractNumId w:val="31"/>
    <w:lvlOverride w:ilvl="0">
      <w:startOverride w:val="1"/>
    </w:lvlOverride>
  </w:num>
  <w:num w:numId="24" w16cid:durableId="2054839910">
    <w:abstractNumId w:val="31"/>
    <w:lvlOverride w:ilvl="0">
      <w:startOverride w:val="1"/>
    </w:lvlOverride>
  </w:num>
  <w:num w:numId="25" w16cid:durableId="2070224704">
    <w:abstractNumId w:val="12"/>
  </w:num>
  <w:num w:numId="26" w16cid:durableId="95759650">
    <w:abstractNumId w:val="32"/>
  </w:num>
  <w:num w:numId="27" w16cid:durableId="698969628">
    <w:abstractNumId w:val="20"/>
  </w:num>
  <w:num w:numId="28" w16cid:durableId="1754206610">
    <w:abstractNumId w:val="21"/>
  </w:num>
  <w:num w:numId="29" w16cid:durableId="704840011">
    <w:abstractNumId w:val="23"/>
  </w:num>
  <w:num w:numId="30" w16cid:durableId="1496141342">
    <w:abstractNumId w:val="16"/>
  </w:num>
  <w:num w:numId="31" w16cid:durableId="2114936990">
    <w:abstractNumId w:val="24"/>
  </w:num>
  <w:num w:numId="32" w16cid:durableId="55705667">
    <w:abstractNumId w:val="14"/>
  </w:num>
  <w:num w:numId="33" w16cid:durableId="529490437">
    <w:abstractNumId w:val="27"/>
  </w:num>
  <w:num w:numId="34" w16cid:durableId="1178227130">
    <w:abstractNumId w:val="28"/>
  </w:num>
  <w:num w:numId="35" w16cid:durableId="279336580">
    <w:abstractNumId w:val="33"/>
  </w:num>
  <w:num w:numId="36" w16cid:durableId="668992136">
    <w:abstractNumId w:val="31"/>
    <w:lvlOverride w:ilvl="0">
      <w:startOverride w:val="1"/>
    </w:lvlOverride>
  </w:num>
  <w:num w:numId="37" w16cid:durableId="1792438850">
    <w:abstractNumId w:val="31"/>
    <w:lvlOverride w:ilvl="0">
      <w:startOverride w:val="1"/>
    </w:lvlOverride>
  </w:num>
  <w:num w:numId="38" w16cid:durableId="995381269">
    <w:abstractNumId w:val="31"/>
    <w:lvlOverride w:ilvl="0">
      <w:startOverride w:val="1"/>
    </w:lvlOverride>
  </w:num>
  <w:num w:numId="39" w16cid:durableId="126823037">
    <w:abstractNumId w:val="33"/>
    <w:lvlOverride w:ilvl="0">
      <w:startOverride w:val="1"/>
    </w:lvlOverride>
  </w:num>
  <w:num w:numId="40" w16cid:durableId="412511033">
    <w:abstractNumId w:val="33"/>
    <w:lvlOverride w:ilvl="0">
      <w:startOverride w:val="1"/>
    </w:lvlOverride>
  </w:num>
  <w:num w:numId="41" w16cid:durableId="487862737">
    <w:abstractNumId w:val="31"/>
    <w:lvlOverride w:ilvl="0">
      <w:startOverride w:val="1"/>
    </w:lvlOverride>
  </w:num>
  <w:num w:numId="42" w16cid:durableId="863515970">
    <w:abstractNumId w:val="33"/>
    <w:lvlOverride w:ilvl="0">
      <w:startOverride w:val="1"/>
    </w:lvlOverride>
  </w:num>
  <w:num w:numId="43" w16cid:durableId="1702170107">
    <w:abstractNumId w:val="31"/>
    <w:lvlOverride w:ilvl="0">
      <w:startOverride w:val="1"/>
    </w:lvlOverride>
  </w:num>
  <w:num w:numId="44" w16cid:durableId="473565865">
    <w:abstractNumId w:val="33"/>
    <w:lvlOverride w:ilvl="0">
      <w:startOverride w:val="1"/>
    </w:lvlOverride>
  </w:num>
  <w:num w:numId="45" w16cid:durableId="6365133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0D4A"/>
    <w:rsid w:val="00012517"/>
    <w:rsid w:val="00033E3E"/>
    <w:rsid w:val="00063421"/>
    <w:rsid w:val="00097EEF"/>
    <w:rsid w:val="000C5EDB"/>
    <w:rsid w:val="001348A0"/>
    <w:rsid w:val="00140844"/>
    <w:rsid w:val="001468AC"/>
    <w:rsid w:val="0015066B"/>
    <w:rsid w:val="00156F2B"/>
    <w:rsid w:val="00160E8F"/>
    <w:rsid w:val="001632C8"/>
    <w:rsid w:val="00182667"/>
    <w:rsid w:val="00185A00"/>
    <w:rsid w:val="0018654D"/>
    <w:rsid w:val="001950D8"/>
    <w:rsid w:val="00197D57"/>
    <w:rsid w:val="001A7AD8"/>
    <w:rsid w:val="00242EFB"/>
    <w:rsid w:val="002433EC"/>
    <w:rsid w:val="00254F0F"/>
    <w:rsid w:val="00280126"/>
    <w:rsid w:val="00281564"/>
    <w:rsid w:val="0028556A"/>
    <w:rsid w:val="00285B53"/>
    <w:rsid w:val="002A43CD"/>
    <w:rsid w:val="002C5703"/>
    <w:rsid w:val="002D23FB"/>
    <w:rsid w:val="002D268C"/>
    <w:rsid w:val="002F3733"/>
    <w:rsid w:val="00341755"/>
    <w:rsid w:val="003512A0"/>
    <w:rsid w:val="0036138E"/>
    <w:rsid w:val="00375999"/>
    <w:rsid w:val="0039591A"/>
    <w:rsid w:val="003C4D9F"/>
    <w:rsid w:val="003E66FB"/>
    <w:rsid w:val="00413B25"/>
    <w:rsid w:val="00422CDA"/>
    <w:rsid w:val="00424B69"/>
    <w:rsid w:val="004307D4"/>
    <w:rsid w:val="00430D3D"/>
    <w:rsid w:val="00437ED3"/>
    <w:rsid w:val="0044345A"/>
    <w:rsid w:val="00445D8B"/>
    <w:rsid w:val="00477173"/>
    <w:rsid w:val="004819D7"/>
    <w:rsid w:val="004842F0"/>
    <w:rsid w:val="00484413"/>
    <w:rsid w:val="00493A17"/>
    <w:rsid w:val="004C0202"/>
    <w:rsid w:val="004D0180"/>
    <w:rsid w:val="0052093B"/>
    <w:rsid w:val="005335DF"/>
    <w:rsid w:val="005417EB"/>
    <w:rsid w:val="005430EA"/>
    <w:rsid w:val="00584BB4"/>
    <w:rsid w:val="005A43E3"/>
    <w:rsid w:val="005A4AFE"/>
    <w:rsid w:val="005A6174"/>
    <w:rsid w:val="005B6154"/>
    <w:rsid w:val="005F466B"/>
    <w:rsid w:val="00607EE3"/>
    <w:rsid w:val="006131F7"/>
    <w:rsid w:val="0064335B"/>
    <w:rsid w:val="0064391B"/>
    <w:rsid w:val="00663985"/>
    <w:rsid w:val="00675757"/>
    <w:rsid w:val="00680332"/>
    <w:rsid w:val="00681364"/>
    <w:rsid w:val="0068745E"/>
    <w:rsid w:val="006A4A01"/>
    <w:rsid w:val="006B7745"/>
    <w:rsid w:val="00704996"/>
    <w:rsid w:val="00714277"/>
    <w:rsid w:val="00714CBD"/>
    <w:rsid w:val="00721EBE"/>
    <w:rsid w:val="00742AC5"/>
    <w:rsid w:val="0076492B"/>
    <w:rsid w:val="007701F1"/>
    <w:rsid w:val="00792960"/>
    <w:rsid w:val="007A0F17"/>
    <w:rsid w:val="007E4E94"/>
    <w:rsid w:val="007F0944"/>
    <w:rsid w:val="008238DE"/>
    <w:rsid w:val="00836B35"/>
    <w:rsid w:val="00863A4D"/>
    <w:rsid w:val="00866608"/>
    <w:rsid w:val="008A4085"/>
    <w:rsid w:val="008A483F"/>
    <w:rsid w:val="008A7485"/>
    <w:rsid w:val="008B6A98"/>
    <w:rsid w:val="008C1056"/>
    <w:rsid w:val="008C2B2C"/>
    <w:rsid w:val="008F1330"/>
    <w:rsid w:val="008F3F8E"/>
    <w:rsid w:val="0091337D"/>
    <w:rsid w:val="009171C1"/>
    <w:rsid w:val="00920563"/>
    <w:rsid w:val="0093429F"/>
    <w:rsid w:val="00944305"/>
    <w:rsid w:val="00944BBB"/>
    <w:rsid w:val="009477E3"/>
    <w:rsid w:val="00962592"/>
    <w:rsid w:val="009847F6"/>
    <w:rsid w:val="00994E6A"/>
    <w:rsid w:val="009A336B"/>
    <w:rsid w:val="009C0DFA"/>
    <w:rsid w:val="009C304F"/>
    <w:rsid w:val="009C657C"/>
    <w:rsid w:val="009D0814"/>
    <w:rsid w:val="009D4514"/>
    <w:rsid w:val="009E664A"/>
    <w:rsid w:val="009F5F74"/>
    <w:rsid w:val="00A206F1"/>
    <w:rsid w:val="00A31205"/>
    <w:rsid w:val="00A50C6E"/>
    <w:rsid w:val="00A53397"/>
    <w:rsid w:val="00A771A0"/>
    <w:rsid w:val="00A8553F"/>
    <w:rsid w:val="00AA1581"/>
    <w:rsid w:val="00AA1ECA"/>
    <w:rsid w:val="00B0717D"/>
    <w:rsid w:val="00B07A9F"/>
    <w:rsid w:val="00B57A4E"/>
    <w:rsid w:val="00B60DF4"/>
    <w:rsid w:val="00BA4EA8"/>
    <w:rsid w:val="00BA4FD5"/>
    <w:rsid w:val="00BB38AC"/>
    <w:rsid w:val="00BD7178"/>
    <w:rsid w:val="00BE3D2B"/>
    <w:rsid w:val="00BE5F2C"/>
    <w:rsid w:val="00BF45D1"/>
    <w:rsid w:val="00BF50C0"/>
    <w:rsid w:val="00C02B1E"/>
    <w:rsid w:val="00C21575"/>
    <w:rsid w:val="00C21F8C"/>
    <w:rsid w:val="00C302E3"/>
    <w:rsid w:val="00C30BA1"/>
    <w:rsid w:val="00C45F7D"/>
    <w:rsid w:val="00C8704E"/>
    <w:rsid w:val="00C930F7"/>
    <w:rsid w:val="00CA0400"/>
    <w:rsid w:val="00CC152D"/>
    <w:rsid w:val="00CD0091"/>
    <w:rsid w:val="00CE0F4B"/>
    <w:rsid w:val="00D02F1D"/>
    <w:rsid w:val="00D0381D"/>
    <w:rsid w:val="00D05D1F"/>
    <w:rsid w:val="00D36F76"/>
    <w:rsid w:val="00D47BD3"/>
    <w:rsid w:val="00D86CAA"/>
    <w:rsid w:val="00DA0BED"/>
    <w:rsid w:val="00DC3839"/>
    <w:rsid w:val="00DC5E7D"/>
    <w:rsid w:val="00DE0B74"/>
    <w:rsid w:val="00DF1B76"/>
    <w:rsid w:val="00E04357"/>
    <w:rsid w:val="00E05E1A"/>
    <w:rsid w:val="00E06000"/>
    <w:rsid w:val="00E30818"/>
    <w:rsid w:val="00E43021"/>
    <w:rsid w:val="00E649D6"/>
    <w:rsid w:val="00E85C23"/>
    <w:rsid w:val="00EB0247"/>
    <w:rsid w:val="00EC01A5"/>
    <w:rsid w:val="00F60611"/>
    <w:rsid w:val="00F6387D"/>
    <w:rsid w:val="00F63B01"/>
    <w:rsid w:val="00F66726"/>
    <w:rsid w:val="00FA51E8"/>
    <w:rsid w:val="00FA7CDE"/>
    <w:rsid w:val="00FF68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s-ES" sz="1100" b="0" i="0">
                <a:effectLst/>
                <a:latin typeface="Arial Narrow" panose="020B0604020202020204" pitchFamily="34" charset="0"/>
                <a:cs typeface="Arial Narrow" panose="020B0604020202020204" pitchFamily="34" charset="0"/>
              </a:rPr>
              <a:t>¿Sabías que la información que recibes en redes sociales puede tener un sesgo?</a:t>
            </a:r>
            <a:endParaRPr lang="es-EC" sz="1100" b="0" i="0">
              <a:effectLst/>
              <a:latin typeface="Arial Narrow" panose="020B0604020202020204" pitchFamily="34" charset="0"/>
              <a:cs typeface="Arial Narrow" panose="020B0604020202020204" pitchFamily="34"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es-MX" sz="1100" b="0" i="0">
              <a:latin typeface="Arial Narrow" panose="020B0604020202020204" pitchFamily="34" charset="0"/>
              <a:cs typeface="Arial Narrow" panose="020B0604020202020204" pitchFamily="34" charset="0"/>
            </a:endParaRPr>
          </a:p>
        </c:rich>
      </c:tx>
      <c:layout>
        <c:manualLayout>
          <c:xMode val="edge"/>
          <c:yMode val="edge"/>
          <c:x val="0.19221529572753532"/>
          <c:y val="6.207217055614525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s-EC"/>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4C1-9F45-9EB2-2C8F444F0060}"/>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4C1-9F45-9EB2-2C8F444F006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Hoja1!$E$14:$E$15</c:f>
              <c:strCache>
                <c:ptCount val="2"/>
                <c:pt idx="0">
                  <c:v>Estoy conscientte de eso </c:v>
                </c:pt>
                <c:pt idx="1">
                  <c:v>No lo sabía</c:v>
                </c:pt>
              </c:strCache>
            </c:strRef>
          </c:cat>
          <c:val>
            <c:numRef>
              <c:f>Hoja1!$F$14:$F$15</c:f>
              <c:numCache>
                <c:formatCode>General</c:formatCode>
                <c:ptCount val="2"/>
                <c:pt idx="0">
                  <c:v>97.3</c:v>
                </c:pt>
                <c:pt idx="1">
                  <c:v>2.7</c:v>
                </c:pt>
              </c:numCache>
            </c:numRef>
          </c:val>
          <c:extLst>
            <c:ext xmlns:c16="http://schemas.microsoft.com/office/drawing/2014/chart" uri="{C3380CC4-5D6E-409C-BE32-E72D297353CC}">
              <c16:uniqueId val="{00000004-64C1-9F45-9EB2-2C8F444F006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08160626569086"/>
          <c:y val="0.32261759533579432"/>
          <c:w val="0.3287749362787763"/>
          <c:h val="0.2262942484302138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E:\01_LIBROS_PENDIENTES\plantilla3.dotx</Template>
  <TotalTime>249</TotalTime>
  <Pages>10</Pages>
  <Words>2872</Words>
  <Characters>15799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Lourdes Paola Ulloa Lopez</cp:lastModifiedBy>
  <cp:revision>8</cp:revision>
  <dcterms:created xsi:type="dcterms:W3CDTF">2026-09-03T22:58:00Z</dcterms:created>
  <dcterms:modified xsi:type="dcterms:W3CDTF">2026-09-05T22:37:00Z</dcterms:modified>
  <cp:category>Categoria</cp:category>
  <cp:contentStatus>Estado</cp:contentStatus>
</cp:coreProperties>
</file>