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88CBB" w14:textId="77777777" w:rsidR="008F1217" w:rsidRDefault="008042BA">
      <w:pPr>
        <w:pStyle w:val="Captulo"/>
      </w:pPr>
      <w:r>
        <w:t>CAPÍTULO</w:t>
      </w:r>
    </w:p>
    <w:p w14:paraId="628BA524" w14:textId="77777777" w:rsidR="008F1217" w:rsidRDefault="008042BA">
      <w:pPr>
        <w:pStyle w:val="TtCap"/>
      </w:pPr>
      <w:r>
        <w:t>COMUNICACIÓN ORGANIZACIONAL COMO EJE ESTRATÉGICO PARA LA GESTIÓN DE CRISIS EN LAS PEQUEÑAS Y MEDIANAS EMPRESAS (PYMES)</w:t>
      </w:r>
    </w:p>
    <w:p w14:paraId="5B45D198" w14:textId="4B6AA4BE" w:rsidR="00055595" w:rsidRDefault="00055595" w:rsidP="00055595">
      <w:pPr>
        <w:pStyle w:val="Autor"/>
      </w:pPr>
      <w:r>
        <w:t>Ángel Alberto Matamoros Dávalos</w:t>
      </w:r>
    </w:p>
    <w:p w14:paraId="20868EBC" w14:textId="6422F15F" w:rsidR="00055595" w:rsidRDefault="00055595" w:rsidP="006554EF">
      <w:pPr>
        <w:pStyle w:val="Adscripcin"/>
      </w:pPr>
      <w:r>
        <w:t xml:space="preserve">Universidad Católica </w:t>
      </w:r>
      <w:r w:rsidR="006554EF">
        <w:t xml:space="preserve">de </w:t>
      </w:r>
      <w:r>
        <w:t>Santiago de Guayaquil</w:t>
      </w:r>
    </w:p>
    <w:p w14:paraId="6E62B1E7" w14:textId="77777777" w:rsidR="006554EF" w:rsidRDefault="006554EF" w:rsidP="006554EF">
      <w:pPr>
        <w:pStyle w:val="Adscripcin"/>
      </w:pPr>
      <w:r>
        <w:t>Universidad Estatal Península de Santa Elena</w:t>
      </w:r>
    </w:p>
    <w:p w14:paraId="2BDD9325" w14:textId="77777777" w:rsidR="006554EF" w:rsidRPr="006554EF" w:rsidRDefault="006554EF" w:rsidP="006554EF">
      <w:pPr>
        <w:pStyle w:val="Adscripcin"/>
      </w:pPr>
    </w:p>
    <w:p w14:paraId="6DBB165A" w14:textId="0F90BBF9" w:rsidR="00055595" w:rsidRDefault="00055595" w:rsidP="00055595">
      <w:pPr>
        <w:pStyle w:val="Autor"/>
      </w:pPr>
      <w:r>
        <w:t>Mariana Isaura Avilés Pazmiño</w:t>
      </w:r>
    </w:p>
    <w:p w14:paraId="798CE982" w14:textId="6F08B7A7" w:rsidR="00055595" w:rsidRDefault="00055595" w:rsidP="00055595">
      <w:pPr>
        <w:pStyle w:val="Adscripcin"/>
      </w:pPr>
      <w:r>
        <w:t>Universidad Estatal Península de Santa Elena</w:t>
      </w:r>
    </w:p>
    <w:p w14:paraId="11A68EC2" w14:textId="553EDFD1" w:rsidR="00055595" w:rsidRPr="000025F8" w:rsidRDefault="00055595" w:rsidP="00055595">
      <w:pPr>
        <w:pStyle w:val="Adscripcin"/>
        <w:rPr>
          <w:lang w:val="es-419"/>
        </w:rPr>
      </w:pPr>
    </w:p>
    <w:p w14:paraId="57CA29A6" w14:textId="06B76794" w:rsidR="00055595" w:rsidRPr="000025F8" w:rsidRDefault="00851DC2" w:rsidP="006554EF">
      <w:pPr>
        <w:pStyle w:val="Autor"/>
        <w:rPr>
          <w:lang w:val="es-419"/>
        </w:rPr>
      </w:pPr>
      <w:r w:rsidRPr="000025F8">
        <w:rPr>
          <w:lang w:val="es-419"/>
        </w:rPr>
        <w:t>Henry John Carrascal Chiquit</w:t>
      </w:r>
      <w:r w:rsidR="006554EF" w:rsidRPr="000025F8">
        <w:rPr>
          <w:lang w:val="es-419"/>
        </w:rPr>
        <w:t>o</w:t>
      </w:r>
    </w:p>
    <w:p w14:paraId="6B841706" w14:textId="39579304" w:rsidR="00055595" w:rsidRDefault="00055595" w:rsidP="00055595">
      <w:pPr>
        <w:pStyle w:val="Adscripcin"/>
      </w:pPr>
      <w:r>
        <w:t xml:space="preserve">Universidad Católica </w:t>
      </w:r>
      <w:r w:rsidR="006554EF">
        <w:t xml:space="preserve">de </w:t>
      </w:r>
      <w:r>
        <w:t>Santiago de Guayaquil</w:t>
      </w:r>
    </w:p>
    <w:p w14:paraId="6FAFC72F" w14:textId="5DBB21B3" w:rsidR="006554EF" w:rsidRPr="006554EF" w:rsidRDefault="006554EF" w:rsidP="006554EF">
      <w:pPr>
        <w:pStyle w:val="Adscripcin"/>
      </w:pPr>
      <w:r>
        <w:t>Universidad de Guayaquil</w:t>
      </w:r>
    </w:p>
    <w:p w14:paraId="15C5F93C" w14:textId="77777777" w:rsidR="008F1217" w:rsidRDefault="008042BA">
      <w:pPr>
        <w:pStyle w:val="Ttulo1"/>
      </w:pPr>
      <w:r>
        <w:t>1. INTRODUCCIÓN</w:t>
      </w:r>
    </w:p>
    <w:p w14:paraId="66F733E8" w14:textId="77777777" w:rsidR="008F1217" w:rsidRDefault="008042BA">
      <w:r>
        <w:t>Las pequeñas y medianas empresas (PYMES) constituyen un componente estratégico del tejido productivo de la Península de Santa Elena, debido a su contribución al empleo, la provisión de bienes y servicios, la circulación económica y la cohesión territorial. Sin embargo, su operación se desarrolla en escenarios caracterizados por incertidumbre económica, transformaciones tecnológicas, presiones sociales, riesgos ambientales y disrupciones sanitarias. En este contexto, la crisis corporativa no debe entenderse como un acontecimiento aislado, sino como un fenómeno organizacional capaz de afectar simultáneamente la continuidad operativa, la reputación, la confianza de los públicos y la sostenibilidad empresarial.</w:t>
      </w:r>
    </w:p>
    <w:p w14:paraId="348F4591" w14:textId="77777777" w:rsidR="008F1217" w:rsidRDefault="008042BA">
      <w:r>
        <w:t xml:space="preserve">La literatura revisada evidencia que las PYMES presentan una vulnerabilidad particular frente a las crisis porque, a diferencia de las grandes corporaciones, suelen operar con estructuras simples, recursos financieros y humanos limitados, alta centralización en el propietario o gerente y bajos niveles de formalización de la comunicación estratégica. </w:t>
      </w:r>
      <w:r>
        <w:lastRenderedPageBreak/>
        <w:t>Estas condiciones pueden favorecer la rapidez decisional y la cercanía con los públicos, pero también pueden traducirse en improvisación, ausencia de protocolos, concentración de la vocería y dificultades para construir respuestas consistentes. En consecuencia, la comunicación organizacional adquiere una función estratégica: articula información, liderazgo, cultura, relaciones con stakeholders y capacidad de adaptación.</w:t>
      </w:r>
    </w:p>
    <w:p w14:paraId="776C8FEF" w14:textId="77777777" w:rsidR="008F1217" w:rsidRDefault="008042BA">
      <w:r>
        <w:t>El problema central que orienta este estudio en desarrollo se refiere a cómo diseñar una propuesta teórico-metodológica de comunicación organizacional que contribuya al fortalecimiento de la gestión de crisis corporativa en las PYMES de la Península de Santa Elena. La investigación parte de un vacío identificado en la literatura: aunque existen modelos consolidados de comunicación y gestión de crisis, buena parte de ellos se ha desarrollado a partir de grandes organizaciones y requiere adaptación a contextos empresariales de menor escala, especialmente latinoamericanos.</w:t>
      </w:r>
    </w:p>
    <w:p w14:paraId="1ADAAFE0" w14:textId="77777777" w:rsidR="008F1217" w:rsidRDefault="008042BA">
      <w:r>
        <w:t>El objetivo general consiste en diseñar una propuesta teórico-metodológica de comunicación organizacional que fortalezca la gestión de crisis corporativa en las PYMES de la Península de Santa Elena. De manera específica, se busca examinar los principales enfoques teóricos y metodológicos; diagnosticar las prácticas y niveles de preparación existentes; determinar los componentes de un modelo de comunicación organizacional adaptativa; y establecer un procedimiento de validación mediante estudios de caso, escenarios o simulaciones aplicadas.</w:t>
      </w:r>
    </w:p>
    <w:p w14:paraId="5299D527" w14:textId="3C7A71E9" w:rsidR="008F1217" w:rsidRDefault="008042BA">
      <w:r>
        <w:t>El estudio adopta una perspectiva de investigación en desarrollo. Por ello, los hallazgos presentados en este capítulo deben interpretarse como resultados preliminares de la revisión teórico-documental y del diseño metodológico, no como evidencia empírica definitiva del modelo. La propuesta será sometida posteriormente a trabajo de campo, triangulación y validación. Esta delimitación es esencial para mantener la correspondencia entre el estado real de la investigación y las afirmaciones científicas que se formulan.</w:t>
      </w:r>
    </w:p>
    <w:p w14:paraId="4070D561" w14:textId="77777777" w:rsidR="006554EF" w:rsidRDefault="006554EF"/>
    <w:p w14:paraId="72931C85" w14:textId="77777777" w:rsidR="008F1217" w:rsidRDefault="008042BA">
      <w:pPr>
        <w:pStyle w:val="Ttulo2"/>
      </w:pPr>
      <w:r>
        <w:lastRenderedPageBreak/>
        <w:t>1.1. Comunicación organizacional y gestión estratégica</w:t>
      </w:r>
    </w:p>
    <w:p w14:paraId="10BA14FA" w14:textId="77777777" w:rsidR="008F1217" w:rsidRDefault="008042BA">
      <w:r>
        <w:t>La comunicación organizacional ha transitado desde concepciones instrumentales y unidireccionales hacia perspectivas sistémicas, culturales, participativas y estratégicas. En los modelos mecanicistas, vinculados con Taylor, Fayol y Weber, predominaban la jerarquía, la formalización y el flujo vertical de información. Posteriormente, el enfoque humanista incorporó la comunicación ascendente, horizontal e informal, reconociendo la importancia de la motivación, la pertenencia y las relaciones sociales. Los enfoques contemporáneos profundizan esta evolución al considerar la organización como un sistema abierto, culturalmente situado y construido mediante procesos comunicativos.</w:t>
      </w:r>
    </w:p>
    <w:p w14:paraId="4DC37BA2" w14:textId="6A26D4CB" w:rsidR="008F1217" w:rsidRDefault="008042BA">
      <w:r>
        <w:t xml:space="preserve">Desde la perspectiva sistémica, la organización mantiene una interacción permanente con su entorno y depende de flujos de información y retroalimentación para adaptarse. Desde el enfoque cultural, la comunicación participa en la construcción y transmisión de valores, prácticas, símbolos y supuestos compartidos. </w:t>
      </w:r>
    </w:p>
    <w:p w14:paraId="5F6AD442" w14:textId="77777777" w:rsidR="008F1217" w:rsidRDefault="008042BA">
      <w:r>
        <w:t>En este marco, el comunicador organizacional deja de ser un productor táctico de mensajes para convertirse en un actor estratégico vinculado con la dirección. Su función comprende la gestión de identidad y reputación, el análisis del entorno, la relación con stakeholders, la comunicación interna, la gestión del cambio y la preparación y respuesta ante crisis. La teoría de los stakeholders refuerza esta perspectiva al exigir que la organización considere a los grupos que afectan o son afectados por sus decisiones (Freeman &amp; McVea, 2001).</w:t>
      </w:r>
    </w:p>
    <w:p w14:paraId="205DE316" w14:textId="77777777" w:rsidR="008F1217" w:rsidRDefault="008042BA">
      <w:pPr>
        <w:pStyle w:val="Ttulo2"/>
      </w:pPr>
      <w:r>
        <w:t>1.2. Gestión de crisis organizacional</w:t>
      </w:r>
    </w:p>
    <w:p w14:paraId="4CDD872D" w14:textId="77777777" w:rsidR="008F1217" w:rsidRDefault="008042BA">
      <w:r>
        <w:t xml:space="preserve">Una crisis organizacional puede definirse como un evento de baja probabilidad y alto impacto que amenaza la viabilidad de la organización, genera incertidumbre y exige decisiones rápidas (Pearson &amp; Clair, 1998). Coombs (2007, 2013) destaca además la percepción de una ruptura grave de las expectativas de los stakeholders. Desde esta perspectiva, la gestión de crisis comprende prevención, preparación, respuesta </w:t>
      </w:r>
      <w:r>
        <w:lastRenderedPageBreak/>
        <w:t>y revisión; por tanto, la crisis no concluye cuando cesa el acontecimiento inmediato, sino cuando la organización transforma la experiencia en aprendizaje y capacidad futura.</w:t>
      </w:r>
    </w:p>
    <w:p w14:paraId="6997AE6C" w14:textId="77777777" w:rsidR="008F1217" w:rsidRDefault="008042BA">
      <w:r>
        <w:t>Los modelos de Fink y Mitroff permiten interpretar la crisis como un proceso temporal. Fink distingue fases prodrómica, aguda, crónica y de resolución; Mitroff incorpora detección de señales, prevención, contención, recuperación y aprendizaje. La principal aportación para el presente estudio es la necesidad de superar una concepción puramente reactiva y articular preparación, respuesta adaptativa y aprendizaje postcrisis. La comunicación atraviesa estas fases porque permite reducir incertidumbre, coordinar acciones, proteger a los afectados y preservar o recuperar la legitimidad organizacional.</w:t>
      </w:r>
    </w:p>
    <w:p w14:paraId="7B0B66B5" w14:textId="77777777" w:rsidR="008F1217" w:rsidRDefault="008042BA">
      <w:r>
        <w:t>La Situational Crisis Communication Theory (SCCT) de Coombs constituye otro referente central. Su premisa es que la respuesta comunicacional debe guardar relación con el tipo de crisis y con el nivel de responsabilidad atribuido a la organización. Así, una crisis-víctima requiere estrategias diferentes de una crisis prevenible. Benoit, por su parte, aporta estrategias de restauración de imagen, mientras que los enfoques de renovación enfatizan aprendizaje, valores y reconstrucción. En conjunto, estos modelos proporcionan principios útiles, pero su transferencia a PYMES exige simplificación, contextualización y consideración de sus restricciones estructurales.</w:t>
      </w:r>
    </w:p>
    <w:p w14:paraId="7F702928" w14:textId="77777777" w:rsidR="008F1217" w:rsidRDefault="008042BA">
      <w:pPr>
        <w:pStyle w:val="Ttulo2"/>
      </w:pPr>
      <w:r>
        <w:t>1.3. Cultura, liderazgo y resiliencia organizacional</w:t>
      </w:r>
    </w:p>
    <w:p w14:paraId="0CE7EA08" w14:textId="77777777" w:rsidR="008F1217" w:rsidRDefault="008042BA">
      <w:r>
        <w:t>La cultura organizacional constituye una dimensión estructural del modelo propuesto porque condiciona cómo las personas interpretan los acontecimientos y cómo actúan frente a la incertidumbre. El modelo de Schein distingue artefactos, valores declarados y supuestos básicos subyacentes. Esta lectura multinivel permite comprender que los protocolos formales solo serán efectivos si existe coherencia entre lo que la organización declara y las prácticas que realmente orientan su comportamiento.</w:t>
      </w:r>
    </w:p>
    <w:p w14:paraId="3809EA2E" w14:textId="77777777" w:rsidR="008F1217" w:rsidRDefault="008042BA">
      <w:r>
        <w:lastRenderedPageBreak/>
        <w:t>El liderazgo es igualmente decisivo. En las PYMES, la centralidad del propietario o gerente puede acelerar decisiones y facilitar una comunicación cercana, pero también puede concentrar excesivamente la información y dificultar la institucionalización de procedimientos. En situaciones críticas, las decisiones, reacciones y prioridades del liderazgo transmiten señales culturales que pueden fortalecer o debilitar la confianza. Por ello, el modelo propuesto considera el liderazgo comunicacional como articulador entre cultura, decisión, vocería y respuesta adaptativa.</w:t>
      </w:r>
    </w:p>
    <w:p w14:paraId="6F69C62B" w14:textId="77777777" w:rsidR="008F1217" w:rsidRDefault="008042BA">
      <w:r>
        <w:t>La resiliencia se entiende como la capacidad de absorber impactos, adaptarse, recuperar funciones críticas y, cuando es posible, salir fortalecida de la experiencia. La literatura revisada vincula resiliencia con aprendizaje, colaboración, confianza, innovación y capacidad de improvisación. En consecuencia, el aprendizaje postcrisis no constituye una actividad accesoria: es el mecanismo mediante el cual la organización transforma una experiencia disruptiva en memoria institucional y mejora sus capacidades futuras.</w:t>
      </w:r>
    </w:p>
    <w:p w14:paraId="47E44932" w14:textId="77777777" w:rsidR="008F1217" w:rsidRDefault="008042BA">
      <w:pPr>
        <w:pStyle w:val="Ttulo2"/>
      </w:pPr>
      <w:r>
        <w:t>1.4. Particularidades de las PYMES y pertinencia territorial</w:t>
      </w:r>
    </w:p>
    <w:p w14:paraId="1BD8DA75" w14:textId="77777777" w:rsidR="008F1217" w:rsidRDefault="008042BA">
      <w:r>
        <w:t>Las PYMES no pueden ser consideradas versiones reducidas de las grandes empresas. Su estructura simple, comunicación informal, centralización en el liderazgo, escasez de recursos y proximidad con clientes y comunidades producen condiciones particulares. La literatura revisada señala que muchas PYMES carecen de departamentos especializados de comunicación, protocolos escritos, voceros entrenados y procesos sistemáticos de evaluación postcrisis. En Ecuador se han documentado, además, bajos niveles de preparación comunicacional frente a situaciones críticas (Altamirano et al., 2021; Pazmay et al., 2017).</w:t>
      </w:r>
    </w:p>
    <w:p w14:paraId="11A8BF61" w14:textId="048E823B" w:rsidR="008F1217" w:rsidRDefault="008042BA">
      <w:r>
        <w:t xml:space="preserve">No obstante, las mismas características que generan vulnerabilidad pueden convertirse en capacidades. La proximidad con los públicos, la flexibilidad, la rapidez decisional y el capital relacional permiten adaptar productos, servicios y mensajes con mayor velocidad. Las experiencias asociadas con la pandemia muestran que numerosas PYMES recurrieron a redes sociales, mensajería instantánea, comercio electrónico y comunicación directa para sostener vínculos con clientes y colaboradores. </w:t>
      </w:r>
      <w:r>
        <w:lastRenderedPageBreak/>
        <w:t>n la Península de Santa Elena, esta problemática adquiere una dimensión territorial. El estudio se concentra en PYMES de turismo, comercio, manufactura y servicios y considera como informantes a directivos, responsables de comunicación o marketing, colaboradores vinculados con experiencias de crisis y consultores empresariales. El modelo deberá, por tanto, responder a las dinámicas locales y no limitarse a reproducir esquemas diseñados para corporaciones de otros contextos.</w:t>
      </w:r>
    </w:p>
    <w:p w14:paraId="11C2ADBB" w14:textId="77777777" w:rsidR="008F1217" w:rsidRDefault="008042BA">
      <w:pPr>
        <w:pStyle w:val="Ttulo2"/>
      </w:pPr>
      <w:r>
        <w:t>1.5. Síntesis del marco conceptual y arquitectura preliminar del modelo</w:t>
      </w:r>
    </w:p>
    <w:p w14:paraId="748F88F7" w14:textId="21F63412" w:rsidR="008F1217" w:rsidRDefault="008042BA">
      <w:r>
        <w:t xml:space="preserve">La integración de los enfoques revisados permite plantear una arquitectura conceptual en la que la comunicación organizacional funciona como mecanismo transversal de articulación entre estructura, cultura, liderazgo, stakeholders y gestión de crisis. La teoría de sistemas aporta la comprensión de la PYME como sistema abierto; la perspectiva cultural explica las reglas explícitas e implícitas que condicionan la conducta; la perspectiva simbólico-interpretativa permite estudiar la construcción de sentido; y la teoría de stakeholders orienta la relación con públicos que poseen expectativas diferenciadas. </w:t>
      </w:r>
    </w:p>
    <w:p w14:paraId="4186681D" w14:textId="77777777" w:rsidR="008F1217" w:rsidRDefault="008042BA">
      <w:r>
        <w:t>La propuesta preliminar distingue tres momentos interdependientes. En la precrisis, la prioridad es desarrollar capacidad anticipatoria mediante identificación de señales, evaluación de riesgos, protocolos básicos, definición de responsabilidades, preparación de voceros y entrenamiento. En la crisis, la prioridad es asegurar rapidez con rigor: verificar información, activar la estructura de decisión, mantener una vocería coherente, comunicar con transparencia y empatía, atender simultáneamente a públicos internos y externos y monitorear la evolución del escenario. En la postcrisis, la prioridad es recuperar confianza, evaluar la respuesta, documentar lecciones y modificar protocolos. El modelo no se concibe, por tanto, como una secuencia rígida, sino como un ciclo de aprendizaje que retroalimenta la preparación futura.</w:t>
      </w:r>
    </w:p>
    <w:p w14:paraId="5C54E817" w14:textId="6EBE54E6" w:rsidR="008F1217" w:rsidRDefault="008042BA">
      <w:r>
        <w:t xml:space="preserve">La arquitectura propuesta incorpora además una dimensión de adaptabilidad. En contextos de alta incertidumbre, ningún protocolo puede anticipar todas las contingencias. La formalización debe proporcionar orientación sin impedir la capacidad de improvisación responsable. </w:t>
      </w:r>
    </w:p>
    <w:p w14:paraId="4058A61A" w14:textId="77777777" w:rsidR="008F1217" w:rsidRDefault="008042BA">
      <w:r>
        <w:lastRenderedPageBreak/>
        <w:t>Desde esta perspectiva, la resiliencia comunicacional puede conceptualizarse preliminarmente como la capacidad organizacional para producir, interpretar, coordinar y ajustar comunicaciones antes, durante y después de una disrupción, de manera que contribuya a preservar funciones críticas, confianza y capacidad de aprendizaje. Esta definición será contrastada durante el trabajo de campo. No se asume todavía una relación causal demostrada entre comunicación adaptativa y resiliencia; la investigación buscará determinar cómo se relacionan estas dimensiones en las PYMES estudiadas y bajo qué condiciones dicha relación puede sostenerse.</w:t>
      </w:r>
    </w:p>
    <w:p w14:paraId="23E914EE" w14:textId="77777777" w:rsidR="008F1217" w:rsidRDefault="008042BA">
      <w:pPr>
        <w:pStyle w:val="Ttulo2"/>
      </w:pPr>
      <w:r>
        <w:t>1.6. Rigor y delimitación del estudio en desarrollo</w:t>
      </w:r>
    </w:p>
    <w:p w14:paraId="3FD4AE00" w14:textId="77777777" w:rsidR="008F1217" w:rsidRDefault="008042BA">
      <w:r>
        <w:t>El estado actual de la investigación exige distinguir entre resultados de revisión y resultados de campo. La revisión documental permite identificar tendencias, categorías conceptuales y vacíos de investigación, pero no sustituye la observación directa de las PYMES de Santa Elena. Por ello, las afirmaciones relativas a ausencia de protocolos, niveles de preparación o efectividad de determinadas estrategias se manejan como antecedentes de la literatura y como cuestiones a contrastar empíricamente. Esta decisión fortalece la validez del estudio porque evita convertir supuestos teóricos en hallazgos locales antes de realizar la investigación de campo.</w:t>
      </w:r>
    </w:p>
    <w:p w14:paraId="5D241109" w14:textId="77777777" w:rsidR="008F1217" w:rsidRDefault="008042BA">
      <w:r>
        <w:t>La estrategia de triangulación será fundamental para esa contrastación. Las entrevistas permitirán recuperar significados, decisiones y experiencias; el análisis documental permitirá identificar evidencias organizacionales; las encuestas facilitarán describir tendencias y relaciones entre variables; y la validación por expertos permitirá valorar la coherencia del modelo. La integración de estas fuentes reducirá la dependencia de una única perspectiva y permitirá construir una explicación más robusta del fenómeno. Asimismo, la trazabilidad de la codificación cualitativa y la evaluación de confiabilidad del instrumento cuantitativo contribuirán a fortalecer la consistencia metodológica.</w:t>
      </w:r>
    </w:p>
    <w:p w14:paraId="7FA655EE" w14:textId="77777777" w:rsidR="008F1217" w:rsidRDefault="008042BA">
      <w:pPr>
        <w:pStyle w:val="Ttulo1"/>
      </w:pPr>
      <w:r>
        <w:lastRenderedPageBreak/>
        <w:t>2. OBJETIVOS</w:t>
      </w:r>
    </w:p>
    <w:p w14:paraId="2B3B860C" w14:textId="77777777" w:rsidR="008F1217" w:rsidRDefault="008042BA">
      <w:pPr>
        <w:pStyle w:val="Ttulo2"/>
      </w:pPr>
      <w:r>
        <w:t>2.1. Objetivo general</w:t>
      </w:r>
    </w:p>
    <w:p w14:paraId="25923422" w14:textId="77777777" w:rsidR="008F1217" w:rsidRDefault="008042BA">
      <w:r>
        <w:t>Diseñar una propuesta teórico-metodológica de comunicación organizacional que fortalezca la gestión de crisis corporativa en las PYMES de la Península de Santa Elena.</w:t>
      </w:r>
    </w:p>
    <w:p w14:paraId="74E6B18C" w14:textId="77777777" w:rsidR="008F1217" w:rsidRDefault="008042BA">
      <w:pPr>
        <w:pStyle w:val="Ttulo2"/>
      </w:pPr>
      <w:r>
        <w:t>2.2. Objetivos específicos</w:t>
      </w:r>
    </w:p>
    <w:p w14:paraId="513646B6" w14:textId="77777777" w:rsidR="008F1217" w:rsidRDefault="008042BA">
      <w:pPr>
        <w:pStyle w:val="Listado"/>
      </w:pPr>
      <w:r>
        <w:t>Examinar los principales enfoques teóricos y metodológicos sobre comunicación organizacional y gestión de crisis corporativa para construir un marco conceptual contextualizado.</w:t>
      </w:r>
    </w:p>
    <w:p w14:paraId="2A43A1E4" w14:textId="77777777" w:rsidR="008F1217" w:rsidRDefault="008042BA">
      <w:pPr>
        <w:pStyle w:val="Listado"/>
      </w:pPr>
      <w:r>
        <w:t>Diagnosticar el estado de la comunicación organizacional y la gestión de crisis en PYMES locales, identificando prácticas, fortalezas, debilidades y niveles de preparación.</w:t>
      </w:r>
    </w:p>
    <w:p w14:paraId="7FA65F46" w14:textId="77777777" w:rsidR="008F1217" w:rsidRDefault="008042BA">
      <w:pPr>
        <w:pStyle w:val="Listado"/>
      </w:pPr>
      <w:r>
        <w:t>Determinar los componentes teóricos y metodológicos de un modelo de comunicación organizacional adaptativa orientado al fortalecimiento de la resiliencia empresarial.</w:t>
      </w:r>
    </w:p>
    <w:p w14:paraId="2CA1EA28" w14:textId="77777777" w:rsidR="008F1217" w:rsidRDefault="008042BA">
      <w:pPr>
        <w:pStyle w:val="Listado"/>
      </w:pPr>
      <w:r>
        <w:t>Validar la propuesta mediante estudios de caso, simulaciones, escenarios aplicados y/o juicio de expertos, valorando su pertinencia, coherencia y aplicabilidad.</w:t>
      </w:r>
    </w:p>
    <w:p w14:paraId="5AA0BF65" w14:textId="77777777" w:rsidR="008F1217" w:rsidRDefault="008042BA">
      <w:pPr>
        <w:pStyle w:val="Ttulo1"/>
      </w:pPr>
      <w:r>
        <w:t>3. METODOLOGÍA</w:t>
      </w:r>
    </w:p>
    <w:p w14:paraId="63DB6EBD" w14:textId="77777777" w:rsidR="008F1217" w:rsidRDefault="008042BA">
      <w:r>
        <w:t>La investigación se desarrolla bajo un enfoque mixto con predominancia cualitativa y diseño secuencial exploratorio. La elección responde a la complejidad del objeto: se requiere comprender significados, prácticas y experiencias de actores organizacionales y, posteriormente, contrastar y operacionalizar dimensiones mediante procedimientos cuantitativos. El estudio de caso múltiple y la teoría fundamentada constituyen el eje de exploración inicial, mientras que la encuesta permitirá ampliar la observación y construir indicadores comparables.</w:t>
      </w:r>
    </w:p>
    <w:p w14:paraId="74343BD2" w14:textId="77777777" w:rsidR="008F1217" w:rsidRDefault="008042BA">
      <w:r>
        <w:lastRenderedPageBreak/>
        <w:t>La primera fase contempla ocho PYMES seleccionadas mediante muestreo intencional y por criterios. Se prevé aplicar entrevistas semiestructuradas a gerentes y responsables de comunicación, complementadas con análisis documental de memorias, protocolos y registros disponibles. El procesamiento cualitativo seguirá las fases de codificación abierta, axial y selectiva, con apoyo de software como Atlas.ti o NVivo para asegurar organización y trazabilidad.</w:t>
      </w:r>
    </w:p>
    <w:p w14:paraId="12E7EE76" w14:textId="77777777" w:rsidR="008F1217" w:rsidRDefault="008042BA">
      <w:r>
        <w:t>La segunda fase contempla un estudio descriptivo-correlacional mediante cuestionarios tipo Likert dirigidos a una muestra estimada de 50 a 100 PYMES. La consistencia interna del instrumento se prevé evaluar mediante Alfa de Cronbach y las relaciones entre dimensiones podrán explorarse mediante correlaciones de Pearson o Spearman, según las características de los datos. Esta fase será ejecutada como contraste empírico y no se presenta en este capítulo como evidencia ya obtenida.</w:t>
      </w:r>
    </w:p>
    <w:p w14:paraId="66B3F26A" w14:textId="77777777" w:rsidR="008F1217" w:rsidRDefault="008042BA">
      <w:r>
        <w:t>La tercera fase integrará los hallazgos cualitativos y cuantitativos mediante triangulación de datos, técnicas y fuentes. La construcción del modelo se organizará en tres dimensiones temporales: precrisis, crisis y postcrisis. La cuarta fase contempla validación técnica mediante juicio de expertos tipo Delphi y/o grupos focales con académicos y actores gremiales, evaluando pertinencia, coherencia, aplicabilidad y potencial impacto.</w:t>
      </w:r>
    </w:p>
    <w:p w14:paraId="2067CCA3" w14:textId="77777777" w:rsidR="008F1217" w:rsidRDefault="008042BA">
      <w:r>
        <w:t>La población objetivo corresponde a PYMES formalmente constituidas en la Península de Santa Elena, con énfasis en turismo, comercio, manufactura y servicios. Los criterios de inclusión de los casos comprenden: constitución legal como PYME; haber experimentado al menos una crisis significativa; disponer de algún registro o memoria de respuesta; y contar con acceso a actores clave. La estrategia metodológica reconoce desde el inicio que el estudio está en desarrollo y que la generalización estadística no constituye su propósito principal.</w:t>
      </w:r>
    </w:p>
    <w:p w14:paraId="492253EB" w14:textId="1CC49FCC" w:rsidR="008F1217" w:rsidRDefault="008042BA">
      <w:pPr>
        <w:pStyle w:val="Ttulo1"/>
      </w:pPr>
      <w:r>
        <w:t xml:space="preserve">4. RESULTADOS </w:t>
      </w:r>
    </w:p>
    <w:p w14:paraId="44FA3BE2" w14:textId="77777777" w:rsidR="008F1217" w:rsidRDefault="008042BA">
      <w:r>
        <w:t xml:space="preserve">La revisión teórico-documental realizada permitió identificar una convergencia entre comunicación organizacional, gestión de crisis, cultura, </w:t>
      </w:r>
      <w:r>
        <w:lastRenderedPageBreak/>
        <w:t>liderazgo y resiliencia. De los estudios revisados en el borrador, se seleccionaron 21 investigaciones latinoamericanas, principalmente de Colombia, Brasil, México y Chile, para reconocer tendencias aplicables a PYMES. Los resultados de esta revisión sugieren que los modelos con mayor utilidad para el contexto estudiado son aquellos que articulan anticipación, rapidez, transparencia, participación interna, uso estratégico de tecnologías digitales y aprendizaje postcrisis.</w:t>
      </w:r>
    </w:p>
    <w:p w14:paraId="4ED81AF4" w14:textId="77777777" w:rsidR="008F1217" w:rsidRDefault="008042BA">
      <w:r>
        <w:t>Un primer resultado preliminar es la identificación de una brecha de formalización. La literatura revisada señala que numerosas PYMES carecen de planes de comunicación de crisis, protocolos, voceros entrenados y mecanismos sistemáticos de evaluación posterior. Esta condición desplaza la gestión hacia respuestas improvisadas y puede generar contradicciones, silencios prolongados o pérdida de control narrativo. La ausencia de formalización, sin embargo, no debe interpretarse automáticamente como ausencia de capacidades: la flexibilidad y las relaciones de proximidad pueden constituir recursos estratégicos si se integran en procedimientos mínimos.</w:t>
      </w:r>
    </w:p>
    <w:p w14:paraId="538ED1EA" w14:textId="77777777" w:rsidR="008F1217" w:rsidRDefault="008042BA">
      <w:r>
        <w:t>Un segundo resultado se relaciona con la centralidad de la comunicación interna. La evidencia revisada muestra que informar oportunamente a colaboradores, explicar decisiones, escuchar retroalimentación y mantener coherencia entre comunicación interna y externa contribuyen a disminuir incertidumbre y fortalecer la coordinación. En consecuencia, el modelo en construcción no se limitará a la comunicación pública de la crisis; incorporará la organización interna como espacio primario de construcción de confianza y capacidad de respuesta.</w:t>
      </w:r>
    </w:p>
    <w:p w14:paraId="2917DE98" w14:textId="77777777" w:rsidR="008F1217" w:rsidRDefault="008042BA">
      <w:r>
        <w:t>Un tercer resultado corresponde al papel de las tecnologías digitales. Redes sociales, sitios web y mensajería instantánea aparecen como canales de bajo costo y alta velocidad particularmente relevantes para PYMES. Su eficacia, no obstante, depende de la existencia de una estrategia: monitoreo, actualización, coherencia entre plataformas, identificación de rumores y adaptación del contenido a las características de cada público. La tecnología, por sí misma, no constituye una estrategia de crisis.</w:t>
      </w:r>
    </w:p>
    <w:p w14:paraId="13C325DE" w14:textId="3E330C42" w:rsidR="008F1217" w:rsidRDefault="008042BA">
      <w:r>
        <w:lastRenderedPageBreak/>
        <w:t>Finalmente, la revisión permite proponer tres dimensiones preliminares para el modelo: preparación y anticipación en la precrisis; respuesta adaptativa y liderazgo durante la crisis; y aprendizaje y resiliencia en la postcrisis. Estas dimensiones sintetizan los aportes de Fink, Mitroff, Coombs, Schein y los estudios recientes sobre PYMES y resiliencia, y servirán como categorías iniciales para el trabajo empírico posterior.</w:t>
      </w:r>
    </w:p>
    <w:p w14:paraId="50A3C75C" w14:textId="57D37AAF" w:rsidR="006554EF" w:rsidRPr="006554EF" w:rsidRDefault="006554EF">
      <w:pPr>
        <w:rPr>
          <w:i/>
        </w:rPr>
      </w:pPr>
      <w:bookmarkStart w:id="0" w:name="_GoBack"/>
      <w:bookmarkEnd w:id="0"/>
      <w:r w:rsidRPr="006554EF">
        <w:rPr>
          <w:b/>
        </w:rPr>
        <w:t xml:space="preserve">TABLA </w:t>
      </w:r>
      <w:r>
        <w:rPr>
          <w:b/>
        </w:rPr>
        <w:t>1</w:t>
      </w:r>
      <w:r w:rsidRPr="006554EF">
        <w:rPr>
          <w:b/>
        </w:rPr>
        <w:t>.</w:t>
      </w:r>
      <w:r>
        <w:t xml:space="preserve"> </w:t>
      </w:r>
      <w:r w:rsidRPr="006554EF">
        <w:rPr>
          <w:i/>
        </w:rPr>
        <w:t>Dimensiones preliminares del modelo de comunicación organizacional adaptativa</w:t>
      </w:r>
    </w:p>
    <w:tbl>
      <w:tblPr>
        <w:tblStyle w:val="Tablaconcuadrcula"/>
        <w:tblW w:w="0" w:type="auto"/>
        <w:jc w:val="center"/>
        <w:tblLook w:val="04A0" w:firstRow="1" w:lastRow="0" w:firstColumn="1" w:lastColumn="0" w:noHBand="0" w:noVBand="1"/>
      </w:tblPr>
      <w:tblGrid>
        <w:gridCol w:w="1641"/>
        <w:gridCol w:w="1642"/>
        <w:gridCol w:w="1642"/>
        <w:gridCol w:w="1642"/>
      </w:tblGrid>
      <w:tr w:rsidR="008F1217" w14:paraId="639005CD" w14:textId="77777777">
        <w:trPr>
          <w:jc w:val="center"/>
        </w:trPr>
        <w:tc>
          <w:tcPr>
            <w:tcW w:w="1644" w:type="dxa"/>
          </w:tcPr>
          <w:p w14:paraId="4090756A" w14:textId="77777777" w:rsidR="008F1217" w:rsidRDefault="008042BA" w:rsidP="006554EF">
            <w:pPr>
              <w:jc w:val="center"/>
            </w:pPr>
            <w:r>
              <w:rPr>
                <w:rFonts w:ascii="Arial Narrow" w:hAnsi="Arial Narrow"/>
                <w:sz w:val="16"/>
              </w:rPr>
              <w:t>Dimensión</w:t>
            </w:r>
          </w:p>
        </w:tc>
        <w:tc>
          <w:tcPr>
            <w:tcW w:w="1644" w:type="dxa"/>
          </w:tcPr>
          <w:p w14:paraId="00F52D17" w14:textId="77777777" w:rsidR="008F1217" w:rsidRDefault="008042BA" w:rsidP="006554EF">
            <w:pPr>
              <w:jc w:val="center"/>
            </w:pPr>
            <w:r>
              <w:rPr>
                <w:rFonts w:ascii="Arial Narrow" w:hAnsi="Arial Narrow"/>
                <w:sz w:val="16"/>
              </w:rPr>
              <w:t>Categoría</w:t>
            </w:r>
          </w:p>
        </w:tc>
        <w:tc>
          <w:tcPr>
            <w:tcW w:w="1644" w:type="dxa"/>
          </w:tcPr>
          <w:p w14:paraId="58CF8D11" w14:textId="77777777" w:rsidR="008F1217" w:rsidRDefault="008042BA" w:rsidP="006554EF">
            <w:pPr>
              <w:jc w:val="center"/>
            </w:pPr>
            <w:r>
              <w:rPr>
                <w:rFonts w:ascii="Arial Narrow" w:hAnsi="Arial Narrow"/>
                <w:sz w:val="16"/>
              </w:rPr>
              <w:t>Variable preliminar</w:t>
            </w:r>
          </w:p>
        </w:tc>
        <w:tc>
          <w:tcPr>
            <w:tcW w:w="1644" w:type="dxa"/>
          </w:tcPr>
          <w:p w14:paraId="2D63AA7B" w14:textId="77777777" w:rsidR="008F1217" w:rsidRDefault="008042BA" w:rsidP="006554EF">
            <w:pPr>
              <w:jc w:val="center"/>
            </w:pPr>
            <w:r>
              <w:rPr>
                <w:rFonts w:ascii="Arial Narrow" w:hAnsi="Arial Narrow"/>
                <w:sz w:val="16"/>
              </w:rPr>
              <w:t>Indicador sugerido</w:t>
            </w:r>
          </w:p>
        </w:tc>
      </w:tr>
      <w:tr w:rsidR="008F1217" w14:paraId="2D59A3F4" w14:textId="77777777">
        <w:trPr>
          <w:jc w:val="center"/>
        </w:trPr>
        <w:tc>
          <w:tcPr>
            <w:tcW w:w="1644" w:type="dxa"/>
            <w:vAlign w:val="center"/>
          </w:tcPr>
          <w:p w14:paraId="273B7080" w14:textId="77777777" w:rsidR="008F1217" w:rsidRDefault="008042BA">
            <w:r>
              <w:rPr>
                <w:rFonts w:ascii="Arial Narrow" w:hAnsi="Arial Narrow"/>
                <w:sz w:val="16"/>
              </w:rPr>
              <w:t>Precrisis</w:t>
            </w:r>
          </w:p>
        </w:tc>
        <w:tc>
          <w:tcPr>
            <w:tcW w:w="1644" w:type="dxa"/>
            <w:vAlign w:val="center"/>
          </w:tcPr>
          <w:p w14:paraId="2E57AEF9" w14:textId="77777777" w:rsidR="008F1217" w:rsidRDefault="008042BA">
            <w:r>
              <w:rPr>
                <w:rFonts w:ascii="Arial Narrow" w:hAnsi="Arial Narrow"/>
                <w:sz w:val="16"/>
              </w:rPr>
              <w:t>Preparación y anticipación</w:t>
            </w:r>
          </w:p>
        </w:tc>
        <w:tc>
          <w:tcPr>
            <w:tcW w:w="1644" w:type="dxa"/>
            <w:vAlign w:val="center"/>
          </w:tcPr>
          <w:p w14:paraId="74E06371" w14:textId="77777777" w:rsidR="008F1217" w:rsidRDefault="008042BA">
            <w:r>
              <w:rPr>
                <w:rFonts w:ascii="Arial Narrow" w:hAnsi="Arial Narrow"/>
                <w:sz w:val="16"/>
              </w:rPr>
              <w:t>Nivel de formalización preventiva</w:t>
            </w:r>
          </w:p>
        </w:tc>
        <w:tc>
          <w:tcPr>
            <w:tcW w:w="1644" w:type="dxa"/>
            <w:vAlign w:val="center"/>
          </w:tcPr>
          <w:p w14:paraId="5F53CFD9" w14:textId="77777777" w:rsidR="008F1217" w:rsidRDefault="008042BA">
            <w:r>
              <w:rPr>
                <w:rFonts w:ascii="Arial Narrow" w:hAnsi="Arial Narrow"/>
                <w:sz w:val="16"/>
              </w:rPr>
              <w:t>Existencia de protocolos, manuales y mecanismos de alerta</w:t>
            </w:r>
          </w:p>
        </w:tc>
      </w:tr>
      <w:tr w:rsidR="008F1217" w14:paraId="50A1E67C" w14:textId="77777777">
        <w:trPr>
          <w:jc w:val="center"/>
        </w:trPr>
        <w:tc>
          <w:tcPr>
            <w:tcW w:w="1644" w:type="dxa"/>
            <w:vAlign w:val="center"/>
          </w:tcPr>
          <w:p w14:paraId="62F3A599" w14:textId="77777777" w:rsidR="008F1217" w:rsidRDefault="008042BA">
            <w:r>
              <w:rPr>
                <w:rFonts w:ascii="Arial Narrow" w:hAnsi="Arial Narrow"/>
                <w:sz w:val="16"/>
              </w:rPr>
              <w:t>Crisis</w:t>
            </w:r>
          </w:p>
        </w:tc>
        <w:tc>
          <w:tcPr>
            <w:tcW w:w="1644" w:type="dxa"/>
            <w:vAlign w:val="center"/>
          </w:tcPr>
          <w:p w14:paraId="3824D63E" w14:textId="77777777" w:rsidR="008F1217" w:rsidRDefault="008042BA">
            <w:r>
              <w:rPr>
                <w:rFonts w:ascii="Arial Narrow" w:hAnsi="Arial Narrow"/>
                <w:sz w:val="16"/>
              </w:rPr>
              <w:t>Respuesta adaptativa y liderazgo</w:t>
            </w:r>
          </w:p>
        </w:tc>
        <w:tc>
          <w:tcPr>
            <w:tcW w:w="1644" w:type="dxa"/>
            <w:vAlign w:val="center"/>
          </w:tcPr>
          <w:p w14:paraId="783BE56E" w14:textId="77777777" w:rsidR="008F1217" w:rsidRDefault="008042BA">
            <w:r>
              <w:rPr>
                <w:rFonts w:ascii="Arial Narrow" w:hAnsi="Arial Narrow"/>
                <w:sz w:val="16"/>
              </w:rPr>
              <w:t>Eficacia de la respuesta inmediata</w:t>
            </w:r>
          </w:p>
        </w:tc>
        <w:tc>
          <w:tcPr>
            <w:tcW w:w="1644" w:type="dxa"/>
            <w:vAlign w:val="center"/>
          </w:tcPr>
          <w:p w14:paraId="2CDDB628" w14:textId="77777777" w:rsidR="008F1217" w:rsidRDefault="008042BA">
            <w:r>
              <w:rPr>
                <w:rFonts w:ascii="Arial Narrow" w:hAnsi="Arial Narrow"/>
                <w:sz w:val="16"/>
              </w:rPr>
              <w:t>Tiempo de reacción, coherencia, empatía y coordinación del mensaje</w:t>
            </w:r>
          </w:p>
        </w:tc>
      </w:tr>
      <w:tr w:rsidR="008F1217" w14:paraId="0163D0AF" w14:textId="77777777">
        <w:trPr>
          <w:jc w:val="center"/>
        </w:trPr>
        <w:tc>
          <w:tcPr>
            <w:tcW w:w="1644" w:type="dxa"/>
            <w:vAlign w:val="center"/>
          </w:tcPr>
          <w:p w14:paraId="6E140799" w14:textId="77777777" w:rsidR="008F1217" w:rsidRDefault="008042BA">
            <w:r>
              <w:rPr>
                <w:rFonts w:ascii="Arial Narrow" w:hAnsi="Arial Narrow"/>
                <w:sz w:val="16"/>
              </w:rPr>
              <w:t>Postcrisis</w:t>
            </w:r>
          </w:p>
        </w:tc>
        <w:tc>
          <w:tcPr>
            <w:tcW w:w="1644" w:type="dxa"/>
            <w:vAlign w:val="center"/>
          </w:tcPr>
          <w:p w14:paraId="11746FA5" w14:textId="77777777" w:rsidR="008F1217" w:rsidRDefault="008042BA">
            <w:r>
              <w:rPr>
                <w:rFonts w:ascii="Arial Narrow" w:hAnsi="Arial Narrow"/>
                <w:sz w:val="16"/>
              </w:rPr>
              <w:t>Aprendizaje y resiliencia</w:t>
            </w:r>
          </w:p>
        </w:tc>
        <w:tc>
          <w:tcPr>
            <w:tcW w:w="1644" w:type="dxa"/>
            <w:vAlign w:val="center"/>
          </w:tcPr>
          <w:p w14:paraId="3AEBD88B" w14:textId="77777777" w:rsidR="008F1217" w:rsidRDefault="008042BA">
            <w:r>
              <w:rPr>
                <w:rFonts w:ascii="Arial Narrow" w:hAnsi="Arial Narrow"/>
                <w:sz w:val="16"/>
              </w:rPr>
              <w:t>Grado de recuperación institucional</w:t>
            </w:r>
          </w:p>
        </w:tc>
        <w:tc>
          <w:tcPr>
            <w:tcW w:w="1644" w:type="dxa"/>
            <w:vAlign w:val="center"/>
          </w:tcPr>
          <w:p w14:paraId="04DF30E7" w14:textId="77777777" w:rsidR="008F1217" w:rsidRDefault="008042BA">
            <w:r>
              <w:rPr>
                <w:rFonts w:ascii="Arial Narrow" w:hAnsi="Arial Narrow"/>
                <w:sz w:val="16"/>
              </w:rPr>
              <w:t>Incorporación de lecciones y actualización de prácticas</w:t>
            </w:r>
          </w:p>
        </w:tc>
      </w:tr>
    </w:tbl>
    <w:p w14:paraId="6D4976FA" w14:textId="26DA5060" w:rsidR="008F1217" w:rsidRDefault="008042BA">
      <w:pPr>
        <w:pStyle w:val="Fuente"/>
      </w:pPr>
      <w:r>
        <w:t>Fuente: elaboración propia</w:t>
      </w:r>
    </w:p>
    <w:p w14:paraId="366657DF" w14:textId="77777777" w:rsidR="008F1217" w:rsidRDefault="008042BA">
      <w:pPr>
        <w:pStyle w:val="Ttulo1"/>
      </w:pPr>
      <w:r>
        <w:t>5. DISCUSIÓN</w:t>
      </w:r>
    </w:p>
    <w:p w14:paraId="0F45DF8E" w14:textId="77777777" w:rsidR="008F1217" w:rsidRDefault="008042BA">
      <w:r>
        <w:t>Los resultados preliminares permiten sostener que la principal tensión teórica no reside en la ausencia de modelos de gestión de crisis, sino en su insuficiente contextualización para organizaciones de menor escala. La SCCT aporta criterios para seleccionar respuestas según atribución de responsabilidad; Fink aporta una lectura temporal de la crisis; Mitroff incorpora prevención y aprendizaje; y Schein permite comprender el sustrato cultural que condiciona las conductas. Sin embargo, ninguno de estos enfoques, considerado aisladamente, explica de manera suficiente las restricciones de recursos, la centralización del liderazgo y la proximidad comunitaria características de las PYMES de la Península de Santa Elena.</w:t>
      </w:r>
    </w:p>
    <w:p w14:paraId="069E0063" w14:textId="77777777" w:rsidR="008F1217" w:rsidRDefault="008042BA">
      <w:r>
        <w:lastRenderedPageBreak/>
        <w:t>Esta constatación conduce a una discusión central: el modelo requerido no debería ser una reproducción simplificada de los modelos corporativos, sino una arquitectura adaptativa de mínima complejidad y alta capacidad de respuesta. La literatura sobre PYMES evidencia que la informalidad puede ser una fortaleza para reaccionar rápidamente, pero se transforma en vulnerabilidad cuando no existen responsabilidades, canales y criterios previamente definidos. El desafío científico consiste, por tanto, en convertir capacidades informales existentes en capacidades organizacionales trazables sin imponer estructuras burocráticas incompatibles con el tamaño de las empresas.</w:t>
      </w:r>
    </w:p>
    <w:p w14:paraId="76819979" w14:textId="77777777" w:rsidR="008F1217" w:rsidRDefault="008042BA">
      <w:r>
        <w:t>La cultura organizacional aparece como mecanismo mediador. Una organización puede disponer de un protocolo formal y, aun así, responder deficientemente si predomina una cultura de ocultamiento, temor o centralización extrema. Por el contrario, una cultura de confianza, apertura, aprendizaje y colaboración puede facilitar respuestas adaptativas incluso cuando los recursos son limitados. Esto coincide con la perspectiva de Schein y con estudios recientes que relacionan cultura, resiliencia y capacidad de respuesta en PYMES. En consecuencia, la comunicación de crisis debe ser entendida como una práctica cultural, no solamente como un conjunto de mensajes predefinidos.</w:t>
      </w:r>
    </w:p>
    <w:p w14:paraId="64E9AA0C" w14:textId="5F7B373A" w:rsidR="008F1217" w:rsidRDefault="008042BA">
      <w:r>
        <w:t xml:space="preserve">Otro punto de discusión es la relación entre comunicación interna y externa. La evidencia revisada cuestiona una separación rígida entre ambas dimensiones: los colaboradores son simultáneamente destinatarios, intérpretes y potenciales multiplicadores del discurso organizacional. Cuando la información interna contradice la comunicación pública, la credibilidad se deteriora; cuando existe alineación, los trabajadores pueden contribuir a estabilizar la relación con clientes y comunidad. </w:t>
      </w:r>
    </w:p>
    <w:p w14:paraId="732D6832" w14:textId="20E0ADA7" w:rsidR="008F1217" w:rsidRDefault="008042BA">
      <w:r>
        <w:t>La dimensión digital introduce una transformación adicional. La velocidad de circulación de información reduce el margen temporal para decidir, pero también amplía la posibilidad de interacción directa con públicos locales. En PYMES, canales como WhatsApp, Facebook e Instagram pueden cumplir funciones de información, escucha y contención sin requerir grandes inversiones</w:t>
      </w:r>
      <w:r w:rsidR="00171829">
        <w:t>.</w:t>
      </w:r>
    </w:p>
    <w:p w14:paraId="30033E33" w14:textId="77777777" w:rsidR="008F1217" w:rsidRDefault="008042BA">
      <w:r>
        <w:lastRenderedPageBreak/>
        <w:t>Desde una perspectiva territorial, el modelo adquiere pertinencia porque las PYMES de Santa Elena mantienen relaciones estrechas con comunidades, trabajadores, proveedores, clientes y actores institucionales. Esta proximidad puede constituir capital relacional durante una crisis, pero también hace que un error comunicacional tenga consecuencias reputacionales inmediatas. La propuesta, por tanto, deberá articular una lógica de gobernanza comunicacional situada, en la que la empresa sea concebida como parte de un ecosistema territorial y no como una unidad aislada.</w:t>
      </w:r>
    </w:p>
    <w:p w14:paraId="07760412" w14:textId="77777777" w:rsidR="008F1217" w:rsidRDefault="008042BA">
      <w:r>
        <w:t>Debe señalarse una limitación importante: los resultados aquí presentados son preliminares y proceden de la revisión documental y de la construcción metodológica. Aún no corresponde afirmar que el modelo incrementa efectivamente la resiliencia de las PYMES, pues dicha relación deberá ser examinada mediante el trabajo de campo, la triangulación y la validación. Esta cautela metodológica no debilita la propuesta; por el contrario, delimita con precisión el alcance de la evidencia disponible y preserva la integridad científica del estudio en desarrollo.</w:t>
      </w:r>
    </w:p>
    <w:p w14:paraId="5586DC56" w14:textId="77777777" w:rsidR="008F1217" w:rsidRDefault="008042BA">
      <w:pPr>
        <w:pStyle w:val="Ttulo1"/>
      </w:pPr>
      <w:r>
        <w:t>6. CONCLUSIONES</w:t>
      </w:r>
    </w:p>
    <w:p w14:paraId="31BFB91E" w14:textId="77777777" w:rsidR="008F1217" w:rsidRDefault="008042BA">
      <w:r>
        <w:t>La revisión desarrollada permite concluir, de manera preliminar, que la comunicación organizacional constituye un componente estratégico de la gestión de crisis en las PYMES y no una función exclusivamente informativa o promocional. Su valor radica en articular anticipación, coordinación, liderazgo, relación con stakeholders, reputación, aprendizaje y continuidad organizacional.</w:t>
      </w:r>
    </w:p>
    <w:p w14:paraId="232D80A1" w14:textId="66729DB5" w:rsidR="008F1217" w:rsidRDefault="008042BA">
      <w:r>
        <w:t xml:space="preserve">El análisis teórico evidencia la necesidad de integrar diferentes perspectivas. Los modelos sistémicos explican la interacción organización-entorno; los enfoques culturales permiten comprender valores y supuestos; la perspectiva simbólico-interpretativa aporta la construcción de sentido; y los modelos de crisis ofrecen criterios para anticipar, responder y aprender. </w:t>
      </w:r>
    </w:p>
    <w:p w14:paraId="23AC53F7" w14:textId="77777777" w:rsidR="008F1217" w:rsidRDefault="008042BA">
      <w:r>
        <w:t>Las PYMES presentan una condición dual: poseen limitaciones de recursos, baja formalización y alta dependencia del liderazgo, pero simul</w:t>
      </w:r>
      <w:r>
        <w:lastRenderedPageBreak/>
        <w:t>táneamente cuentan con flexibilidad, cercanía y capacidad de adaptación. El modelo deberá convertir estas características en capacidades de resiliencia mediante protocolos sencillos, vocería definida, comunicación interna integrada, monitoreo digital y mecanismos de aprendizaje.</w:t>
      </w:r>
    </w:p>
    <w:p w14:paraId="251DFC67" w14:textId="15029B44" w:rsidR="008F1217" w:rsidRDefault="008042BA">
      <w:r>
        <w:t xml:space="preserve">Las dimensiones preliminares de precrisis, crisis y postcrisis ofrecen una estructura operativa coherente con la literatura revisada. La precrisis deberá priorizar preparación y anticipación; la crisis, respuesta adaptativa, liderazgo y coherencia; y la postcrisis, recuperación, evaluación y memoria organizacional. </w:t>
      </w:r>
    </w:p>
    <w:p w14:paraId="0A68D4D0" w14:textId="77777777" w:rsidR="008F1217" w:rsidRDefault="008042BA">
      <w:r>
        <w:t>La investigación se encuentra en desarrollo y, por tanto, la principal conclusión científica en esta etapa es de carácter propositivo: existe una base teórica suficiente para construir y posteriormente validar un modelo de comunicación organizacional adaptativa orientado a PYMES. La siguiente fase deberá comprobar su pertinencia en organizaciones concretas del territorio, contrastar las categorías emergentes y determinar en qué condiciones la comunicación adaptativa puede contribuir efectivamente a la resiliencia empresarial.</w:t>
      </w:r>
    </w:p>
    <w:p w14:paraId="72B8D76C" w14:textId="77777777" w:rsidR="008F1217" w:rsidRDefault="008042BA">
      <w:pPr>
        <w:pStyle w:val="Ttulo1"/>
      </w:pPr>
      <w:r>
        <w:t>7. AGRADECIMIENTOS/APOYOS</w:t>
      </w:r>
    </w:p>
    <w:p w14:paraId="382D3C5A" w14:textId="77777777" w:rsidR="008F1217" w:rsidRDefault="008042BA">
      <w:r>
        <w:t>El autor agradece a la Universidad Católica de Santiago de Guayaquil y a los actores del ecosistema empresarial de la Península de Santa Elena cuya futura participación permitirá avanzar en la fase empírica y en la validación del modelo propuesto.</w:t>
      </w:r>
    </w:p>
    <w:p w14:paraId="3A7114C0" w14:textId="77777777" w:rsidR="008F1217" w:rsidRDefault="008042BA">
      <w:pPr>
        <w:pStyle w:val="Ttulo1"/>
      </w:pPr>
      <w:r>
        <w:t>8. REFERENCIAS</w:t>
      </w:r>
    </w:p>
    <w:p w14:paraId="1F35CB3D" w14:textId="77777777" w:rsidR="008F1217" w:rsidRDefault="008042BA">
      <w:pPr>
        <w:pStyle w:val="Bibliografa"/>
      </w:pPr>
      <w:r>
        <w:t>Altamirano, V., Paladines, F., &amp; Puertas, R. (2021). Comunicación preventiva en las instituciones privadas del Ecuador. III XESCOM Simposio Internacional sobre Gestión de la Comunicación.</w:t>
      </w:r>
    </w:p>
    <w:p w14:paraId="6DC2B38E" w14:textId="77777777" w:rsidR="008F1217" w:rsidRPr="00055595" w:rsidRDefault="008042BA">
      <w:pPr>
        <w:pStyle w:val="Bibliografa"/>
        <w:rPr>
          <w:lang w:val="en-US"/>
        </w:rPr>
      </w:pPr>
      <w:r>
        <w:t xml:space="preserve">Barrios, O., Vargas, J., Vallejo, V., Rubio, A., &amp; Casas, R. (2023). La resiliencia organizacional como factor para la adaptación integral ante los cambios del entorno. </w:t>
      </w:r>
      <w:proofErr w:type="spellStart"/>
      <w:r w:rsidRPr="00055595">
        <w:rPr>
          <w:lang w:val="en-US"/>
        </w:rPr>
        <w:t>Multidisciplinas</w:t>
      </w:r>
      <w:proofErr w:type="spellEnd"/>
      <w:r w:rsidRPr="00055595">
        <w:rPr>
          <w:lang w:val="en-US"/>
        </w:rPr>
        <w:t xml:space="preserve"> de la </w:t>
      </w:r>
      <w:proofErr w:type="spellStart"/>
      <w:r w:rsidRPr="00055595">
        <w:rPr>
          <w:lang w:val="en-US"/>
        </w:rPr>
        <w:t>Ingeniería</w:t>
      </w:r>
      <w:proofErr w:type="spellEnd"/>
      <w:r w:rsidRPr="00055595">
        <w:rPr>
          <w:lang w:val="en-US"/>
        </w:rPr>
        <w:t>, 2(2), 229–237.</w:t>
      </w:r>
    </w:p>
    <w:p w14:paraId="616F4AF7" w14:textId="77777777" w:rsidR="008F1217" w:rsidRPr="00055595" w:rsidRDefault="008042BA">
      <w:pPr>
        <w:pStyle w:val="Bibliografa"/>
        <w:rPr>
          <w:lang w:val="en-US"/>
        </w:rPr>
      </w:pPr>
      <w:r w:rsidRPr="00055595">
        <w:rPr>
          <w:lang w:val="en-US"/>
        </w:rPr>
        <w:t>Benoit, W. L. (1997). Image repair discourse and crisis communication. Public Relations Review, 23(2), 177–186.</w:t>
      </w:r>
    </w:p>
    <w:p w14:paraId="059BD3A7" w14:textId="77777777" w:rsidR="008F1217" w:rsidRDefault="008042BA">
      <w:pPr>
        <w:pStyle w:val="Bibliografa"/>
      </w:pPr>
      <w:r w:rsidRPr="00055595">
        <w:rPr>
          <w:lang w:val="en-US"/>
        </w:rPr>
        <w:lastRenderedPageBreak/>
        <w:t xml:space="preserve">Coombs, W. T. (2007). Protecting organization reputations during a crisis: The development and application of situational crisis communication theory. </w:t>
      </w:r>
      <w:proofErr w:type="spellStart"/>
      <w:r>
        <w:t>Corporate</w:t>
      </w:r>
      <w:proofErr w:type="spellEnd"/>
      <w:r>
        <w:t xml:space="preserve"> </w:t>
      </w:r>
      <w:proofErr w:type="spellStart"/>
      <w:r>
        <w:t>Reputation</w:t>
      </w:r>
      <w:proofErr w:type="spellEnd"/>
      <w:r>
        <w:t xml:space="preserve"> </w:t>
      </w:r>
      <w:proofErr w:type="spellStart"/>
      <w:r>
        <w:t>Review</w:t>
      </w:r>
      <w:proofErr w:type="spellEnd"/>
      <w:r>
        <w:t>, 10(3), 163–176.</w:t>
      </w:r>
    </w:p>
    <w:p w14:paraId="4613730D" w14:textId="77777777" w:rsidR="008F1217" w:rsidRPr="00055595" w:rsidRDefault="008042BA">
      <w:pPr>
        <w:pStyle w:val="Bibliografa"/>
        <w:rPr>
          <w:lang w:val="en-US"/>
        </w:rPr>
      </w:pPr>
      <w:r>
        <w:t xml:space="preserve">Coombs, W. T. (2013). Teoría situacional de la crisis: Teoría de la comunicación de crisis situacional y reputación corporativa. </w:t>
      </w:r>
      <w:proofErr w:type="spellStart"/>
      <w:r w:rsidRPr="00055595">
        <w:rPr>
          <w:lang w:val="en-US"/>
        </w:rPr>
        <w:t>En</w:t>
      </w:r>
      <w:proofErr w:type="spellEnd"/>
      <w:r w:rsidRPr="00055595">
        <w:rPr>
          <w:lang w:val="en-US"/>
        </w:rPr>
        <w:t xml:space="preserve"> </w:t>
      </w:r>
      <w:proofErr w:type="gramStart"/>
      <w:r w:rsidRPr="00055595">
        <w:rPr>
          <w:lang w:val="en-US"/>
        </w:rPr>
        <w:t>The</w:t>
      </w:r>
      <w:proofErr w:type="gramEnd"/>
      <w:r w:rsidRPr="00055595">
        <w:rPr>
          <w:lang w:val="en-US"/>
        </w:rPr>
        <w:t xml:space="preserve"> handbook of communication and corporate reputation (pp. 262–278). Texas A&amp;M University.</w:t>
      </w:r>
    </w:p>
    <w:p w14:paraId="73319B34" w14:textId="77777777" w:rsidR="008F1217" w:rsidRDefault="008042BA">
      <w:pPr>
        <w:pStyle w:val="Bibliografa"/>
      </w:pPr>
      <w:r>
        <w:t>Contreras, O., &amp; Garibay, N. (2020). Comunicación organizacional: Historia, desarrollo y perspectivas de un concepto en constante construcción en América Latina. Inmediaciones de la Comunicación, 15(2), 1–15.</w:t>
      </w:r>
    </w:p>
    <w:p w14:paraId="511BFFCB" w14:textId="77777777" w:rsidR="008F1217" w:rsidRDefault="008042BA">
      <w:pPr>
        <w:pStyle w:val="Bibliografa"/>
      </w:pPr>
      <w:r>
        <w:t>Díaz, K., Jarrín, M., Enderica, H., &amp; Cervantes, C. (2024). Liderazgo y cultura organizacional en empresas familiares: Desde una perspectiva teórica. Cuestiones Políticas, 42(80), 247–260.</w:t>
      </w:r>
    </w:p>
    <w:p w14:paraId="3A30E9C9" w14:textId="77777777" w:rsidR="008F1217" w:rsidRDefault="008042BA">
      <w:pPr>
        <w:pStyle w:val="Bibliografa"/>
      </w:pPr>
      <w:r>
        <w:t>Dini, M., &amp; Stumpo, G. (2020). MiPYMES en América Latina: Un frágil desempeño y nuevos desafíos para las políticas de fomento. CEPAL.</w:t>
      </w:r>
    </w:p>
    <w:p w14:paraId="01859219" w14:textId="77777777" w:rsidR="008F1217" w:rsidRPr="00055595" w:rsidRDefault="008042BA">
      <w:pPr>
        <w:pStyle w:val="Bibliografa"/>
        <w:rPr>
          <w:lang w:val="en-US"/>
        </w:rPr>
      </w:pPr>
      <w:r>
        <w:t xml:space="preserve">Duque, G., Córdova-León, F., &amp; Siguencia-Muñoz, A. (2024). Resiliencia empresarial en la MIPyME: Evidencia de Ecuador. </w:t>
      </w:r>
      <w:proofErr w:type="spellStart"/>
      <w:r w:rsidRPr="00055595">
        <w:rPr>
          <w:lang w:val="en-US"/>
        </w:rPr>
        <w:t>Cuadernos</w:t>
      </w:r>
      <w:proofErr w:type="spellEnd"/>
      <w:r w:rsidRPr="00055595">
        <w:rPr>
          <w:lang w:val="en-US"/>
        </w:rPr>
        <w:t xml:space="preserve"> de </w:t>
      </w:r>
      <w:proofErr w:type="spellStart"/>
      <w:r w:rsidRPr="00055595">
        <w:rPr>
          <w:lang w:val="en-US"/>
        </w:rPr>
        <w:t>Contabilidad</w:t>
      </w:r>
      <w:proofErr w:type="spellEnd"/>
      <w:r w:rsidRPr="00055595">
        <w:rPr>
          <w:lang w:val="en-US"/>
        </w:rPr>
        <w:t>, 25(1), 1–15.</w:t>
      </w:r>
    </w:p>
    <w:p w14:paraId="7C4286E5" w14:textId="77777777" w:rsidR="008F1217" w:rsidRPr="00055595" w:rsidRDefault="008042BA">
      <w:pPr>
        <w:pStyle w:val="Bibliografa"/>
        <w:rPr>
          <w:lang w:val="en-US"/>
        </w:rPr>
      </w:pPr>
      <w:r w:rsidRPr="00055595">
        <w:rPr>
          <w:lang w:val="en-US"/>
        </w:rPr>
        <w:t>Fink, S. (1986). Crisis management: Planning for the inevitable. American Management Association.</w:t>
      </w:r>
    </w:p>
    <w:p w14:paraId="1F3DF9C7" w14:textId="77777777" w:rsidR="008F1217" w:rsidRPr="00055595" w:rsidRDefault="008042BA">
      <w:pPr>
        <w:pStyle w:val="Bibliografa"/>
        <w:rPr>
          <w:lang w:val="en-US"/>
        </w:rPr>
      </w:pPr>
      <w:r w:rsidRPr="00055595">
        <w:rPr>
          <w:lang w:val="en-US"/>
        </w:rPr>
        <w:t xml:space="preserve">Freeman, R. E., &amp; </w:t>
      </w:r>
      <w:proofErr w:type="spellStart"/>
      <w:r w:rsidRPr="00055595">
        <w:rPr>
          <w:lang w:val="en-US"/>
        </w:rPr>
        <w:t>McVea</w:t>
      </w:r>
      <w:proofErr w:type="spellEnd"/>
      <w:r w:rsidRPr="00055595">
        <w:rPr>
          <w:lang w:val="en-US"/>
        </w:rPr>
        <w:t>, J. (2001). A stakeholder approach to strategic management. SSRN Electronic Journal, 4(2), 1–15.</w:t>
      </w:r>
    </w:p>
    <w:p w14:paraId="54C70E06" w14:textId="77777777" w:rsidR="008F1217" w:rsidRDefault="008042BA">
      <w:pPr>
        <w:pStyle w:val="Bibliografa"/>
      </w:pPr>
      <w:proofErr w:type="spellStart"/>
      <w:r w:rsidRPr="00055595">
        <w:rPr>
          <w:lang w:val="en-US"/>
        </w:rPr>
        <w:t>Maitlis</w:t>
      </w:r>
      <w:proofErr w:type="spellEnd"/>
      <w:r w:rsidRPr="00055595">
        <w:rPr>
          <w:lang w:val="en-US"/>
        </w:rPr>
        <w:t xml:space="preserve">, S. (2010). Sensemaking in crisis and change: Inspiration and insights from Weick (1988). </w:t>
      </w:r>
      <w:proofErr w:type="spellStart"/>
      <w:r>
        <w:t>Journal</w:t>
      </w:r>
      <w:proofErr w:type="spellEnd"/>
      <w:r>
        <w:t xml:space="preserve"> </w:t>
      </w:r>
      <w:proofErr w:type="spellStart"/>
      <w:r>
        <w:t>of</w:t>
      </w:r>
      <w:proofErr w:type="spellEnd"/>
      <w:r>
        <w:t xml:space="preserve"> Management </w:t>
      </w:r>
      <w:proofErr w:type="spellStart"/>
      <w:r>
        <w:t>Studies</w:t>
      </w:r>
      <w:proofErr w:type="spellEnd"/>
      <w:r>
        <w:t>, 47(3), 551–580.</w:t>
      </w:r>
    </w:p>
    <w:p w14:paraId="7371EEAB" w14:textId="77777777" w:rsidR="008F1217" w:rsidRDefault="008042BA">
      <w:pPr>
        <w:pStyle w:val="Bibliografa"/>
      </w:pPr>
      <w:r>
        <w:t>Marín, P. (2015). Comunicación empresarial en las pequeñas y medianas empresas (PYMES): Percepción, conocimiento y actitud. Revista Mediterránea de Comunicación, 6(2), 147–164.</w:t>
      </w:r>
    </w:p>
    <w:p w14:paraId="74DE04F0" w14:textId="77777777" w:rsidR="008F1217" w:rsidRDefault="008042BA">
      <w:pPr>
        <w:pStyle w:val="Bibliografa"/>
      </w:pPr>
      <w:r>
        <w:t>Méndez, J., Bolaños, C., &amp; Méndez, M. (2023). La cultura organizacional y su efecto en el desempeño empresarial. ERUDITUS, 4(1), 59–74.</w:t>
      </w:r>
    </w:p>
    <w:p w14:paraId="04705DE8" w14:textId="77777777" w:rsidR="008F1217" w:rsidRDefault="008042BA">
      <w:pPr>
        <w:pStyle w:val="Bibliografa"/>
      </w:pPr>
      <w:r>
        <w:t>Mitroff, I. I. (1994). Crisis management and systems approach. [Referencia conceptual utilizada en el borrador].</w:t>
      </w:r>
    </w:p>
    <w:p w14:paraId="65CF445A" w14:textId="77777777" w:rsidR="008F1217" w:rsidRDefault="008042BA">
      <w:pPr>
        <w:pStyle w:val="Bibliografa"/>
      </w:pPr>
      <w:r>
        <w:t>Pacheco-Rodríguez, M., &amp; Álvarez-Avilés, E. (2022). La evolución de la comunicación organizacional y su impacto en las nuevas estructuras empresariales. Innova Research Journal, 7(3.2), 51–71.</w:t>
      </w:r>
    </w:p>
    <w:p w14:paraId="5B7E1DF0" w14:textId="77777777" w:rsidR="008F1217" w:rsidRDefault="008042BA">
      <w:pPr>
        <w:pStyle w:val="Bibliografa"/>
      </w:pPr>
      <w:r>
        <w:t>Pazmay, S., Pardo, E., &amp; Ortiz, A. (2017). Características de la comunicación en empresas ecuatorianas: Una primera aproximación. Acta de Investigación Psicológica, 7(2), 2686–2697.</w:t>
      </w:r>
    </w:p>
    <w:p w14:paraId="104F79F3" w14:textId="77777777" w:rsidR="008F1217" w:rsidRPr="00055595" w:rsidRDefault="008042BA">
      <w:pPr>
        <w:pStyle w:val="Bibliografa"/>
        <w:rPr>
          <w:lang w:val="en-US"/>
        </w:rPr>
      </w:pPr>
      <w:r>
        <w:lastRenderedPageBreak/>
        <w:t xml:space="preserve">Pedraza-Álvarez, L., Obispo-Salazar, K., Vásquez-González, L., &amp; Gómez-Gómez, L. (2015). Cultura organizacional desde la teoría de Edgar Schein: Estudio fenomenológico. </w:t>
      </w:r>
      <w:proofErr w:type="spellStart"/>
      <w:r w:rsidRPr="00055595">
        <w:rPr>
          <w:lang w:val="en-US"/>
        </w:rPr>
        <w:t>Clío</w:t>
      </w:r>
      <w:proofErr w:type="spellEnd"/>
      <w:r w:rsidRPr="00055595">
        <w:rPr>
          <w:lang w:val="en-US"/>
        </w:rPr>
        <w:t xml:space="preserve"> América, 9(17), 17–25.</w:t>
      </w:r>
    </w:p>
    <w:p w14:paraId="5406191F" w14:textId="77777777" w:rsidR="008F1217" w:rsidRDefault="008042BA">
      <w:pPr>
        <w:pStyle w:val="Bibliografa"/>
      </w:pPr>
      <w:r w:rsidRPr="00055595">
        <w:rPr>
          <w:lang w:val="en-US"/>
        </w:rPr>
        <w:t xml:space="preserve">Pearson, C. M., &amp; Clair, J. A. (1998). Reframing crisis management. </w:t>
      </w:r>
      <w:proofErr w:type="spellStart"/>
      <w:r>
        <w:t>Academy</w:t>
      </w:r>
      <w:proofErr w:type="spellEnd"/>
      <w:r>
        <w:t xml:space="preserve"> </w:t>
      </w:r>
      <w:proofErr w:type="spellStart"/>
      <w:r>
        <w:t>of</w:t>
      </w:r>
      <w:proofErr w:type="spellEnd"/>
      <w:r>
        <w:t xml:space="preserve"> Management </w:t>
      </w:r>
      <w:proofErr w:type="spellStart"/>
      <w:r>
        <w:t>Review</w:t>
      </w:r>
      <w:proofErr w:type="spellEnd"/>
      <w:r>
        <w:t>, 23(1), 59–76.</w:t>
      </w:r>
    </w:p>
    <w:p w14:paraId="08FE9CCC" w14:textId="77777777" w:rsidR="008F1217" w:rsidRDefault="008042BA">
      <w:pPr>
        <w:pStyle w:val="Bibliografa"/>
      </w:pPr>
      <w:r>
        <w:t>Pinargote, K., &amp; Vidal, P. (2021). Management y liderazgo en las PYMES de la ciudad de Manta – Ecuador. Journal Business Science, 2(1), 1–21.</w:t>
      </w:r>
    </w:p>
    <w:p w14:paraId="2AD1EC1E" w14:textId="77777777" w:rsidR="008F1217" w:rsidRPr="00055595" w:rsidRDefault="008042BA">
      <w:pPr>
        <w:pStyle w:val="Bibliografa"/>
        <w:rPr>
          <w:lang w:val="en-US"/>
        </w:rPr>
      </w:pPr>
      <w:r>
        <w:t xml:space="preserve">Samán, S., Mendoza, W., Miranda, M., &amp; Esparza, R. (2022). Resiliencia y competitividad empresarial: Una revisión sistemática, período 2011–2021. </w:t>
      </w:r>
      <w:proofErr w:type="spellStart"/>
      <w:r w:rsidRPr="00055595">
        <w:rPr>
          <w:lang w:val="en-US"/>
        </w:rPr>
        <w:t>Revista</w:t>
      </w:r>
      <w:proofErr w:type="spellEnd"/>
      <w:r w:rsidRPr="00055595">
        <w:rPr>
          <w:lang w:val="en-US"/>
        </w:rPr>
        <w:t xml:space="preserve"> de </w:t>
      </w:r>
      <w:proofErr w:type="spellStart"/>
      <w:r w:rsidRPr="00055595">
        <w:rPr>
          <w:lang w:val="en-US"/>
        </w:rPr>
        <w:t>Ciencias</w:t>
      </w:r>
      <w:proofErr w:type="spellEnd"/>
      <w:r w:rsidRPr="00055595">
        <w:rPr>
          <w:lang w:val="en-US"/>
        </w:rPr>
        <w:t xml:space="preserve"> </w:t>
      </w:r>
      <w:proofErr w:type="spellStart"/>
      <w:r w:rsidRPr="00055595">
        <w:rPr>
          <w:lang w:val="en-US"/>
        </w:rPr>
        <w:t>Sociales</w:t>
      </w:r>
      <w:proofErr w:type="spellEnd"/>
      <w:r w:rsidRPr="00055595">
        <w:rPr>
          <w:lang w:val="en-US"/>
        </w:rPr>
        <w:t>, 28(3), 1–15.</w:t>
      </w:r>
    </w:p>
    <w:p w14:paraId="525C029B" w14:textId="77777777" w:rsidR="008F1217" w:rsidRPr="00055595" w:rsidRDefault="008042BA">
      <w:pPr>
        <w:pStyle w:val="Bibliografa"/>
        <w:rPr>
          <w:lang w:val="en-US"/>
        </w:rPr>
      </w:pPr>
      <w:r w:rsidRPr="00055595">
        <w:rPr>
          <w:lang w:val="en-US"/>
        </w:rPr>
        <w:t>Schein, E. H. (2010). Organizational culture and leadership. HB Printing.</w:t>
      </w:r>
    </w:p>
    <w:p w14:paraId="2EDCC7A1" w14:textId="77777777" w:rsidR="008F1217" w:rsidRDefault="008042BA">
      <w:pPr>
        <w:pStyle w:val="Bibliografa"/>
      </w:pPr>
      <w:r>
        <w:t>Trelles, I. (2004). Comunicación organizacional y su relación con la cultura corporativa. Memorias del VI Encuentro Internacional de Comunicación Interna.</w:t>
      </w:r>
    </w:p>
    <w:p w14:paraId="66E344BA" w14:textId="77777777" w:rsidR="008F1217" w:rsidRDefault="008042BA">
      <w:pPr>
        <w:pStyle w:val="Bibliografa"/>
      </w:pPr>
      <w:r>
        <w:t>Velázquez-Ríos, B., Contreras-Montellano, O., &amp; Olea-Miranda, J. (2024). Resiliencia organizacional de pequeñas y medianas empresas intensivas en conocimiento en el norte de México. Frontera Norte, 36(2), 1–25.</w:t>
      </w:r>
    </w:p>
    <w:p w14:paraId="37D07A39" w14:textId="77777777" w:rsidR="008F1217" w:rsidRDefault="008042BA">
      <w:pPr>
        <w:pStyle w:val="Bibliografa"/>
      </w:pPr>
      <w:r>
        <w:t>Veramendi, R. (2021). La comunicación entre las pequeñas y medianas empresas (PYME) [Trabajo final de grado, Universitat Oberta de Catalunya].</w:t>
      </w:r>
    </w:p>
    <w:p w14:paraId="53EDB0B3" w14:textId="77777777" w:rsidR="008F1217" w:rsidRDefault="008042BA">
      <w:pPr>
        <w:pStyle w:val="Bibliografa"/>
      </w:pPr>
      <w:r>
        <w:t>Villa, L., Constante, J., Chaluisa, S., &amp; Guerrero, C. (2024). Planificación estratégica y estilos de gestión de crisis en las organizaciones empresariales: Una revisión de la literatura. Tesla Revista Científica, 4(1), e334.</w:t>
      </w:r>
    </w:p>
    <w:p w14:paraId="60A0B49E" w14:textId="77777777" w:rsidR="008F1217" w:rsidRDefault="008042BA">
      <w:pPr>
        <w:pStyle w:val="Bibliografa"/>
      </w:pPr>
      <w:r>
        <w:t>Villafañe, J. (1997). Imagen positiva: Gestión estratégica de la imagen de las empresas. Ediciones Pirámide.</w:t>
      </w:r>
    </w:p>
    <w:p w14:paraId="103DF954" w14:textId="77777777" w:rsidR="008F1217" w:rsidRPr="00055595" w:rsidRDefault="008042BA">
      <w:pPr>
        <w:pStyle w:val="Bibliografa"/>
        <w:rPr>
          <w:lang w:val="en-US"/>
        </w:rPr>
      </w:pPr>
      <w:r>
        <w:t xml:space="preserve">Villón, S., Guerrero, M., &amp; Manosalvas, C. (2025). Comunicación organizacional interna y su influencia en el apoyo social percibido en clínicas privadas de Santa Elena. </w:t>
      </w:r>
      <w:r w:rsidRPr="00055595">
        <w:rPr>
          <w:lang w:val="en-US"/>
        </w:rPr>
        <w:t>Innova Research Journal, 10(1), 112–134.</w:t>
      </w:r>
    </w:p>
    <w:p w14:paraId="3492BC85" w14:textId="77777777" w:rsidR="008F1217" w:rsidRPr="00055595" w:rsidRDefault="008042BA">
      <w:pPr>
        <w:pStyle w:val="Bibliografa"/>
        <w:rPr>
          <w:lang w:val="en-US"/>
        </w:rPr>
      </w:pPr>
      <w:r w:rsidRPr="00055595">
        <w:rPr>
          <w:lang w:val="en-US"/>
        </w:rPr>
        <w:t>Welsh, J. A., &amp; White, J. F. (1981). A small business is not a little big business. Harvard Business Review, 59(4), 18–32.</w:t>
      </w:r>
    </w:p>
    <w:p w14:paraId="7C570C36" w14:textId="77777777" w:rsidR="008F1217" w:rsidRPr="00055595" w:rsidRDefault="008042BA">
      <w:pPr>
        <w:pStyle w:val="Bibliografa"/>
        <w:rPr>
          <w:lang w:val="en-US"/>
        </w:rPr>
      </w:pPr>
      <w:r w:rsidRPr="00055595">
        <w:rPr>
          <w:lang w:val="en-US"/>
        </w:rPr>
        <w:t xml:space="preserve">Zhao, F., &amp; </w:t>
      </w:r>
      <w:proofErr w:type="spellStart"/>
      <w:r w:rsidRPr="00055595">
        <w:rPr>
          <w:lang w:val="en-US"/>
        </w:rPr>
        <w:t>Aumeboonsuke</w:t>
      </w:r>
      <w:proofErr w:type="spellEnd"/>
      <w:r w:rsidRPr="00055595">
        <w:rPr>
          <w:lang w:val="en-US"/>
        </w:rPr>
        <w:t>, V. (2024). The relationship between corporate culture of SMEs and crisis response ability under the cross-cultural background. Journal of Infrastructure Policy and Development, 8(10), 1–15.</w:t>
      </w:r>
    </w:p>
    <w:p w14:paraId="327C61EA" w14:textId="77777777" w:rsidR="008F1217" w:rsidRDefault="008042BA">
      <w:pPr>
        <w:pStyle w:val="Bibliografa"/>
      </w:pPr>
      <w:proofErr w:type="spellStart"/>
      <w:r w:rsidRPr="00055595">
        <w:rPr>
          <w:lang w:val="en-US"/>
        </w:rPr>
        <w:t>Zurro</w:t>
      </w:r>
      <w:proofErr w:type="spellEnd"/>
      <w:r w:rsidRPr="00055595">
        <w:rPr>
          <w:lang w:val="en-US"/>
        </w:rPr>
        <w:t xml:space="preserve">-Antón, N., Moreno, M., &amp; Fuentes-Lara, M. (2021). </w:t>
      </w:r>
      <w:r>
        <w:t>Comunicación de crisis (2008–2018): Revisión de los principales avances de conocimiento empírico en gestión de comunicación. El Profesional de la Información, 30(1), 1–15.</w:t>
      </w:r>
    </w:p>
    <w:sectPr w:rsidR="008F1217"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D27E1" w14:textId="77777777" w:rsidR="004C2845" w:rsidRDefault="004C2845" w:rsidP="00EB0247">
      <w:pPr>
        <w:spacing w:after="0" w:line="240" w:lineRule="auto"/>
      </w:pPr>
      <w:r>
        <w:separator/>
      </w:r>
    </w:p>
  </w:endnote>
  <w:endnote w:type="continuationSeparator" w:id="0">
    <w:p w14:paraId="4BAD01EC" w14:textId="77777777" w:rsidR="004C2845" w:rsidRDefault="004C2845"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3670C" w14:textId="77777777" w:rsidR="004C2845" w:rsidRDefault="004C2845" w:rsidP="00EB0247">
      <w:pPr>
        <w:spacing w:after="0" w:line="240" w:lineRule="auto"/>
      </w:pPr>
      <w:r>
        <w:separator/>
      </w:r>
    </w:p>
  </w:footnote>
  <w:footnote w:type="continuationSeparator" w:id="0">
    <w:p w14:paraId="5E3B3751" w14:textId="77777777" w:rsidR="004C2845" w:rsidRDefault="004C2845"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5F8"/>
    <w:rsid w:val="000068CF"/>
    <w:rsid w:val="00012517"/>
    <w:rsid w:val="00033E3E"/>
    <w:rsid w:val="00055595"/>
    <w:rsid w:val="00063421"/>
    <w:rsid w:val="000848A6"/>
    <w:rsid w:val="00097EEF"/>
    <w:rsid w:val="000C5EDB"/>
    <w:rsid w:val="001348A0"/>
    <w:rsid w:val="00140844"/>
    <w:rsid w:val="001468AC"/>
    <w:rsid w:val="0015066B"/>
    <w:rsid w:val="00156F2B"/>
    <w:rsid w:val="001660ED"/>
    <w:rsid w:val="00171829"/>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C4D9F"/>
    <w:rsid w:val="003E66FB"/>
    <w:rsid w:val="00422CDA"/>
    <w:rsid w:val="004307D4"/>
    <w:rsid w:val="00437ED3"/>
    <w:rsid w:val="0044345A"/>
    <w:rsid w:val="00477173"/>
    <w:rsid w:val="004819D7"/>
    <w:rsid w:val="004842F0"/>
    <w:rsid w:val="00484413"/>
    <w:rsid w:val="00493A17"/>
    <w:rsid w:val="004C0202"/>
    <w:rsid w:val="004C2845"/>
    <w:rsid w:val="004D0180"/>
    <w:rsid w:val="005335DF"/>
    <w:rsid w:val="005417EB"/>
    <w:rsid w:val="005430EA"/>
    <w:rsid w:val="00584BB4"/>
    <w:rsid w:val="005A43E3"/>
    <w:rsid w:val="005A4AFE"/>
    <w:rsid w:val="005A6174"/>
    <w:rsid w:val="00607EE3"/>
    <w:rsid w:val="006131F7"/>
    <w:rsid w:val="006339B5"/>
    <w:rsid w:val="006554EF"/>
    <w:rsid w:val="00675757"/>
    <w:rsid w:val="00680332"/>
    <w:rsid w:val="00681364"/>
    <w:rsid w:val="0068745E"/>
    <w:rsid w:val="006B7745"/>
    <w:rsid w:val="00714CBD"/>
    <w:rsid w:val="00721EBE"/>
    <w:rsid w:val="00742AC5"/>
    <w:rsid w:val="007701F1"/>
    <w:rsid w:val="00792960"/>
    <w:rsid w:val="007A0F17"/>
    <w:rsid w:val="007E4E94"/>
    <w:rsid w:val="007F0944"/>
    <w:rsid w:val="008042BA"/>
    <w:rsid w:val="008238DE"/>
    <w:rsid w:val="00851DC2"/>
    <w:rsid w:val="00863A4D"/>
    <w:rsid w:val="008A4085"/>
    <w:rsid w:val="008A483F"/>
    <w:rsid w:val="008B6A98"/>
    <w:rsid w:val="008C1056"/>
    <w:rsid w:val="008C2B2C"/>
    <w:rsid w:val="008F1217"/>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AC5A52"/>
    <w:rsid w:val="00B0717D"/>
    <w:rsid w:val="00B57A4E"/>
    <w:rsid w:val="00B60DF4"/>
    <w:rsid w:val="00BA4EA8"/>
    <w:rsid w:val="00BA4FD5"/>
    <w:rsid w:val="00BB38AC"/>
    <w:rsid w:val="00BD7178"/>
    <w:rsid w:val="00BE3D2B"/>
    <w:rsid w:val="00BE5F2C"/>
    <w:rsid w:val="00BF45D1"/>
    <w:rsid w:val="00BF50C0"/>
    <w:rsid w:val="00C21F8C"/>
    <w:rsid w:val="00C302E3"/>
    <w:rsid w:val="00C30BA1"/>
    <w:rsid w:val="00C45F7D"/>
    <w:rsid w:val="00C46891"/>
    <w:rsid w:val="00C930F7"/>
    <w:rsid w:val="00CA0400"/>
    <w:rsid w:val="00CC152D"/>
    <w:rsid w:val="00CD0091"/>
    <w:rsid w:val="00CE0F4B"/>
    <w:rsid w:val="00D0381D"/>
    <w:rsid w:val="00D05D1F"/>
    <w:rsid w:val="00D36F76"/>
    <w:rsid w:val="00D47BD3"/>
    <w:rsid w:val="00D86CAA"/>
    <w:rsid w:val="00D94369"/>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CE02C"/>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151D6-8EEA-4237-A9FD-25D110483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0</TotalTime>
  <Pages>16</Pages>
  <Words>4988</Words>
  <Characters>27435</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MATAMOROS DÁVALOS ÁNGEL ALBERTO</cp:lastModifiedBy>
  <cp:revision>2</cp:revision>
  <dcterms:created xsi:type="dcterms:W3CDTF">2026-09-03T13:34:00Z</dcterms:created>
  <dcterms:modified xsi:type="dcterms:W3CDTF">2026-09-03T13:34:00Z</dcterms:modified>
  <cp:category>Categoria</cp:category>
  <cp:contentStatus>Estado</cp:contentStatus>
</cp:coreProperties>
</file>