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2581" w14:textId="00ABABAB" w:rsidR="007B6BFE" w:rsidRPr="00AA1533" w:rsidRDefault="007B6BFE" w:rsidP="007B6BFE">
      <w:pPr>
        <w:pStyle w:val="TtCap"/>
        <w:rPr>
          <w:smallCaps/>
          <w:lang w:val="es-EC" w:eastAsia="es-ES"/>
        </w:rPr>
      </w:pPr>
      <w:r w:rsidRPr="00AA1533">
        <w:rPr>
          <w:lang w:val="es-EC" w:eastAsia="es-ES"/>
        </w:rPr>
        <w:t>Generonormatividad: categoría analítica de la exclusión hacia personas trans</w:t>
      </w:r>
    </w:p>
    <w:p w14:paraId="6639BC9E" w14:textId="77777777" w:rsidR="007B6BFE" w:rsidRPr="00AA1533" w:rsidRDefault="007B6BFE" w:rsidP="002A43CD">
      <w:pPr>
        <w:pStyle w:val="Autor"/>
        <w:rPr>
          <w:caps/>
          <w:smallCaps w:val="0"/>
          <w:spacing w:val="-2"/>
          <w:sz w:val="26"/>
          <w:szCs w:val="26"/>
          <w:lang w:val="es-EC" w:eastAsia="es-ES"/>
        </w:rPr>
      </w:pPr>
    </w:p>
    <w:p w14:paraId="0B8D5548" w14:textId="77777777" w:rsidR="00AA1533" w:rsidRPr="0051612C" w:rsidRDefault="00AA1533" w:rsidP="00AA1533">
      <w:pPr>
        <w:pStyle w:val="Autor"/>
      </w:pPr>
      <w:r w:rsidRPr="0051612C">
        <w:t>Carlos Patricio Carpio Mosquera</w:t>
      </w:r>
    </w:p>
    <w:p w14:paraId="3B6E2ABF" w14:textId="77777777" w:rsidR="00AA1533" w:rsidRPr="0051612C" w:rsidRDefault="00AA1533" w:rsidP="00AA1533">
      <w:pPr>
        <w:pStyle w:val="Adscripcin"/>
      </w:pPr>
      <w:r w:rsidRPr="0051612C">
        <w:t>Universidad Técnica de Machala, Ecuador</w:t>
      </w:r>
    </w:p>
    <w:p w14:paraId="142FC49E" w14:textId="0FDAE6F8" w:rsidR="000F6111" w:rsidRDefault="000F6111" w:rsidP="000F6111">
      <w:pPr>
        <w:pStyle w:val="Ttulo1"/>
        <w:numPr>
          <w:ilvl w:val="0"/>
          <w:numId w:val="45"/>
        </w:numPr>
      </w:pPr>
      <w:r w:rsidRPr="0051612C">
        <w:t>Introducción</w:t>
      </w:r>
    </w:p>
    <w:p w14:paraId="6D765828" w14:textId="77777777" w:rsidR="000F6111" w:rsidRPr="000F6111" w:rsidRDefault="000F6111" w:rsidP="000F6111">
      <w:r w:rsidRPr="000F6111">
        <w:t xml:space="preserve">Las personas trans enfrentan prácticas de exclusión en los ámbitos familiar, educativo, laboral y sanitario, entre otros, y esas prácticas se encadenan, de modo que la restricción en un ámbito condiciona el acceso al siguiente (Comisión Interamericana de Derechos Humanos, 2020). Esta vulnerabilidad sistémica halla un correlato extremo en las violencias globales. La actualización de 2024 del proyecto Trans </w:t>
      </w:r>
      <w:proofErr w:type="spellStart"/>
      <w:r w:rsidRPr="000F6111">
        <w:t>Murder</w:t>
      </w:r>
      <w:proofErr w:type="spellEnd"/>
      <w:r w:rsidRPr="000F6111">
        <w:t xml:space="preserve"> </w:t>
      </w:r>
      <w:proofErr w:type="spellStart"/>
      <w:r w:rsidRPr="000F6111">
        <w:t>Monitoring</w:t>
      </w:r>
      <w:proofErr w:type="spellEnd"/>
      <w:r w:rsidRPr="000F6111">
        <w:t xml:space="preserve"> registró 350 asesinatos de personas trans y de género diverso entre octubre de 2023 y septiembre de 2024, y situó en América Latina y el Caribe alrededor del 70 % de los casos documentados (TGEU, 2024). En España, Ros-Moreno et al. (2024) identifican barreras de inclusión en los ámbitos educativo, social y familiar.</w:t>
      </w:r>
    </w:p>
    <w:p w14:paraId="7020E4D3" w14:textId="77777777" w:rsidR="000F6111" w:rsidRPr="000F6111" w:rsidRDefault="000F6111" w:rsidP="000F6111">
      <w:r w:rsidRPr="000F6111">
        <w:t>Los conceptos disponibles explican por qué cada institución sanciona la transgresión de las normas de género, y lo hacen ámbito por ámbito. Lo que ha permanecido sin nombre es la estructura común que los ámbitos sociales aplican para excluir a personas transgénero. Al respecto, una revisión sistemática de 187 estudios señala vacíos en la medición de la transfobia en los niveles comunitario, organizacional y estructural (Ogarrio et al., 2025). Leo ese hallazgo como indicio del problema que me ocupa aquí, porque los instrumentos disponibles alcanzan el episodio y la institución que lo ejecuta, y no la normativización que los produce.</w:t>
      </w:r>
    </w:p>
    <w:p w14:paraId="38F75AE1" w14:textId="77777777" w:rsidR="000F6111" w:rsidRPr="000F6111" w:rsidRDefault="000F6111" w:rsidP="000F6111">
      <w:r w:rsidRPr="000F6111">
        <w:t xml:space="preserve">El término transfobia, emparentado léxicamente con homofobia (Weinberg, 1972), reúne usos que abarcan prejuicios y discriminación institucional, y su empleo académico contemporáneo no se reduce al registro </w:t>
      </w:r>
      <w:r w:rsidRPr="000F6111">
        <w:lastRenderedPageBreak/>
        <w:t xml:space="preserve">del miedo individual devenido del término fobia (Ashley, 2018; Bettcher, 2014; Ogarrio et al., 2025). Lo que objeto son los efectos del término fobia cuando sale de la discusión académica y entra en un tribunal. Lee y Kwan (2014) documentan cómo las defensas por pánico trans presentan la agresión como reacción provocada e incontrolable, y proponen sustituir la expresión </w:t>
      </w:r>
      <w:r w:rsidRPr="000F6111">
        <w:rPr>
          <w:i/>
          <w:iCs/>
        </w:rPr>
        <w:t xml:space="preserve">trans </w:t>
      </w:r>
      <w:proofErr w:type="spellStart"/>
      <w:r w:rsidRPr="000F6111">
        <w:rPr>
          <w:i/>
          <w:iCs/>
        </w:rPr>
        <w:t>panic</w:t>
      </w:r>
      <w:proofErr w:type="spellEnd"/>
      <w:r w:rsidRPr="000F6111">
        <w:t xml:space="preserve"> por </w:t>
      </w:r>
      <w:r w:rsidRPr="000F6111">
        <w:rPr>
          <w:i/>
          <w:iCs/>
        </w:rPr>
        <w:t xml:space="preserve">trans </w:t>
      </w:r>
      <w:proofErr w:type="spellStart"/>
      <w:r w:rsidRPr="000F6111">
        <w:rPr>
          <w:i/>
          <w:iCs/>
        </w:rPr>
        <w:t>rage</w:t>
      </w:r>
      <w:proofErr w:type="spellEnd"/>
      <w:r w:rsidRPr="000F6111">
        <w:t xml:space="preserve"> precisamente porque la primera sugiere una pérdida involuntaria del control por miedo. El léxico de la fobia opera en ese mismo registro clínico, y esa proximidad justifica privilegiar los términos transodio, que nombra la disposición afectiva de rechazo hacia personas trans, y transexclusión, que nombra las prácticas concretas en que esa disposición se materializa (Carpio-Mosquera et al., 2024).</w:t>
      </w:r>
    </w:p>
    <w:p w14:paraId="046636B2" w14:textId="77777777" w:rsidR="000F6111" w:rsidRPr="000F6111" w:rsidRDefault="000F6111" w:rsidP="000F6111">
      <w:r w:rsidRPr="000F6111">
        <w:t>La cisnormatividad permite examinar la presunción de cisgeneridad y sus efectos institucionales (Bauer et al., 2009). Describe el entorno normativo que opera por defecto y deja en segundo plano los mecanismos que lo provocan y lo vuelven coercitivo. Las críticas al binarismo y al determinismo biológico cuestionan la naturalización de las clasificaciones sexuales y de género (Butler, 1990; Fausto-Sterling, 2000), y los análisis de la biopolítica muestran de qué modo esas clasificaciones participan en la administración de las identidades y los cuerpos de las poblaciones (Repo, 2015; Stryker, 2014).</w:t>
      </w:r>
    </w:p>
    <w:p w14:paraId="604CECAE" w14:textId="77777777" w:rsidR="000F6111" w:rsidRPr="000F6111" w:rsidRDefault="000F6111" w:rsidP="000F6111">
      <w:r w:rsidRPr="000F6111">
        <w:t xml:space="preserve">West y Zimmerman (1987) muestran que el género se produce en la interacción cotidiana, y Westbrook y Schilt (2014) analizan cómo las instituciones deciden a qué género pertenece cada persona. Ambos enfoques abarcan cualquier falta de conformidad respecto de las expectativas de una expresión de género, y ahí se diluye una diferencia que resulta decisiva en las trayectorias trans que analizo. A una mujer cisgénero de expresión masculina se la sanciona por cómo se presenta; no obstante, su pertenencia al género asignado por otros permanece fuera de discusión. Sin embargo, a una mujer trans se le discute esa pertenencia misma (Bettcher, 2007). La transmisoginia, por su parte, explica que la violencia contra las mujeres trans se agrava al cruzarse con la misoginia, y sitúa ese cruce en una historia colonial (Serano, 2007; Gill-Peterson, 2024). Da cuenta de la intensidad de la violencia según el género </w:t>
      </w:r>
      <w:r w:rsidRPr="000F6111">
        <w:lastRenderedPageBreak/>
        <w:t>que se atribuye a cada persona. En estos desarrollos el encadenamiento estructural de las transexclusiones queda fuera de su foco.</w:t>
      </w:r>
    </w:p>
    <w:p w14:paraId="0220BAE3" w14:textId="77777777" w:rsidR="000F6111" w:rsidRPr="000F6111" w:rsidRDefault="000F6111" w:rsidP="000F6111">
      <w:r w:rsidRPr="000F6111">
        <w:t>Frente a este vacío teórico, propongo el término generonormatividad para nombrar la exigencia de correspondencia obligatoria entre asignación de género, genitalidad y expresión performativa. Tratar esa articulación como una sola exigencia es lo que permite abordar esa serie de exclusiones encadenadas. La categoría separa el plano de la estructura normativa, el de la disposición de rechazo y el de las prácticas de exclusión, y el análisis de las trayectorias muestra de qué modo esa exigencia se actualiza en cada ámbito institucional.</w:t>
      </w:r>
    </w:p>
    <w:p w14:paraId="3CAE4A9E" w14:textId="77777777" w:rsidR="000F6111" w:rsidRPr="000F6111" w:rsidRDefault="000F6111" w:rsidP="000F6111">
      <w:r w:rsidRPr="000F6111">
        <w:t>De Foucault retengo la idea de que la regulación de los cuerpos opera produciendo formas de vida (2020) mediante una vigilancia sostenida sobre las conductas (2002). La noción de inteligibilidad de género (Butler, 1990, 2004) y la crítica a la naturalización tecnopolítica del sexo (Preciado, 2002) permiten situar la exigencia de correspondencia en el terreno del reconocimiento del otro. La teoría crítica travesti latinoamericana, con su interpelación al orden binario y biologicista, constituye el suelo epistémico desde el cual esos mandatos se visibilizan (Bertolini, 2020; Radi, 2019; Wayar, 2018).</w:t>
      </w:r>
    </w:p>
    <w:p w14:paraId="05715311" w14:textId="77777777" w:rsidR="000F6111" w:rsidRPr="000F6111" w:rsidRDefault="000F6111" w:rsidP="000F6111">
      <w:r w:rsidRPr="000F6111">
        <w:t>La investigación de la que provienen estos resultados se realizó en Argentina, país que cuenta con una de las legislaciones de identidad de género más avanzadas de la región. La Ley 26.743 de 2012 reconoce el derecho a la identidad de género, desvincula la rectificación registral de las intervenciones corporales y de los tratamientos psicológicos o médicos, y establece el derecho al trato digno (arts. 1, 4 y 12). Ese marco permite observar qué formas de transexclusión siguen operando allí donde el reconocimiento jurídico de la identidad se implementa.</w:t>
      </w:r>
    </w:p>
    <w:p w14:paraId="678C581D" w14:textId="77777777" w:rsidR="000F6111" w:rsidRPr="000F6111" w:rsidRDefault="000F6111" w:rsidP="000F6111">
      <w:pPr>
        <w:rPr>
          <w:lang w:val="es-419"/>
        </w:rPr>
      </w:pPr>
      <w:r w:rsidRPr="000F6111">
        <w:t>La categoría generonormatividad permite explicar por qué las transexclusiones se encadenan entre ámbitos sociales, así como la violencia dirigida a las identidades trans en particular.</w:t>
      </w:r>
    </w:p>
    <w:p w14:paraId="2B845C6F" w14:textId="77777777" w:rsidR="000F6111" w:rsidRPr="000F6111" w:rsidRDefault="000F6111" w:rsidP="000F6111">
      <w:pPr>
        <w:rPr>
          <w:lang w:val="es-419"/>
        </w:rPr>
      </w:pPr>
    </w:p>
    <w:p w14:paraId="3884C43E" w14:textId="252D2F41" w:rsidR="000F6111" w:rsidRDefault="000F6111" w:rsidP="001A5ED9">
      <w:pPr>
        <w:pStyle w:val="Ttulo1"/>
      </w:pPr>
      <w:r w:rsidRPr="0051612C">
        <w:lastRenderedPageBreak/>
        <w:t>Objetivos</w:t>
      </w:r>
    </w:p>
    <w:p w14:paraId="517AA5F5" w14:textId="77777777" w:rsidR="000F6111" w:rsidRPr="0051612C" w:rsidRDefault="000F6111" w:rsidP="001A5ED9">
      <w:pPr>
        <w:pStyle w:val="Ttulo2"/>
      </w:pPr>
      <w:r w:rsidRPr="0051612C">
        <w:t>2.1. Objetivo general</w:t>
      </w:r>
    </w:p>
    <w:p w14:paraId="693D7D92" w14:textId="77777777" w:rsidR="000F6111" w:rsidRPr="0051612C" w:rsidRDefault="000F6111" w:rsidP="000F6111">
      <w:r w:rsidRPr="0051612C">
        <w:t>Formalizar la generonormatividad como categoría analítica que nombra la matriz que habilita el transodio y las transexclusiones, a partir de los resultados de una investigación doctoral cualitativa con femineidades travesti-trans en Buenos Aires.</w:t>
      </w:r>
    </w:p>
    <w:p w14:paraId="77073482" w14:textId="77777777" w:rsidR="000F6111" w:rsidRPr="0051612C" w:rsidRDefault="000F6111" w:rsidP="001A5ED9">
      <w:pPr>
        <w:pStyle w:val="Ttulo2"/>
      </w:pPr>
      <w:r w:rsidRPr="0051612C">
        <w:t>2.2. Objetivos específicos</w:t>
      </w:r>
    </w:p>
    <w:p w14:paraId="6A7663B3" w14:textId="77777777" w:rsidR="000F6111" w:rsidRPr="0051612C" w:rsidRDefault="000F6111" w:rsidP="000F6111">
      <w:r w:rsidRPr="0051612C">
        <w:t>Caracterizar los ejes de regulación recurrentes que emergieron del análisis del material empírico.</w:t>
      </w:r>
    </w:p>
    <w:p w14:paraId="5ADBA943" w14:textId="77777777" w:rsidR="000F6111" w:rsidRPr="0051612C" w:rsidRDefault="000F6111" w:rsidP="000F6111">
      <w:r w:rsidRPr="0051612C">
        <w:t>Distinguir los planos de estructura, disposición y prácticas que articulan generonormatividad, transodio y transexclusión.</w:t>
      </w:r>
    </w:p>
    <w:p w14:paraId="37F94402" w14:textId="77777777" w:rsidR="000F6111" w:rsidRPr="0051612C" w:rsidRDefault="000F6111" w:rsidP="000F6111">
      <w:r w:rsidRPr="0051612C">
        <w:t>Examinar el despliegue de las transexclusiones en los ámbitos familiar, educativo, laboral y sanitario, y derivar de ese examen criterios de intervención institucional.</w:t>
      </w:r>
    </w:p>
    <w:p w14:paraId="098BF341" w14:textId="2605A67A" w:rsidR="000F6111" w:rsidRDefault="000F6111" w:rsidP="001A5ED9">
      <w:pPr>
        <w:pStyle w:val="Ttulo1"/>
      </w:pPr>
      <w:r w:rsidRPr="0051612C">
        <w:t>Metodología</w:t>
      </w:r>
    </w:p>
    <w:p w14:paraId="066383CB" w14:textId="77777777" w:rsidR="000F6111" w:rsidRPr="000F6111" w:rsidRDefault="000F6111" w:rsidP="000F6111">
      <w:r w:rsidRPr="000F6111">
        <w:t>El análisis que sigue se sostiene en el material producido por una investigación doctoral cualitativa realizada en Buenos Aires entre 2016 y 2024, orientada a analizar las exclusiones sociales, las resistencias y las producciones de subjetividad de femineidades travesti-trans. El diseño fue exploratorio-descriptivo (Samaja, 2004), pertinente ante un objeto escasamente indagado desde la perspectiva de sus protagonistas y en su propio contexto.</w:t>
      </w:r>
    </w:p>
    <w:p w14:paraId="32C3BE51" w14:textId="77777777" w:rsidR="000F6111" w:rsidRPr="000F6111" w:rsidRDefault="000F6111" w:rsidP="000F6111">
      <w:r w:rsidRPr="000F6111">
        <w:t xml:space="preserve">Las unidades de análisis fueron doce femineidades travesti-trans de entre treinta y sesenta años residentes en la ciudad, incorporadas mediante recomendación sucesiva entre informantes clave. Se procuró heterogeneidad de nivel de estudios y ocupación, en un conjunto que abarcó desde el trabajo sexual con escolarización primaria incompleta hasta el trabajo social, la docencia y la coordinación de organizaciones con formación superior. La suficiencia del corpus se valoró sobre el conjunto </w:t>
      </w:r>
      <w:r w:rsidRPr="000F6111">
        <w:lastRenderedPageBreak/>
        <w:t>integrado de entrevistas y registros de observación, atendiendo al desarrollo de las categorías en la comparación sucesiva (</w:t>
      </w:r>
      <w:proofErr w:type="spellStart"/>
      <w:r w:rsidRPr="000F6111">
        <w:t>Hennink</w:t>
      </w:r>
      <w:proofErr w:type="spellEnd"/>
      <w:r w:rsidRPr="000F6111">
        <w:t xml:space="preserve"> et al., 2017). Todas las participantes otorgaron consentimiento informado y los nombres que aparecen en los resultados son seudónimos.</w:t>
      </w:r>
    </w:p>
    <w:p w14:paraId="1A68F7E9" w14:textId="77777777" w:rsidR="000F6111" w:rsidRPr="000F6111" w:rsidRDefault="000F6111" w:rsidP="000F6111">
      <w:r w:rsidRPr="000F6111">
        <w:t xml:space="preserve">La producción de datos combinó dos técnicas. Las entrevistas fueron abiertas y se condujeron según la dinámica conversacional (González Rey, 2006), con una guía de pautas que operó como disparador y no como cuestionario, de modo que las narrativas no se limitaran al inventario de episodios de exclusión para recabar el modo en que fueron vividos. La observación participante y no participante se desarrolló durante tres años de inmersión etnográfica en espacios del colectivo. Incluyó talleres de teoría travesti latinoamericana, marchas contra travesticidios y </w:t>
      </w:r>
      <w:proofErr w:type="spellStart"/>
      <w:r w:rsidRPr="000F6111">
        <w:t>transfemicidios</w:t>
      </w:r>
      <w:proofErr w:type="spellEnd"/>
      <w:r w:rsidRPr="000F6111">
        <w:t xml:space="preserve">, ferias trans autogestivas, presentaciones artísticas, ruedas de prensa y actividades del Bachillerato Popular Travesti-Trans Mocha Celis. Se organizó en fases de aproximación, focalización y participación situada (Flick, 2004). </w:t>
      </w:r>
    </w:p>
    <w:p w14:paraId="47FB6EF6" w14:textId="77777777" w:rsidR="000F6111" w:rsidRPr="000F6111" w:rsidRDefault="000F6111" w:rsidP="000F6111">
      <w:r w:rsidRPr="000F6111">
        <w:t>El análisis se apoyó en herramientas de la teoría fundamentada desde una orientación constructivista (</w:t>
      </w:r>
      <w:proofErr w:type="spellStart"/>
      <w:r w:rsidRPr="000F6111">
        <w:t>Charmaz</w:t>
      </w:r>
      <w:proofErr w:type="spellEnd"/>
      <w:r w:rsidRPr="000F6111">
        <w:t>, 2014). La comparación constante entre segmentos de entrevista y registros de observación permitió revisar los códigos y reagruparlos en categorías analíticas (Glaser y Strauss, 1967), con apoyo del software MAXQDA 2020 para la organización y recuperación del material codificado (VERBI Software, 2019). Las comparaciones sucesivas atendieron a las recurrencias y a las diferencias entre trayectorias, de modo que las categorías se construyeron en diálogo con lo enunciado por las participantes y con los registros de campo.</w:t>
      </w:r>
    </w:p>
    <w:p w14:paraId="13DCB63D" w14:textId="77777777" w:rsidR="000F6111" w:rsidRPr="000F6111" w:rsidRDefault="000F6111" w:rsidP="000F6111">
      <w:r w:rsidRPr="000F6111">
        <w:t>Esta orientación asume que las categorías se producen en la relación entre investigador y campo. Por eso trabajé mi posición cisgénero como dato analizable mediante la indagación de las implicaciones (Fernández, 2021). Este procedimiento articuló tanto el registro de los afectos propios en las notas de campo, como la revisión sistemática de las codificaciones iniciales junto a teóricas travesti-trans. La decisión se apoya en el conocimiento situado (Haraway, 1988) y en la nostredad formulada por Wayar (2018).</w:t>
      </w:r>
    </w:p>
    <w:p w14:paraId="3DEF726D" w14:textId="36EDAEF8" w:rsidR="000F6111" w:rsidRPr="000F6111" w:rsidRDefault="000F6111" w:rsidP="000F6111">
      <w:r w:rsidRPr="0051612C">
        <w:lastRenderedPageBreak/>
        <w:t xml:space="preserve">La generonormatividad emergió de la comparación constante, cuando categorías registradas al inicio como independientes (corrección familiar, expulsión escolar, descarte laboral, trato </w:t>
      </w:r>
      <w:proofErr w:type="spellStart"/>
      <w:r w:rsidRPr="0051612C">
        <w:t>patologizante</w:t>
      </w:r>
      <w:proofErr w:type="spellEnd"/>
      <w:r w:rsidRPr="0051612C">
        <w:t>) mostraron responder a una misma exigencia normativa. La formalización que sigue es un ejercicio retrospectivo sobre dicha conceptualización</w:t>
      </w:r>
      <w:r>
        <w:t>.</w:t>
      </w:r>
    </w:p>
    <w:p w14:paraId="237B5EEC" w14:textId="77777777" w:rsidR="000F6111" w:rsidRPr="0051612C" w:rsidRDefault="000F6111" w:rsidP="001A5ED9">
      <w:pPr>
        <w:pStyle w:val="Ttulo1"/>
      </w:pPr>
      <w:r w:rsidRPr="0051612C">
        <w:t>4. Resultados</w:t>
      </w:r>
    </w:p>
    <w:p w14:paraId="12993C9D" w14:textId="77777777" w:rsidR="000F6111" w:rsidRPr="0051612C" w:rsidRDefault="000F6111" w:rsidP="001A5ED9">
      <w:pPr>
        <w:pStyle w:val="Ttulo2"/>
      </w:pPr>
      <w:r w:rsidRPr="0051612C">
        <w:t>4.1. Tres ejes de regulación</w:t>
      </w:r>
    </w:p>
    <w:p w14:paraId="1BB7089D" w14:textId="77777777" w:rsidR="000F6111" w:rsidRPr="0051612C" w:rsidRDefault="000F6111" w:rsidP="000F6111">
      <w:r w:rsidRPr="0051612C">
        <w:t>El análisis del corpus identificó tres ejes de regulación que atraviesan las trayectorias estudiadas y que la codificación inicial había registrado por separado.</w:t>
      </w:r>
    </w:p>
    <w:p w14:paraId="57D21DA4" w14:textId="77777777" w:rsidR="000F6111" w:rsidRPr="0051612C" w:rsidRDefault="000F6111" w:rsidP="000F6111">
      <w:r w:rsidRPr="0051612C">
        <w:t xml:space="preserve">El primer eje corresponde a la asignación del género por terceros a partir de la lectura social-administrativa de la genitalidad, que inscribe en el registro civil una clasificación identitaria anterior a cualquier enunciación del sujeto. En las trayectorias analizadas, esa asignación se prolonga en expectativas sobre el cuerpo y la conducta cuyo incumplimiento da lugar a prácticas correctivas. Carla relata: "lo primero que hicieron es darme enseñanzas de corrección a mi corporalidad [...] de que </w:t>
      </w:r>
      <w:proofErr w:type="spellStart"/>
      <w:r w:rsidRPr="0051612C">
        <w:t>sos</w:t>
      </w:r>
      <w:proofErr w:type="spellEnd"/>
      <w:r w:rsidRPr="0051612C">
        <w:t xml:space="preserve"> varón porque </w:t>
      </w:r>
      <w:proofErr w:type="spellStart"/>
      <w:r w:rsidRPr="0051612C">
        <w:t>tenés</w:t>
      </w:r>
      <w:proofErr w:type="spellEnd"/>
      <w:r w:rsidRPr="0051612C">
        <w:t xml:space="preserve"> pito" (entrevista, noviembre de 2019). La asignación no se agota en el acto registral, porque instaura un programa de vida cuyo cumplimiento se anticipa desde el nacimiento. Laura lo describe al referirse a las expectativas depositadas sobre un recién nacido: "Yo tengo un hijo varoncito divino, que ya pienso que va a jugar futbol, terminar siendo como Messi" (entrevista, abril de 2019).</w:t>
      </w:r>
    </w:p>
    <w:p w14:paraId="32C7F5AB" w14:textId="77777777" w:rsidR="000F6111" w:rsidRPr="0051612C" w:rsidRDefault="000F6111" w:rsidP="000F6111">
      <w:r w:rsidRPr="0051612C">
        <w:t xml:space="preserve">El reduccionismo biologicista constituye el segundo eje de regulación: normaliza las identidades de género a partir de marcadores genitales. Este mecanismo discursivo legitima la asignación primaria y clausura la posibilidad de autodeterminación, al convertir la anatomía en mandato identitario. El entorno familiar llega a exigir la exhibición genital como prueba de verdad, según relata Carla: "mis padres me decían: vos </w:t>
      </w:r>
      <w:proofErr w:type="spellStart"/>
      <w:r w:rsidRPr="0051612C">
        <w:t>demostrá</w:t>
      </w:r>
      <w:proofErr w:type="spellEnd"/>
      <w:r w:rsidRPr="0051612C">
        <w:t xml:space="preserve"> que no </w:t>
      </w:r>
      <w:proofErr w:type="spellStart"/>
      <w:r w:rsidRPr="0051612C">
        <w:t>sos</w:t>
      </w:r>
      <w:proofErr w:type="spellEnd"/>
      <w:r w:rsidRPr="0051612C">
        <w:t xml:space="preserve"> gay, </w:t>
      </w:r>
      <w:proofErr w:type="spellStart"/>
      <w:r w:rsidRPr="0051612C">
        <w:t>mostrales</w:t>
      </w:r>
      <w:proofErr w:type="spellEnd"/>
      <w:r w:rsidRPr="0051612C">
        <w:t xml:space="preserve"> el pene [...] cómo se fijaban mucho en mis genitales y no en mi deseo" (entrevista, noviembre de 2019). El </w:t>
      </w:r>
      <w:r w:rsidRPr="0051612C">
        <w:lastRenderedPageBreak/>
        <w:t>saber médico institucionaliza esa naturalización mediante clasificaciones diagnósticas, y así lo registra Belén: "la medicina siempre venía y nos ponían en un catálogo en el cual nosotros no queríamos estar" (entrevista, septiembre de 2018).</w:t>
      </w:r>
    </w:p>
    <w:p w14:paraId="3C2879D6" w14:textId="77777777" w:rsidR="000F6111" w:rsidRPr="0051612C" w:rsidRDefault="000F6111" w:rsidP="000F6111">
      <w:r w:rsidRPr="0051612C">
        <w:t xml:space="preserve">La vigilancia performativa completa estos ejes de regulación mediante el control de las manifestaciones corporales, gestuales y vestimentarias para alinearlas con la asignación y la genitalidad. Opera primero en el espacio doméstico mediante la prohibición o sustitución de objetos </w:t>
      </w:r>
      <w:proofErr w:type="spellStart"/>
      <w:r w:rsidRPr="0051612C">
        <w:t>generizados</w:t>
      </w:r>
      <w:proofErr w:type="spellEnd"/>
      <w:r w:rsidRPr="0051612C">
        <w:t>: "Automáticamente cerraron el cuarto de mi mamá [...] me compran estos camioncitos, tengo que jugar con los camioncitos. A mí me gustaba la Barbie" (Laura, entrevista, abril de 2019). Cuando la sustitución no basta, aparece el castigo físico. Belén recuerda las "reverendas palizas que me daba mi papá" y la sanción pública que las acompañaba: "Yo iba por la calle con unos flequillos, mi cuerpo bonito y decían: esa no es nena es un hombre" (entrevista, septiembre de 2018). La vigilancia también se ejerce desde el saber profesional. Laura refiere la indicación de un psicólogo a su familia: "traten de que no siga con esas prácticas de juego que no son de varones" (entrevista, abril de 2019).</w:t>
      </w:r>
    </w:p>
    <w:p w14:paraId="77D6E2FA" w14:textId="77777777" w:rsidR="000F6111" w:rsidRPr="0051612C" w:rsidRDefault="000F6111" w:rsidP="001A5ED9">
      <w:pPr>
        <w:pStyle w:val="Ttulo2"/>
      </w:pPr>
      <w:r w:rsidRPr="0051612C">
        <w:t>4.2. Formalización de la categoría</w:t>
      </w:r>
    </w:p>
    <w:p w14:paraId="09CE81AA" w14:textId="77777777" w:rsidR="000F6111" w:rsidRPr="0051612C" w:rsidRDefault="000F6111" w:rsidP="000F6111">
      <w:r w:rsidRPr="0051612C">
        <w:t>La comparación entre los tres ejes permite identificar su articulación. En los episodios analizados, las sanciones remiten a la ruptura de la correspondencia que vincula asignación, genitalidad y expresión. Esa relación es la que formalizo a continuación.</w:t>
      </w:r>
    </w:p>
    <w:p w14:paraId="52511F83" w14:textId="77777777" w:rsidR="000F6111" w:rsidRPr="0051612C" w:rsidRDefault="000F6111" w:rsidP="000F6111">
      <w:r w:rsidRPr="0051612C">
        <w:t>Defino la generonormatividad como la red de mecanismos coercitivos que exige la correspondencia obligatoria entre el género asignado por otros en el nacimiento o antes de este (niño o niña), el sexo entendido como genitalidad (pene o vagina) y la expresión de género performativa (masculino o femenino) (Carpio-Mosquera y Fontaines-Ruiz, 2026). Mientras la correspondencia se sostiene, el dispositivo permanece naturalizado. Cuando una trayectoria vital la interrumpe, se torna visible y despliega sus efectos.</w:t>
      </w:r>
    </w:p>
    <w:p w14:paraId="0D32CCBE" w14:textId="77777777" w:rsidR="000F6111" w:rsidRPr="0051612C" w:rsidRDefault="000F6111" w:rsidP="000F6111">
      <w:r w:rsidRPr="0051612C">
        <w:lastRenderedPageBreak/>
        <w:t>La categoría distingue tres planos analíticos. La generonormatividad ocupa el plano de la estructura, porque prescribe la correspondencia entre los tres ejes de regulación. El transodio ocupa el plano de la disposición, definido como el rechazo afectivo hacia las identidades trans. Las transexclusiones constituyen el plano de las prácticas, donde dicho transodio se materializa en ámbitos como el familiar, educativo, sanitario y laboral.</w:t>
      </w:r>
    </w:p>
    <w:p w14:paraId="70E55AEE" w14:textId="77777777" w:rsidR="000F6111" w:rsidRPr="0051612C" w:rsidRDefault="000F6111" w:rsidP="000F6111">
      <w:r w:rsidRPr="0051612C">
        <w:t>La estructura ofrece condiciones de posibilidad sin producir el rechazo de manera mecánica, lo que preserva la responsabilidad subjetiva de quien lo ejecuta y da cuenta de la existencia de sujetos que resisten la generonormatividad y disienten de las presiones sociales hacia la transexclusión.</w:t>
      </w:r>
    </w:p>
    <w:p w14:paraId="29DE485C" w14:textId="77777777" w:rsidR="000F6111" w:rsidRPr="0051612C" w:rsidRDefault="000F6111" w:rsidP="001A5ED9">
      <w:pPr>
        <w:pStyle w:val="Ttulo2"/>
      </w:pPr>
      <w:r w:rsidRPr="0051612C">
        <w:t>4.3. Despliegue institucional de las transexclusiones</w:t>
      </w:r>
    </w:p>
    <w:p w14:paraId="4F8ABA7A" w14:textId="77777777" w:rsidR="000F6111" w:rsidRPr="0051612C" w:rsidRDefault="000F6111" w:rsidP="000F6111">
      <w:r w:rsidRPr="0051612C">
        <w:t>La generonormatividad se actualiza de manera contextual en cada ámbito social, y las experiencias de transexclusión en uno condicionan el acceso al siguiente.</w:t>
      </w:r>
    </w:p>
    <w:p w14:paraId="1820B7FC" w14:textId="77777777" w:rsidR="000F6111" w:rsidRPr="0051612C" w:rsidRDefault="000F6111" w:rsidP="000F6111">
      <w:r w:rsidRPr="0051612C">
        <w:t>La familia opera como primer espacio de corrección. Laura describe la expulsión en estos términos: "La familia te expulsa porque tiene que sacarse esa cosa que denuesta y le saca la categoría social de la familia, de un ser que no corresponde y está mal visto" (entrevista, abril de 2019). Su lectura vincula la expulsión con la preservación de una posición social del grupo familiar y la pérdida de ese sostén primario restringe las condiciones de acceso a vivienda y escolarización.</w:t>
      </w:r>
    </w:p>
    <w:p w14:paraId="3A3EF3F9" w14:textId="77777777" w:rsidR="000F6111" w:rsidRPr="0051612C" w:rsidRDefault="000F6111" w:rsidP="000F6111">
      <w:r w:rsidRPr="0051612C">
        <w:t xml:space="preserve">La transexclusión familiar interrumpe tempranamente la escolarización al privar del sostén cotidiano que esta requiere. Años más tarde, algunas trans registran intentos por retomar los estudios. Celeste lo ilustra de la siguiente manera: "El sistema educativo es expulsivo [...] cuando una compañera en situación de prostitución quiere terminar la primaria va a un nocturno y todos son varones y mujeres que no entienden la Ley de Identidad de Género" (entrevista, enero de 2020). Su relato muestra que disponer de una oferta educativa o de un lugar en el aula no garantiza por sí mismo la permanencia. La transexclusión también opera en </w:t>
      </w:r>
      <w:r w:rsidRPr="0051612C">
        <w:lastRenderedPageBreak/>
        <w:t>las relaciones cotidianas que condicionan el reconocimiento y la continuidad de las personas trans dentro de la institución.</w:t>
      </w:r>
    </w:p>
    <w:p w14:paraId="1C225E7E" w14:textId="77777777" w:rsidR="000F6111" w:rsidRPr="0051612C" w:rsidRDefault="000F6111" w:rsidP="000F6111">
      <w:r w:rsidRPr="0051612C">
        <w:t>En el ámbito laboral, los relatos dan cuenta de cómo los prejuicios anteponen la identidad trans al reconocimiento de las capacidades acreditadas. Celeste lo formula así: "Muchas hermanas dicen: para qué me voy a recibir si no voy a poder conseguir trabajo [...] siempre se me va a tomar como travesti y no se me va a tomar por mi capacidad" (entrevista, enero de 2020). Así, la transexclusión laboral opera antes de cualquier proceso de selección.</w:t>
      </w:r>
    </w:p>
    <w:p w14:paraId="6D8FC2BD" w14:textId="77777777" w:rsidR="000F6111" w:rsidRPr="0051612C" w:rsidRDefault="000F6111" w:rsidP="000F6111">
      <w:r w:rsidRPr="0051612C">
        <w:t>Los relevamientos de la comunidad travesti argentina ya habían documentado la clausura del empleo formal y la centralidad de la prostitución como medio de subsistencia (Berkins y Fernández, 2005). La renuncia de algunas personas trans a la escolarización responde a dicho escenario. En este entramado, las identidades trans no disienten del mercado laboral, son disentidas por este, operando una exclusión que afecta incluso a quienes nunca llegan a postularse.</w:t>
      </w:r>
    </w:p>
    <w:p w14:paraId="3F2ECAFD" w14:textId="77777777" w:rsidR="000F6111" w:rsidRPr="0051612C" w:rsidRDefault="000F6111" w:rsidP="000F6111">
      <w:r w:rsidRPr="0051612C">
        <w:t xml:space="preserve">El sistema sanitario es caracterizado en las narrativas como una estructura funcional a la clasificación </w:t>
      </w:r>
      <w:proofErr w:type="spellStart"/>
      <w:r w:rsidRPr="0051612C">
        <w:t>patologizante</w:t>
      </w:r>
      <w:proofErr w:type="spellEnd"/>
      <w:r w:rsidRPr="0051612C">
        <w:t xml:space="preserve"> y al trato deshumanizante. El testimonio de Belén, citado anteriormente, cuestiona el catálogo diagnóstico con el que la medicina hegemonizaba sus identidades. Por su parte, Shantal refiere una escena de atención de urgencia: "Mucha sangre perdí [...] le dije yo no soy una vaca ni un pedazo de carne para que me trates como me estás tratando" (entrevista, abril de 2019). Ambos relatos evidencian experiencias donde las lógicas de clasificación y asistencia médica operan desde una incapacidad para hacer inteligible su subjetividad, reduciéndolas a una condición de alteridad.</w:t>
      </w:r>
    </w:p>
    <w:p w14:paraId="5FF60F56" w14:textId="77777777" w:rsidR="000F6111" w:rsidRPr="0051612C" w:rsidRDefault="000F6111" w:rsidP="001A5ED9">
      <w:pPr>
        <w:pStyle w:val="Ttulo1"/>
      </w:pPr>
      <w:r w:rsidRPr="0051612C">
        <w:t>5. Discusión</w:t>
      </w:r>
    </w:p>
    <w:p w14:paraId="232FFA09" w14:textId="77777777" w:rsidR="000F6111" w:rsidRPr="0051612C" w:rsidRDefault="000F6111" w:rsidP="000F6111">
      <w:r w:rsidRPr="0051612C">
        <w:t xml:space="preserve">Si bien las normas de género regulan también a las identidades cisgénero, la generonormatividad controla específicamente a las trayectorias trans. Una mujer cis con expresión masculina transgrede la dimensión performativa y es sancionada por ello; sin embargo, la correspondencia entre su asignación de género y su anatomía permanece incuestionada. </w:t>
      </w:r>
      <w:r w:rsidRPr="0051612C">
        <w:lastRenderedPageBreak/>
        <w:t>Por el contrario, en las trayectorias trans, la exclusión opera directamente sobre el reconocimiento del ser, lo cual constituye una invalidación ontológica en la línea de los dilemas de reconocimiento planteados por Bettcher (2007, 2014).</w:t>
      </w:r>
    </w:p>
    <w:p w14:paraId="0297F527" w14:textId="77777777" w:rsidR="000F6111" w:rsidRPr="0051612C" w:rsidRDefault="000F6111" w:rsidP="000F6111">
      <w:r w:rsidRPr="0051612C">
        <w:t xml:space="preserve">El análisis sugiere examinar conjuntamente los tres ejes de regulación generonormativa al diseñar intervenciones transinclusivas. La Ley 26.743 es ilustrativa porque, aunque desvincula el reconocimiento identitario de la intervención corporal y del diagnóstico, la asignación originaria y la vigilancia de la expresión performativa quedan fuera de su alcance. Omitir esta mirada estructural sostiene la efectividad de las transexclusiones. El cambio registral no ha anulado por sí solo el castigo familiar, la expulsión escolar, el descarte laboral ni el trato </w:t>
      </w:r>
      <w:proofErr w:type="spellStart"/>
      <w:r w:rsidRPr="0051612C">
        <w:t>patologizante</w:t>
      </w:r>
      <w:proofErr w:type="spellEnd"/>
      <w:r w:rsidRPr="0051612C">
        <w:t xml:space="preserve"> en la salud.</w:t>
      </w:r>
    </w:p>
    <w:p w14:paraId="1AA49065" w14:textId="77777777" w:rsidR="000F6111" w:rsidRPr="0051612C" w:rsidRDefault="000F6111" w:rsidP="000F6111">
      <w:r w:rsidRPr="0051612C">
        <w:t>Esta lectura ofrece criterios para revisar las prácticas institucionales. Exige examinar las orientaciones profesionales de corrección en la familia; las condiciones de matrícula, uniformes y sanitarios en la educación; los requisitos documentales y códigos de presentación previos a las competencias en lo laboral; y el trato, formularios e historias clínicas en la salud. Un enfoque estructural exige dirigir las intervenciones hacia los procedimientos institucionales que sostienen la transexclusión, complementando la atención a las responsabilidades individuales.</w:t>
      </w:r>
    </w:p>
    <w:p w14:paraId="62DD1865" w14:textId="77777777" w:rsidR="000F6111" w:rsidRPr="0051612C" w:rsidRDefault="000F6111" w:rsidP="001A5ED9">
      <w:pPr>
        <w:pStyle w:val="Ttulo1"/>
      </w:pPr>
      <w:r w:rsidRPr="0051612C">
        <w:t>6. Conclusiones</w:t>
      </w:r>
    </w:p>
    <w:p w14:paraId="3511E1F8" w14:textId="77777777" w:rsidR="000F6111" w:rsidRPr="0051612C" w:rsidRDefault="000F6111" w:rsidP="000F6111">
      <w:r w:rsidRPr="0051612C">
        <w:t xml:space="preserve">Las exclusiones que atraviesan las personas trans no se distribuyen al azar entre instituciones independientes. La corrección familiar, la expulsión escolar, el descarte laboral y el trato </w:t>
      </w:r>
      <w:proofErr w:type="spellStart"/>
      <w:r w:rsidRPr="0051612C">
        <w:t>patologizante</w:t>
      </w:r>
      <w:proofErr w:type="spellEnd"/>
      <w:r w:rsidRPr="0051612C">
        <w:t xml:space="preserve"> responden a una misma exigencia de correspondencia entre asignación, genitalidad y expresión.</w:t>
      </w:r>
    </w:p>
    <w:p w14:paraId="0A16B120" w14:textId="77777777" w:rsidR="000F6111" w:rsidRPr="0051612C" w:rsidRDefault="000F6111" w:rsidP="000F6111">
      <w:r w:rsidRPr="0051612C">
        <w:t xml:space="preserve">Nombrar esa exigencia como generonormatividad permite ordenar en una serie lo que los marcos disponibles trataban por separado. La estructura habilita una disposición y la disposición se materializa en prácticas. La aportación de este texto reside en formalizar su articulación y en sostener su carácter condicional, de modo que la estructura explique la regularidad de las exclusiones hacia personas transgénero. </w:t>
      </w:r>
    </w:p>
    <w:p w14:paraId="2395DDC9" w14:textId="77777777" w:rsidR="000F6111" w:rsidRDefault="000F6111" w:rsidP="000F6111">
      <w:r w:rsidRPr="0051612C">
        <w:lastRenderedPageBreak/>
        <w:t>Por consiguiente, la transinclusión social exige interrumpir la correspondencia generonormativa mediante la revisión y visibilización de los dispositivos que la administran. Esto supone intervenir los procedimientos transexcluyentes en cada ámbito: desde los registros escolares hasta los formularios clínicos, y desde los criterios de preselección laboral hasta las orientaciones profesionales dirigidas a las familias.</w:t>
      </w:r>
    </w:p>
    <w:p w14:paraId="58A7027A" w14:textId="77777777" w:rsidR="000F6111" w:rsidRPr="0051612C" w:rsidRDefault="000F6111" w:rsidP="001A5ED9">
      <w:pPr>
        <w:pStyle w:val="Ttulo1"/>
      </w:pPr>
      <w:r w:rsidRPr="0051612C">
        <w:t>7. Agradecimientos</w:t>
      </w:r>
    </w:p>
    <w:p w14:paraId="6CC648D5" w14:textId="0AFF11FE" w:rsidR="000F6111" w:rsidRPr="0051612C" w:rsidRDefault="00E97215" w:rsidP="000F6111">
      <w:r w:rsidRPr="00E97215">
        <w:t>La investigación de la que deriva este capítulo se desarrolló en el marco del Doctorado en Psicología de la Facultad de Psicología de la Universidad de Buenos Aires (UBA) y contó con el financiamiento de una beca de la Secretaría de Educación Superior, Ciencia, Tecnología e Innovación (Senescyt) de Ecuador.</w:t>
      </w:r>
      <w:r>
        <w:t xml:space="preserve"> </w:t>
      </w:r>
      <w:r w:rsidR="000F6111" w:rsidRPr="0051612C">
        <w:t>Agradezco a las femineidades travesti-trans que compartieron sus trayectorias.</w:t>
      </w:r>
    </w:p>
    <w:p w14:paraId="426AF342" w14:textId="77777777" w:rsidR="000F6111" w:rsidRPr="000F6111" w:rsidRDefault="000F6111" w:rsidP="001A5ED9">
      <w:pPr>
        <w:pStyle w:val="Ttulo1"/>
        <w:rPr>
          <w:rStyle w:val="negrita"/>
          <w:b w:val="0"/>
          <w:bCs/>
          <w:lang w:val="en-US"/>
        </w:rPr>
      </w:pPr>
      <w:r w:rsidRPr="000F6111">
        <w:rPr>
          <w:rStyle w:val="negrita"/>
          <w:b w:val="0"/>
          <w:bCs/>
          <w:lang w:val="en-US"/>
        </w:rPr>
        <w:t>8. Referencias</w:t>
      </w:r>
    </w:p>
    <w:p w14:paraId="099A1E03" w14:textId="77777777" w:rsidR="000F6111" w:rsidRPr="0051612C" w:rsidRDefault="000F6111" w:rsidP="00E52619">
      <w:pPr>
        <w:pStyle w:val="Bibliografa"/>
        <w:rPr>
          <w:lang w:val="en-US"/>
        </w:rPr>
      </w:pPr>
      <w:r w:rsidRPr="0051612C">
        <w:rPr>
          <w:lang w:val="en-US"/>
        </w:rPr>
        <w:t xml:space="preserve">Ashley, F. (2018). Don't be so hateful: The insufficiency of anti-discrimination and hate crime laws in improving trans well-being. </w:t>
      </w:r>
      <w:r w:rsidRPr="0051612C">
        <w:rPr>
          <w:i/>
          <w:iCs/>
          <w:lang w:val="en-US"/>
        </w:rPr>
        <w:t>University of Toronto Law Journal, 68</w:t>
      </w:r>
      <w:r w:rsidRPr="0051612C">
        <w:rPr>
          <w:lang w:val="en-US"/>
        </w:rPr>
        <w:t xml:space="preserve">(1), 1-36. </w:t>
      </w:r>
      <w:hyperlink r:id="rId9" w:history="1">
        <w:r w:rsidRPr="0051612C">
          <w:rPr>
            <w:rStyle w:val="Hipervnculo"/>
            <w:rFonts w:cs="Times New Roman"/>
            <w:lang w:val="en-US"/>
          </w:rPr>
          <w:t>https://doi.org/10.3138/utlj.2017-0057</w:t>
        </w:r>
      </w:hyperlink>
    </w:p>
    <w:p w14:paraId="787E1C26" w14:textId="77777777" w:rsidR="000F6111" w:rsidRPr="0051612C" w:rsidRDefault="000F6111" w:rsidP="00E52619">
      <w:pPr>
        <w:pStyle w:val="Bibliografa"/>
        <w:rPr>
          <w:lang w:val="en-US"/>
        </w:rPr>
      </w:pPr>
      <w:r w:rsidRPr="0051612C">
        <w:rPr>
          <w:lang w:val="en-US"/>
        </w:rPr>
        <w:t xml:space="preserve">Bauer, G. R., Hammond, R., Travers, R., Kaay, M., Hohenadel, K. M., y Boyce, M. (2009). "I don't think this is theoretical; this is our lives": How erasure impacts health care for transgender people. </w:t>
      </w:r>
      <w:r w:rsidRPr="0051612C">
        <w:rPr>
          <w:i/>
          <w:iCs/>
          <w:lang w:val="en-US"/>
        </w:rPr>
        <w:t>Journal of the Association of Nurses in AIDS Care, 20</w:t>
      </w:r>
      <w:r w:rsidRPr="0051612C">
        <w:rPr>
          <w:lang w:val="en-US"/>
        </w:rPr>
        <w:t xml:space="preserve">(5), 348-361. </w:t>
      </w:r>
      <w:hyperlink r:id="rId10" w:history="1">
        <w:r w:rsidRPr="0051612C">
          <w:rPr>
            <w:rStyle w:val="Hipervnculo"/>
            <w:rFonts w:cs="Times New Roman"/>
            <w:lang w:val="en-US"/>
          </w:rPr>
          <w:t>https://doi.org/10.1016/j.jana.2009.07.004</w:t>
        </w:r>
      </w:hyperlink>
    </w:p>
    <w:p w14:paraId="190ACD73" w14:textId="77777777" w:rsidR="000F6111" w:rsidRPr="0051612C" w:rsidRDefault="000F6111" w:rsidP="00E52619">
      <w:pPr>
        <w:pStyle w:val="Bibliografa"/>
      </w:pPr>
      <w:r w:rsidRPr="0051612C">
        <w:t>Berkins, L., y Fernández, J. (</w:t>
      </w:r>
      <w:proofErr w:type="spellStart"/>
      <w:r w:rsidRPr="0051612C">
        <w:t>Coords</w:t>
      </w:r>
      <w:proofErr w:type="spellEnd"/>
      <w:r w:rsidRPr="0051612C">
        <w:t xml:space="preserve">.). (2005). </w:t>
      </w:r>
      <w:r w:rsidRPr="0051612C">
        <w:rPr>
          <w:i/>
          <w:iCs/>
        </w:rPr>
        <w:t>La gesta del nombre propio: Informe sobre la situación de la comunidad travesti en la Argentina</w:t>
      </w:r>
      <w:r w:rsidRPr="0051612C">
        <w:t>. Ediciones Madres de Plaza de Mayo.</w:t>
      </w:r>
    </w:p>
    <w:p w14:paraId="4E788121" w14:textId="77777777" w:rsidR="000F6111" w:rsidRPr="0051612C" w:rsidRDefault="000F6111" w:rsidP="00E52619">
      <w:pPr>
        <w:pStyle w:val="Bibliografa"/>
        <w:rPr>
          <w:lang w:val="en-US"/>
        </w:rPr>
      </w:pPr>
      <w:r w:rsidRPr="0051612C">
        <w:t xml:space="preserve">Bertolini, L. M. (2020). </w:t>
      </w:r>
      <w:r w:rsidRPr="0051612C">
        <w:rPr>
          <w:i/>
          <w:iCs/>
        </w:rPr>
        <w:t>Soberanía travesti: Una identidad argentina: Introducción a la teoría crítica travesti latinoamericana</w:t>
      </w:r>
      <w:r w:rsidRPr="0051612C">
        <w:t xml:space="preserve">. </w:t>
      </w:r>
      <w:proofErr w:type="spellStart"/>
      <w:r w:rsidRPr="0051612C">
        <w:rPr>
          <w:lang w:val="en-US"/>
        </w:rPr>
        <w:t>Acercándonos</w:t>
      </w:r>
      <w:proofErr w:type="spellEnd"/>
      <w:r w:rsidRPr="0051612C">
        <w:rPr>
          <w:lang w:val="en-US"/>
        </w:rPr>
        <w:t xml:space="preserve"> Ediciones.</w:t>
      </w:r>
    </w:p>
    <w:p w14:paraId="7FFEAC58" w14:textId="77777777" w:rsidR="000F6111" w:rsidRPr="0051612C" w:rsidRDefault="000F6111" w:rsidP="00E52619">
      <w:pPr>
        <w:pStyle w:val="Bibliografa"/>
        <w:rPr>
          <w:lang w:val="pt-PT"/>
        </w:rPr>
      </w:pPr>
      <w:r w:rsidRPr="0051612C">
        <w:rPr>
          <w:lang w:val="en-US"/>
        </w:rPr>
        <w:t xml:space="preserve">Bettcher, T. M. (2007). Evil deceivers and make-believers: On transphobic violence and the politics of illusion. </w:t>
      </w:r>
      <w:r w:rsidRPr="0051612C">
        <w:rPr>
          <w:i/>
          <w:iCs/>
          <w:lang w:val="pt-PT"/>
        </w:rPr>
        <w:t>Hypatia, 22</w:t>
      </w:r>
      <w:r w:rsidRPr="0051612C">
        <w:rPr>
          <w:lang w:val="pt-PT"/>
        </w:rPr>
        <w:t xml:space="preserve">(3), 43-65. </w:t>
      </w:r>
      <w:r w:rsidRPr="0051612C">
        <w:fldChar w:fldCharType="begin"/>
      </w:r>
      <w:r w:rsidRPr="0051612C">
        <w:rPr>
          <w:lang w:val="pt-PT"/>
        </w:rPr>
        <w:instrText>HYPERLINK "https://doi.org/10.1111/j.1527-2001.2007.tb01090.x"</w:instrText>
      </w:r>
      <w:r w:rsidRPr="0051612C">
        <w:fldChar w:fldCharType="separate"/>
      </w:r>
      <w:r w:rsidRPr="0051612C">
        <w:rPr>
          <w:rStyle w:val="Hipervnculo"/>
          <w:rFonts w:cs="Times New Roman"/>
          <w:lang w:val="pt-PT"/>
        </w:rPr>
        <w:t>https://doi.org/10.1111/j.1527-2001.2007.tb01090.x</w:t>
      </w:r>
      <w:r w:rsidRPr="0051612C">
        <w:fldChar w:fldCharType="end"/>
      </w:r>
    </w:p>
    <w:p w14:paraId="6826B89B" w14:textId="77777777" w:rsidR="000F6111" w:rsidRPr="0051612C" w:rsidRDefault="000F6111" w:rsidP="00E52619">
      <w:pPr>
        <w:pStyle w:val="Bibliografa"/>
        <w:rPr>
          <w:lang w:val="en-US"/>
        </w:rPr>
      </w:pPr>
      <w:r w:rsidRPr="0051612C">
        <w:rPr>
          <w:lang w:val="pt-PT"/>
        </w:rPr>
        <w:t xml:space="preserve">Bettcher, T. M. (2014). </w:t>
      </w:r>
      <w:r w:rsidRPr="0051612C">
        <w:rPr>
          <w:lang w:val="en-US"/>
        </w:rPr>
        <w:t xml:space="preserve">Trapped in the wrong theory: Rethinking trans oppression and resistance. </w:t>
      </w:r>
      <w:r w:rsidRPr="0051612C">
        <w:rPr>
          <w:i/>
          <w:iCs/>
          <w:lang w:val="en-US"/>
        </w:rPr>
        <w:t>Signs: Journal of Women in Culture and Society, 39</w:t>
      </w:r>
      <w:r w:rsidRPr="0051612C">
        <w:rPr>
          <w:lang w:val="en-US"/>
        </w:rPr>
        <w:t xml:space="preserve">(2), 383-406. </w:t>
      </w:r>
      <w:hyperlink r:id="rId11" w:history="1">
        <w:r w:rsidRPr="0051612C">
          <w:rPr>
            <w:rStyle w:val="Hipervnculo"/>
            <w:rFonts w:cs="Times New Roman"/>
            <w:lang w:val="en-US"/>
          </w:rPr>
          <w:t>https://doi.org/10.1086/673088</w:t>
        </w:r>
      </w:hyperlink>
    </w:p>
    <w:p w14:paraId="30851044" w14:textId="77777777" w:rsidR="000F6111" w:rsidRPr="0051612C" w:rsidRDefault="000F6111" w:rsidP="00E52619">
      <w:pPr>
        <w:pStyle w:val="Bibliografa"/>
        <w:rPr>
          <w:lang w:val="en-US"/>
        </w:rPr>
      </w:pPr>
      <w:r w:rsidRPr="0051612C">
        <w:rPr>
          <w:lang w:val="en-US"/>
        </w:rPr>
        <w:lastRenderedPageBreak/>
        <w:t xml:space="preserve">Butler, J. (1990). </w:t>
      </w:r>
      <w:r w:rsidRPr="0051612C">
        <w:rPr>
          <w:i/>
          <w:iCs/>
          <w:lang w:val="en-US"/>
        </w:rPr>
        <w:t>Gender trouble: Feminism and the subversion of identity</w:t>
      </w:r>
      <w:r w:rsidRPr="0051612C">
        <w:rPr>
          <w:lang w:val="en-US"/>
        </w:rPr>
        <w:t>. Routledge</w:t>
      </w:r>
    </w:p>
    <w:p w14:paraId="7BCDC123" w14:textId="77777777" w:rsidR="000F6111" w:rsidRPr="0051612C" w:rsidRDefault="000F6111" w:rsidP="00E52619">
      <w:pPr>
        <w:pStyle w:val="Bibliografa"/>
        <w:rPr>
          <w:lang w:val="en-US"/>
        </w:rPr>
      </w:pPr>
      <w:r w:rsidRPr="0051612C">
        <w:rPr>
          <w:lang w:val="en-US"/>
        </w:rPr>
        <w:t xml:space="preserve">Butler, J. (2004). </w:t>
      </w:r>
      <w:r w:rsidRPr="0051612C">
        <w:rPr>
          <w:i/>
          <w:iCs/>
          <w:lang w:val="en-US"/>
        </w:rPr>
        <w:t>Undoing gender</w:t>
      </w:r>
      <w:r w:rsidRPr="0051612C">
        <w:rPr>
          <w:lang w:val="en-US"/>
        </w:rPr>
        <w:t xml:space="preserve">. Routledge. </w:t>
      </w:r>
      <w:hyperlink r:id="rId12" w:history="1">
        <w:r w:rsidRPr="0051612C">
          <w:rPr>
            <w:rStyle w:val="Hipervnculo"/>
            <w:rFonts w:cs="Times New Roman"/>
            <w:lang w:val="en-US"/>
          </w:rPr>
          <w:t>https://doi.org/10.4324/9780203499627</w:t>
        </w:r>
      </w:hyperlink>
    </w:p>
    <w:p w14:paraId="1F776403" w14:textId="77777777" w:rsidR="000F6111" w:rsidRPr="0051612C" w:rsidRDefault="000F6111" w:rsidP="00E52619">
      <w:pPr>
        <w:pStyle w:val="Bibliografa"/>
      </w:pPr>
      <w:r w:rsidRPr="0051612C">
        <w:rPr>
          <w:lang w:val="en-US"/>
        </w:rPr>
        <w:t xml:space="preserve">Carpio-Mosquera, C. P., Criollo-Armijos, M. A., Peña-Loaiza, G. X., y Sánchez-Padilla, Y. L. (2024). </w:t>
      </w:r>
      <w:proofErr w:type="spellStart"/>
      <w:r w:rsidRPr="0051612C">
        <w:t>Political</w:t>
      </w:r>
      <w:proofErr w:type="spellEnd"/>
      <w:r w:rsidRPr="0051612C">
        <w:t xml:space="preserve"> </w:t>
      </w:r>
      <w:proofErr w:type="spellStart"/>
      <w:r w:rsidRPr="0051612C">
        <w:t>transexclusion</w:t>
      </w:r>
      <w:proofErr w:type="spellEnd"/>
      <w:r w:rsidRPr="0051612C">
        <w:t xml:space="preserve"> and </w:t>
      </w:r>
      <w:proofErr w:type="spellStart"/>
      <w:r w:rsidRPr="0051612C">
        <w:t>transhate</w:t>
      </w:r>
      <w:proofErr w:type="spellEnd"/>
      <w:r w:rsidRPr="0051612C">
        <w:t xml:space="preserve"> in social </w:t>
      </w:r>
      <w:proofErr w:type="spellStart"/>
      <w:r w:rsidRPr="0051612C">
        <w:t>networks</w:t>
      </w:r>
      <w:proofErr w:type="spellEnd"/>
      <w:r w:rsidRPr="0051612C">
        <w:t xml:space="preserve">. </w:t>
      </w:r>
      <w:proofErr w:type="spellStart"/>
      <w:r w:rsidRPr="0051612C">
        <w:rPr>
          <w:i/>
          <w:iCs/>
        </w:rPr>
        <w:t>Telos</w:t>
      </w:r>
      <w:proofErr w:type="spellEnd"/>
      <w:r w:rsidRPr="0051612C">
        <w:rPr>
          <w:i/>
          <w:iCs/>
        </w:rPr>
        <w:t>: Revista de Estudios Interdisciplinarios en Ciencias Sociales, 26</w:t>
      </w:r>
      <w:r w:rsidRPr="0051612C">
        <w:t xml:space="preserve">(2), 481-501. </w:t>
      </w:r>
      <w:hyperlink r:id="rId13" w:history="1">
        <w:r w:rsidRPr="0051612C">
          <w:rPr>
            <w:rStyle w:val="Hipervnculo"/>
            <w:rFonts w:cs="Times New Roman"/>
          </w:rPr>
          <w:t>https://doi.org/10.36390/telos262.16</w:t>
        </w:r>
      </w:hyperlink>
      <w:r w:rsidRPr="0051612C">
        <w:t xml:space="preserve"> </w:t>
      </w:r>
    </w:p>
    <w:p w14:paraId="42448A27" w14:textId="77777777" w:rsidR="000F6111" w:rsidRPr="0051612C" w:rsidRDefault="000F6111" w:rsidP="00E52619">
      <w:pPr>
        <w:pStyle w:val="Bibliografa"/>
        <w:rPr>
          <w:lang w:val="en-US"/>
        </w:rPr>
      </w:pPr>
      <w:r w:rsidRPr="0051612C">
        <w:t xml:space="preserve">Carpio-Mosquera, C. P., y Fontaines-Ruiz, T. (2026). </w:t>
      </w:r>
      <w:r w:rsidRPr="0051612C">
        <w:rPr>
          <w:i/>
          <w:iCs/>
        </w:rPr>
        <w:t>Generonormatividad, transodio y transexclusión: definición conceptual y arquitectura analítica</w:t>
      </w:r>
      <w:r w:rsidRPr="0051612C">
        <w:t xml:space="preserve">. </w:t>
      </w:r>
      <w:proofErr w:type="spellStart"/>
      <w:r w:rsidRPr="0051612C">
        <w:rPr>
          <w:lang w:val="en-US"/>
        </w:rPr>
        <w:t>Zenodo</w:t>
      </w:r>
      <w:proofErr w:type="spellEnd"/>
      <w:r w:rsidRPr="0051612C">
        <w:rPr>
          <w:lang w:val="en-US"/>
        </w:rPr>
        <w:t xml:space="preserve">. </w:t>
      </w:r>
      <w:hyperlink r:id="rId14" w:history="1">
        <w:r w:rsidRPr="0051612C">
          <w:rPr>
            <w:rStyle w:val="Hipervnculo"/>
            <w:rFonts w:cs="Times New Roman"/>
            <w:lang w:val="en-US"/>
          </w:rPr>
          <w:t>https://doi.org/10.5281/zenodo.20897294</w:t>
        </w:r>
      </w:hyperlink>
      <w:r w:rsidRPr="0051612C">
        <w:rPr>
          <w:lang w:val="en-US"/>
        </w:rPr>
        <w:t xml:space="preserve"> </w:t>
      </w:r>
    </w:p>
    <w:p w14:paraId="5A74C372" w14:textId="77777777" w:rsidR="000F6111" w:rsidRPr="0051612C" w:rsidRDefault="000F6111" w:rsidP="00E52619">
      <w:pPr>
        <w:pStyle w:val="Bibliografa"/>
      </w:pPr>
      <w:r w:rsidRPr="0051612C">
        <w:rPr>
          <w:lang w:val="en-US"/>
        </w:rPr>
        <w:t xml:space="preserve">Charmaz, K. (2014). </w:t>
      </w:r>
      <w:r w:rsidRPr="0051612C">
        <w:rPr>
          <w:i/>
          <w:iCs/>
          <w:lang w:val="en-US"/>
        </w:rPr>
        <w:t>Constructing grounded theory</w:t>
      </w:r>
      <w:r w:rsidRPr="0051612C">
        <w:rPr>
          <w:lang w:val="en-US"/>
        </w:rPr>
        <w:t xml:space="preserve"> (2.ª ed.). </w:t>
      </w:r>
      <w:r w:rsidRPr="0051612C">
        <w:t>SAGE</w:t>
      </w:r>
    </w:p>
    <w:p w14:paraId="4C7ADEFB" w14:textId="77777777" w:rsidR="000F6111" w:rsidRPr="0051612C" w:rsidRDefault="000F6111" w:rsidP="00E52619">
      <w:pPr>
        <w:pStyle w:val="Bibliografa"/>
      </w:pPr>
      <w:r w:rsidRPr="0051612C">
        <w:t xml:space="preserve">Comisión Interamericana de Derechos Humanos. (2020). </w:t>
      </w:r>
      <w:r w:rsidRPr="0051612C">
        <w:rPr>
          <w:i/>
          <w:iCs/>
        </w:rPr>
        <w:t>Informe sobre personas trans y de género diverso y sus derechos económicos, sociales, culturales y ambientales</w:t>
      </w:r>
      <w:r w:rsidRPr="0051612C">
        <w:t xml:space="preserve"> (OEA/</w:t>
      </w:r>
      <w:proofErr w:type="spellStart"/>
      <w:r w:rsidRPr="0051612C">
        <w:t>Ser.L</w:t>
      </w:r>
      <w:proofErr w:type="spellEnd"/>
      <w:r w:rsidRPr="0051612C">
        <w:t xml:space="preserve">/V/II. Doc. 239). Organización de los Estados Americanos. </w:t>
      </w:r>
      <w:hyperlink r:id="rId15" w:history="1">
        <w:r w:rsidRPr="0051612C">
          <w:rPr>
            <w:rStyle w:val="Hipervnculo"/>
            <w:rFonts w:cs="Times New Roman"/>
          </w:rPr>
          <w:t>https://www.oas.org/es/cidh/informes/pdfs/PersonasTransDESCA-es.pdf</w:t>
        </w:r>
      </w:hyperlink>
    </w:p>
    <w:p w14:paraId="20C9129C" w14:textId="77777777" w:rsidR="000F6111" w:rsidRPr="0051612C" w:rsidRDefault="000F6111" w:rsidP="00E52619">
      <w:pPr>
        <w:pStyle w:val="Bibliografa"/>
      </w:pPr>
      <w:r w:rsidRPr="0051612C">
        <w:rPr>
          <w:lang w:val="en-US"/>
        </w:rPr>
        <w:t xml:space="preserve">Fausto-Sterling, A. (2000). </w:t>
      </w:r>
      <w:r w:rsidRPr="0051612C">
        <w:rPr>
          <w:i/>
          <w:iCs/>
          <w:lang w:val="en-US"/>
        </w:rPr>
        <w:t>Sexing the body: Gender politics and the construction of sexuality</w:t>
      </w:r>
      <w:r w:rsidRPr="0051612C">
        <w:rPr>
          <w:lang w:val="en-US"/>
        </w:rPr>
        <w:t xml:space="preserve">. </w:t>
      </w:r>
      <w:r w:rsidRPr="0051612C">
        <w:t>Basic Books</w:t>
      </w:r>
    </w:p>
    <w:p w14:paraId="5CDBB2D4" w14:textId="77777777" w:rsidR="000F6111" w:rsidRPr="0051612C" w:rsidRDefault="000F6111" w:rsidP="00E52619">
      <w:pPr>
        <w:pStyle w:val="Bibliografa"/>
      </w:pPr>
      <w:r w:rsidRPr="0051612C">
        <w:t xml:space="preserve">Fernández, A. M. (2021). </w:t>
      </w:r>
      <w:r w:rsidRPr="0051612C">
        <w:rPr>
          <w:i/>
          <w:iCs/>
        </w:rPr>
        <w:t>Psicoanálisis: De los lapsus fundacionales a los feminismos del siglo XXI</w:t>
      </w:r>
      <w:r w:rsidRPr="0051612C">
        <w:t>. Paidós</w:t>
      </w:r>
    </w:p>
    <w:p w14:paraId="736845C8" w14:textId="77777777" w:rsidR="000F6111" w:rsidRPr="0051612C" w:rsidRDefault="000F6111" w:rsidP="00E52619">
      <w:pPr>
        <w:pStyle w:val="Bibliografa"/>
      </w:pPr>
      <w:r w:rsidRPr="0051612C">
        <w:t xml:space="preserve">Flick, U. (2004). </w:t>
      </w:r>
      <w:r w:rsidRPr="0051612C">
        <w:rPr>
          <w:i/>
          <w:iCs/>
        </w:rPr>
        <w:t>Introducción a la investigación cualitativa</w:t>
      </w:r>
      <w:r w:rsidRPr="0051612C">
        <w:t>. Morata</w:t>
      </w:r>
    </w:p>
    <w:p w14:paraId="0249F089" w14:textId="77777777" w:rsidR="000F6111" w:rsidRPr="0051612C" w:rsidRDefault="000F6111" w:rsidP="00E52619">
      <w:pPr>
        <w:pStyle w:val="Bibliografa"/>
        <w:rPr>
          <w:lang w:val="en-US"/>
        </w:rPr>
      </w:pPr>
      <w:r w:rsidRPr="0051612C">
        <w:t xml:space="preserve">Foucault, M. (2002). </w:t>
      </w:r>
      <w:r w:rsidRPr="0051612C">
        <w:rPr>
          <w:i/>
          <w:iCs/>
        </w:rPr>
        <w:t>Vigilar y castigar: Nacimiento de la prisión</w:t>
      </w:r>
      <w:r w:rsidRPr="0051612C">
        <w:t xml:space="preserve"> (A. Garzón del Camino, Trad.). </w:t>
      </w:r>
      <w:r w:rsidRPr="0051612C">
        <w:rPr>
          <w:lang w:val="en-US"/>
        </w:rPr>
        <w:t xml:space="preserve">Siglo XXI. (Obra original </w:t>
      </w:r>
      <w:proofErr w:type="spellStart"/>
      <w:r w:rsidRPr="0051612C">
        <w:rPr>
          <w:lang w:val="en-US"/>
        </w:rPr>
        <w:t>publicada</w:t>
      </w:r>
      <w:proofErr w:type="spellEnd"/>
      <w:r w:rsidRPr="0051612C">
        <w:rPr>
          <w:lang w:val="en-US"/>
        </w:rPr>
        <w:t xml:space="preserve"> </w:t>
      </w:r>
      <w:proofErr w:type="spellStart"/>
      <w:r w:rsidRPr="0051612C">
        <w:rPr>
          <w:lang w:val="en-US"/>
        </w:rPr>
        <w:t>en</w:t>
      </w:r>
      <w:proofErr w:type="spellEnd"/>
      <w:r w:rsidRPr="0051612C">
        <w:rPr>
          <w:lang w:val="en-US"/>
        </w:rPr>
        <w:t xml:space="preserve"> 1975)</w:t>
      </w:r>
    </w:p>
    <w:p w14:paraId="699D7A61" w14:textId="77777777" w:rsidR="000F6111" w:rsidRPr="0051612C" w:rsidRDefault="000F6111" w:rsidP="00E52619">
      <w:pPr>
        <w:pStyle w:val="Bibliografa"/>
        <w:rPr>
          <w:lang w:val="en-US"/>
        </w:rPr>
      </w:pPr>
      <w:r w:rsidRPr="0051612C">
        <w:rPr>
          <w:lang w:val="en-US"/>
        </w:rPr>
        <w:t xml:space="preserve">Foucault, M. (2020). </w:t>
      </w:r>
      <w:r w:rsidRPr="0051612C">
        <w:rPr>
          <w:i/>
          <w:iCs/>
          <w:lang w:val="en-US"/>
        </w:rPr>
        <w:t>The history of sexuality: Vol. 1. The will to knowledge</w:t>
      </w:r>
      <w:r w:rsidRPr="0051612C">
        <w:rPr>
          <w:lang w:val="en-US"/>
        </w:rPr>
        <w:t xml:space="preserve"> (R. Hurley, Trad.). Penguin Classics. (Obra original </w:t>
      </w:r>
      <w:proofErr w:type="spellStart"/>
      <w:r w:rsidRPr="0051612C">
        <w:rPr>
          <w:lang w:val="en-US"/>
        </w:rPr>
        <w:t>publicada</w:t>
      </w:r>
      <w:proofErr w:type="spellEnd"/>
      <w:r w:rsidRPr="0051612C">
        <w:rPr>
          <w:lang w:val="en-US"/>
        </w:rPr>
        <w:t xml:space="preserve"> </w:t>
      </w:r>
      <w:proofErr w:type="spellStart"/>
      <w:r w:rsidRPr="0051612C">
        <w:rPr>
          <w:lang w:val="en-US"/>
        </w:rPr>
        <w:t>en</w:t>
      </w:r>
      <w:proofErr w:type="spellEnd"/>
      <w:r w:rsidRPr="0051612C">
        <w:rPr>
          <w:lang w:val="en-US"/>
        </w:rPr>
        <w:t xml:space="preserve"> 1976)</w:t>
      </w:r>
    </w:p>
    <w:p w14:paraId="596CC770" w14:textId="77777777" w:rsidR="000F6111" w:rsidRPr="0051612C" w:rsidRDefault="000F6111" w:rsidP="00E52619">
      <w:pPr>
        <w:pStyle w:val="Bibliografa"/>
        <w:rPr>
          <w:lang w:val="en-US"/>
        </w:rPr>
      </w:pPr>
      <w:r w:rsidRPr="0051612C">
        <w:rPr>
          <w:lang w:val="en-US"/>
        </w:rPr>
        <w:t xml:space="preserve">Gill-Peterson, J. (2024). </w:t>
      </w:r>
      <w:r w:rsidRPr="0051612C">
        <w:rPr>
          <w:i/>
          <w:iCs/>
          <w:lang w:val="en-US"/>
        </w:rPr>
        <w:t>A short history of trans misogyny</w:t>
      </w:r>
      <w:r w:rsidRPr="0051612C">
        <w:rPr>
          <w:lang w:val="en-US"/>
        </w:rPr>
        <w:t>. Verso Books</w:t>
      </w:r>
    </w:p>
    <w:p w14:paraId="3D2BE942" w14:textId="77777777" w:rsidR="000F6111" w:rsidRPr="0051612C" w:rsidRDefault="000F6111" w:rsidP="00E52619">
      <w:pPr>
        <w:pStyle w:val="Bibliografa"/>
      </w:pPr>
      <w:r w:rsidRPr="0051612C">
        <w:rPr>
          <w:lang w:val="en-US"/>
        </w:rPr>
        <w:t xml:space="preserve">Glaser, B. G., y Strauss, A. L. (1967). </w:t>
      </w:r>
      <w:r w:rsidRPr="0051612C">
        <w:rPr>
          <w:i/>
          <w:iCs/>
          <w:lang w:val="en-US"/>
        </w:rPr>
        <w:t>The discovery of grounded theory: Strategies for qualitative research</w:t>
      </w:r>
      <w:r w:rsidRPr="0051612C">
        <w:rPr>
          <w:lang w:val="en-US"/>
        </w:rPr>
        <w:t xml:space="preserve">. </w:t>
      </w:r>
      <w:r w:rsidRPr="0051612C">
        <w:t>Aldine</w:t>
      </w:r>
    </w:p>
    <w:p w14:paraId="58A04D16" w14:textId="77777777" w:rsidR="000F6111" w:rsidRPr="0051612C" w:rsidRDefault="000F6111" w:rsidP="00E52619">
      <w:pPr>
        <w:pStyle w:val="Bibliografa"/>
      </w:pPr>
      <w:r w:rsidRPr="0051612C">
        <w:t xml:space="preserve">González Rey, F. (2006). </w:t>
      </w:r>
      <w:r w:rsidRPr="0051612C">
        <w:rPr>
          <w:i/>
          <w:iCs/>
        </w:rPr>
        <w:t>Investigación cualitativa y subjetividad</w:t>
      </w:r>
      <w:r w:rsidRPr="0051612C">
        <w:t>. Oficina de Derechos Humanos del Arzobispado de Guatemala</w:t>
      </w:r>
    </w:p>
    <w:p w14:paraId="18BA231B" w14:textId="77777777" w:rsidR="000F6111" w:rsidRPr="0051612C" w:rsidRDefault="000F6111" w:rsidP="00E52619">
      <w:pPr>
        <w:pStyle w:val="Bibliografa"/>
        <w:rPr>
          <w:lang w:val="en-US"/>
        </w:rPr>
      </w:pPr>
      <w:r w:rsidRPr="0051612C">
        <w:rPr>
          <w:lang w:val="en-US"/>
        </w:rPr>
        <w:t xml:space="preserve">Haraway, D. (1988). Situated knowledges: The science question in feminism and the privilege of partial perspective. </w:t>
      </w:r>
      <w:r w:rsidRPr="0051612C">
        <w:rPr>
          <w:i/>
          <w:iCs/>
          <w:lang w:val="en-US"/>
        </w:rPr>
        <w:t>Feminist Studies, 14</w:t>
      </w:r>
      <w:r w:rsidRPr="0051612C">
        <w:rPr>
          <w:lang w:val="en-US"/>
        </w:rPr>
        <w:t xml:space="preserve">(3), 575-599. </w:t>
      </w:r>
      <w:hyperlink r:id="rId16" w:history="1">
        <w:r w:rsidRPr="0051612C">
          <w:rPr>
            <w:rStyle w:val="Hipervnculo"/>
            <w:rFonts w:cs="Times New Roman"/>
            <w:lang w:val="en-US"/>
          </w:rPr>
          <w:t>https://doi.org/10.2307/3178066</w:t>
        </w:r>
      </w:hyperlink>
    </w:p>
    <w:p w14:paraId="37E17BAE" w14:textId="77777777" w:rsidR="000F6111" w:rsidRPr="0051612C" w:rsidRDefault="000F6111" w:rsidP="00E52619">
      <w:pPr>
        <w:pStyle w:val="Bibliografa"/>
        <w:rPr>
          <w:lang w:val="en-US"/>
        </w:rPr>
      </w:pPr>
      <w:proofErr w:type="spellStart"/>
      <w:r w:rsidRPr="0051612C">
        <w:rPr>
          <w:lang w:val="en-US"/>
        </w:rPr>
        <w:t>Hennink</w:t>
      </w:r>
      <w:proofErr w:type="spellEnd"/>
      <w:r w:rsidRPr="0051612C">
        <w:rPr>
          <w:lang w:val="en-US"/>
        </w:rPr>
        <w:t xml:space="preserve">, M. M., Kaiser, B. N., y Marconi, V. C. (2017). Code saturation versus meaning saturation: How many interviews are enough? </w:t>
      </w:r>
      <w:r w:rsidRPr="0051612C">
        <w:rPr>
          <w:i/>
          <w:iCs/>
          <w:lang w:val="en-US"/>
        </w:rPr>
        <w:t>Qualitative Health Research, 27</w:t>
      </w:r>
      <w:r w:rsidRPr="0051612C">
        <w:rPr>
          <w:lang w:val="en-US"/>
        </w:rPr>
        <w:t xml:space="preserve">(4), 591-608. </w:t>
      </w:r>
      <w:hyperlink r:id="rId17" w:history="1">
        <w:r w:rsidRPr="0051612C">
          <w:rPr>
            <w:rStyle w:val="Hipervnculo"/>
            <w:rFonts w:cs="Times New Roman"/>
            <w:lang w:val="en-US"/>
          </w:rPr>
          <w:t>https://doi.org/10.1177/1049732316665344</w:t>
        </w:r>
      </w:hyperlink>
    </w:p>
    <w:p w14:paraId="605296E1" w14:textId="77777777" w:rsidR="000F6111" w:rsidRPr="0051612C" w:rsidRDefault="000F6111" w:rsidP="00E52619">
      <w:pPr>
        <w:pStyle w:val="Bibliografa"/>
        <w:rPr>
          <w:lang w:val="en-US"/>
        </w:rPr>
      </w:pPr>
      <w:r w:rsidRPr="0051612C">
        <w:rPr>
          <w:lang w:val="en-US"/>
        </w:rPr>
        <w:lastRenderedPageBreak/>
        <w:t xml:space="preserve">Lee, C., y Kwan, P. (2014). The trans panic defense: Masculinity, heteronormativity, and the murder of transgender women. </w:t>
      </w:r>
      <w:r w:rsidRPr="0051612C">
        <w:rPr>
          <w:i/>
          <w:iCs/>
          <w:lang w:val="en-US"/>
        </w:rPr>
        <w:t>Hastings Law Journal, 66</w:t>
      </w:r>
      <w:r w:rsidRPr="0051612C">
        <w:rPr>
          <w:lang w:val="en-US"/>
        </w:rPr>
        <w:t xml:space="preserve">(1), 77-132. </w:t>
      </w:r>
      <w:hyperlink r:id="rId18" w:history="1">
        <w:r w:rsidRPr="0051612C">
          <w:rPr>
            <w:rStyle w:val="Hipervnculo"/>
            <w:rFonts w:cs="Times New Roman"/>
            <w:lang w:val="en-US"/>
          </w:rPr>
          <w:t>https://uclawjournal.org/wp-content/uploads/LeeKwan-66.1.pdf</w:t>
        </w:r>
      </w:hyperlink>
    </w:p>
    <w:p w14:paraId="5B731951" w14:textId="77777777" w:rsidR="000F6111" w:rsidRPr="0051612C" w:rsidRDefault="000F6111" w:rsidP="00E52619">
      <w:pPr>
        <w:pStyle w:val="Bibliografa"/>
      </w:pPr>
      <w:r w:rsidRPr="0051612C">
        <w:t xml:space="preserve">Ley 26.743 de 2012. Boletín Oficial de la República Argentina, 32404. </w:t>
      </w:r>
      <w:hyperlink r:id="rId19" w:history="1">
        <w:r w:rsidRPr="0051612C">
          <w:rPr>
            <w:rStyle w:val="Hipervnculo"/>
            <w:rFonts w:cs="Times New Roman"/>
          </w:rPr>
          <w:t>https://www.argentina.gob.ar/normativa/nacional/ley-26743-197860/texto</w:t>
        </w:r>
      </w:hyperlink>
    </w:p>
    <w:p w14:paraId="699F219F" w14:textId="77777777" w:rsidR="000F6111" w:rsidRPr="0051612C" w:rsidRDefault="000F6111" w:rsidP="00E52619">
      <w:pPr>
        <w:pStyle w:val="Bibliografa"/>
        <w:rPr>
          <w:lang w:val="en-US"/>
        </w:rPr>
      </w:pPr>
      <w:r w:rsidRPr="0051612C">
        <w:t xml:space="preserve">Ogarrio, K., Durbin-Matrone, R., De </w:t>
      </w:r>
      <w:proofErr w:type="spellStart"/>
      <w:r w:rsidRPr="0051612C">
        <w:t>Leon</w:t>
      </w:r>
      <w:proofErr w:type="spellEnd"/>
      <w:r w:rsidRPr="0051612C">
        <w:t xml:space="preserve">, B., Wright, L. A., Restar, A., Singh, A. A., y Stojanovski, K. (2025). </w:t>
      </w:r>
      <w:r w:rsidRPr="0051612C">
        <w:rPr>
          <w:lang w:val="en-US"/>
        </w:rPr>
        <w:t xml:space="preserve">Forms of transphobia and their influence on health outcomes among transgender, nonbinary, and gender diverse individuals: A global systematic review. </w:t>
      </w:r>
      <w:r w:rsidRPr="0051612C">
        <w:rPr>
          <w:i/>
          <w:iCs/>
          <w:lang w:val="en-US"/>
        </w:rPr>
        <w:t>International Journal of Transgender Health</w:t>
      </w:r>
      <w:r w:rsidRPr="0051612C">
        <w:rPr>
          <w:lang w:val="en-US"/>
        </w:rPr>
        <w:t xml:space="preserve">, 1-34. </w:t>
      </w:r>
      <w:hyperlink r:id="rId20" w:history="1">
        <w:r w:rsidRPr="0051612C">
          <w:rPr>
            <w:rStyle w:val="Hipervnculo"/>
            <w:rFonts w:cs="Times New Roman"/>
            <w:lang w:val="en-US"/>
          </w:rPr>
          <w:t>https://doi.org/10.1080/26895269.2025.2553739</w:t>
        </w:r>
      </w:hyperlink>
    </w:p>
    <w:p w14:paraId="18D9D1DE" w14:textId="77777777" w:rsidR="000F6111" w:rsidRPr="0051612C" w:rsidRDefault="000F6111" w:rsidP="00E52619">
      <w:pPr>
        <w:pStyle w:val="Bibliografa"/>
        <w:rPr>
          <w:lang w:val="en-US"/>
        </w:rPr>
      </w:pPr>
      <w:r w:rsidRPr="0051612C">
        <w:rPr>
          <w:lang w:val="en-US"/>
        </w:rPr>
        <w:t xml:space="preserve">Preciado, P. B. (2002). </w:t>
      </w:r>
      <w:proofErr w:type="spellStart"/>
      <w:r w:rsidRPr="0051612C">
        <w:rPr>
          <w:i/>
          <w:iCs/>
          <w:lang w:val="en-US"/>
        </w:rPr>
        <w:t>Manifiesto</w:t>
      </w:r>
      <w:proofErr w:type="spellEnd"/>
      <w:r w:rsidRPr="0051612C">
        <w:rPr>
          <w:i/>
          <w:iCs/>
          <w:lang w:val="en-US"/>
        </w:rPr>
        <w:t xml:space="preserve"> </w:t>
      </w:r>
      <w:proofErr w:type="spellStart"/>
      <w:r w:rsidRPr="0051612C">
        <w:rPr>
          <w:i/>
          <w:iCs/>
          <w:lang w:val="en-US"/>
        </w:rPr>
        <w:t>contrasexual</w:t>
      </w:r>
      <w:proofErr w:type="spellEnd"/>
      <w:r w:rsidRPr="0051612C">
        <w:rPr>
          <w:lang w:val="en-US"/>
        </w:rPr>
        <w:t>. Opera Prima</w:t>
      </w:r>
    </w:p>
    <w:p w14:paraId="7754E3D9" w14:textId="77777777" w:rsidR="000F6111" w:rsidRPr="0051612C" w:rsidRDefault="000F6111" w:rsidP="00E52619">
      <w:pPr>
        <w:pStyle w:val="Bibliografa"/>
        <w:rPr>
          <w:lang w:val="en-US"/>
        </w:rPr>
      </w:pPr>
      <w:r w:rsidRPr="0051612C">
        <w:rPr>
          <w:lang w:val="en-US"/>
        </w:rPr>
        <w:t xml:space="preserve">Radi, B. (2019). On trans* epistemology: Critiques, contributions, and challenges. </w:t>
      </w:r>
      <w:r w:rsidRPr="0051612C">
        <w:rPr>
          <w:i/>
          <w:iCs/>
          <w:lang w:val="en-US"/>
        </w:rPr>
        <w:t>TSQ: Transgender Studies Quarterly, 6</w:t>
      </w:r>
      <w:r w:rsidRPr="0051612C">
        <w:rPr>
          <w:lang w:val="en-US"/>
        </w:rPr>
        <w:t xml:space="preserve">(1), 43-63. </w:t>
      </w:r>
      <w:hyperlink r:id="rId21" w:history="1">
        <w:r w:rsidRPr="0051612C">
          <w:rPr>
            <w:rStyle w:val="Hipervnculo"/>
            <w:rFonts w:cs="Times New Roman"/>
            <w:lang w:val="en-US"/>
          </w:rPr>
          <w:t>https://doi.org/10.1215/23289252-7253482</w:t>
        </w:r>
      </w:hyperlink>
    </w:p>
    <w:p w14:paraId="0EB5F080" w14:textId="77777777" w:rsidR="000F6111" w:rsidRPr="0051612C" w:rsidRDefault="000F6111" w:rsidP="00E52619">
      <w:pPr>
        <w:pStyle w:val="Bibliografa"/>
      </w:pPr>
      <w:r w:rsidRPr="0051612C">
        <w:rPr>
          <w:lang w:val="en-US"/>
        </w:rPr>
        <w:t xml:space="preserve">Repo, J. (2015). </w:t>
      </w:r>
      <w:r w:rsidRPr="0051612C">
        <w:rPr>
          <w:i/>
          <w:iCs/>
          <w:lang w:val="en-US"/>
        </w:rPr>
        <w:t>The biopolitics of gender</w:t>
      </w:r>
      <w:r w:rsidRPr="0051612C">
        <w:rPr>
          <w:lang w:val="en-US"/>
        </w:rPr>
        <w:t xml:space="preserve">. Oxford University Press. </w:t>
      </w:r>
      <w:hyperlink r:id="rId22" w:history="1">
        <w:r w:rsidRPr="0051612C">
          <w:rPr>
            <w:rStyle w:val="Hipervnculo"/>
            <w:rFonts w:cs="Times New Roman"/>
          </w:rPr>
          <w:t>https://doi.org/10.1093/acprof:oso/9780190256913.001.0001</w:t>
        </w:r>
      </w:hyperlink>
    </w:p>
    <w:p w14:paraId="74D80AEE" w14:textId="77777777" w:rsidR="000F6111" w:rsidRPr="0051612C" w:rsidRDefault="000F6111" w:rsidP="00E52619">
      <w:pPr>
        <w:pStyle w:val="Bibliografa"/>
        <w:rPr>
          <w:lang w:val="en-US"/>
        </w:rPr>
      </w:pPr>
      <w:r w:rsidRPr="0051612C">
        <w:t xml:space="preserve">Ros-Moreno, E., García-Rojas, A. D., y Carrasco-Macías, M. J. (2024). Realidad actual sobre la inclusión del colectivo trans* en España. </w:t>
      </w:r>
      <w:r w:rsidRPr="0051612C">
        <w:rPr>
          <w:i/>
          <w:iCs/>
          <w:lang w:val="en-US"/>
        </w:rPr>
        <w:t>Multidisciplinary Journal of Gender Studies, 13</w:t>
      </w:r>
      <w:r w:rsidRPr="0051612C">
        <w:rPr>
          <w:lang w:val="en-US"/>
        </w:rPr>
        <w:t xml:space="preserve">(3), 175-196. </w:t>
      </w:r>
      <w:hyperlink r:id="rId23" w:history="1">
        <w:r w:rsidRPr="0051612C">
          <w:rPr>
            <w:rStyle w:val="Hipervnculo"/>
            <w:rFonts w:cs="Times New Roman"/>
            <w:lang w:val="en-US"/>
          </w:rPr>
          <w:t>https://doi.org/10.17583/generos.14145</w:t>
        </w:r>
      </w:hyperlink>
    </w:p>
    <w:p w14:paraId="1F2841A7" w14:textId="77777777" w:rsidR="000F6111" w:rsidRPr="0051612C" w:rsidRDefault="000F6111" w:rsidP="00E52619">
      <w:pPr>
        <w:pStyle w:val="Bibliografa"/>
        <w:rPr>
          <w:lang w:val="en-US"/>
        </w:rPr>
      </w:pPr>
      <w:r w:rsidRPr="000F6111">
        <w:rPr>
          <w:lang w:val="es-EC"/>
        </w:rPr>
        <w:t xml:space="preserve">Samaja, J. (2004). </w:t>
      </w:r>
      <w:r w:rsidRPr="0051612C">
        <w:rPr>
          <w:i/>
          <w:iCs/>
        </w:rPr>
        <w:t>Epistemología y metodología: Elementos para una teoría de la investigación científica</w:t>
      </w:r>
      <w:r w:rsidRPr="0051612C">
        <w:t xml:space="preserve"> (3.ª ed.). </w:t>
      </w:r>
      <w:proofErr w:type="spellStart"/>
      <w:r w:rsidRPr="0051612C">
        <w:rPr>
          <w:lang w:val="en-US"/>
        </w:rPr>
        <w:t>Eudeba</w:t>
      </w:r>
      <w:proofErr w:type="spellEnd"/>
    </w:p>
    <w:p w14:paraId="666B5A70" w14:textId="77777777" w:rsidR="000F6111" w:rsidRPr="0051612C" w:rsidRDefault="000F6111" w:rsidP="00E52619">
      <w:pPr>
        <w:pStyle w:val="Bibliografa"/>
        <w:rPr>
          <w:lang w:val="en-US"/>
        </w:rPr>
      </w:pPr>
      <w:r w:rsidRPr="0051612C">
        <w:rPr>
          <w:lang w:val="en-US"/>
        </w:rPr>
        <w:t xml:space="preserve">Serano, J. (2007). </w:t>
      </w:r>
      <w:r w:rsidRPr="0051612C">
        <w:rPr>
          <w:i/>
          <w:iCs/>
          <w:lang w:val="en-US"/>
        </w:rPr>
        <w:t>Whipping girl: A transsexual woman on sexism and the scapegoating of femininity</w:t>
      </w:r>
      <w:r w:rsidRPr="0051612C">
        <w:rPr>
          <w:lang w:val="en-US"/>
        </w:rPr>
        <w:t>. Seal Press</w:t>
      </w:r>
    </w:p>
    <w:p w14:paraId="3F79726C" w14:textId="77777777" w:rsidR="000F6111" w:rsidRPr="0051612C" w:rsidRDefault="000F6111" w:rsidP="00E52619">
      <w:pPr>
        <w:pStyle w:val="Bibliografa"/>
        <w:rPr>
          <w:lang w:val="en-US"/>
        </w:rPr>
      </w:pPr>
      <w:r w:rsidRPr="0051612C">
        <w:rPr>
          <w:lang w:val="en-US"/>
        </w:rPr>
        <w:t xml:space="preserve">Stryker, S. (2014). Biopolitics. </w:t>
      </w:r>
      <w:r w:rsidRPr="0051612C">
        <w:rPr>
          <w:i/>
          <w:iCs/>
          <w:lang w:val="en-US"/>
        </w:rPr>
        <w:t>TSQ: Transgender Studies Quarterly, 1</w:t>
      </w:r>
      <w:r w:rsidRPr="0051612C">
        <w:rPr>
          <w:lang w:val="en-US"/>
        </w:rPr>
        <w:t xml:space="preserve">(1-2), 38-42. </w:t>
      </w:r>
      <w:hyperlink r:id="rId24" w:history="1">
        <w:r w:rsidRPr="0051612C">
          <w:rPr>
            <w:rStyle w:val="Hipervnculo"/>
            <w:rFonts w:cs="Times New Roman"/>
            <w:lang w:val="en-US"/>
          </w:rPr>
          <w:t>https://doi.org/10.1215/23289252-2399542</w:t>
        </w:r>
      </w:hyperlink>
    </w:p>
    <w:p w14:paraId="31277D1D" w14:textId="77777777" w:rsidR="000F6111" w:rsidRPr="0051612C" w:rsidRDefault="000F6111" w:rsidP="00E52619">
      <w:pPr>
        <w:pStyle w:val="Bibliografa"/>
        <w:rPr>
          <w:lang w:val="en-US"/>
        </w:rPr>
      </w:pPr>
      <w:r w:rsidRPr="0051612C">
        <w:rPr>
          <w:lang w:val="en-US"/>
        </w:rPr>
        <w:t xml:space="preserve">Transgender Europe (TGEU). (2024, 13 de </w:t>
      </w:r>
      <w:proofErr w:type="spellStart"/>
      <w:r w:rsidRPr="0051612C">
        <w:rPr>
          <w:lang w:val="en-US"/>
        </w:rPr>
        <w:t>noviembre</w:t>
      </w:r>
      <w:proofErr w:type="spellEnd"/>
      <w:r w:rsidRPr="0051612C">
        <w:rPr>
          <w:lang w:val="en-US"/>
        </w:rPr>
        <w:t xml:space="preserve">). </w:t>
      </w:r>
      <w:r w:rsidRPr="0051612C">
        <w:rPr>
          <w:i/>
          <w:iCs/>
          <w:lang w:val="en-US"/>
        </w:rPr>
        <w:t>Will the cycle of violence ever end? TGEU's Trans Murder Monitoring project crosses 5,000 cases</w:t>
      </w:r>
      <w:r w:rsidRPr="0051612C">
        <w:rPr>
          <w:lang w:val="en-US"/>
        </w:rPr>
        <w:t xml:space="preserve">. </w:t>
      </w:r>
      <w:hyperlink r:id="rId25" w:history="1">
        <w:r w:rsidRPr="0051612C">
          <w:rPr>
            <w:rStyle w:val="Hipervnculo"/>
            <w:rFonts w:cs="Times New Roman"/>
            <w:lang w:val="en-US"/>
          </w:rPr>
          <w:t>https://tgeu.org/will-the-cycle-of-violence-ever-end-tgeus-trans-murder-monitoring-project-crosses-5000-cases/</w:t>
        </w:r>
      </w:hyperlink>
    </w:p>
    <w:p w14:paraId="52F7A03E" w14:textId="77777777" w:rsidR="000F6111" w:rsidRPr="0051612C" w:rsidRDefault="000F6111" w:rsidP="00E52619">
      <w:pPr>
        <w:pStyle w:val="Bibliografa"/>
        <w:rPr>
          <w:lang w:val="en-US"/>
        </w:rPr>
      </w:pPr>
      <w:r w:rsidRPr="0051612C">
        <w:rPr>
          <w:lang w:val="en-US"/>
        </w:rPr>
        <w:t xml:space="preserve">VERBI Software. (2019). </w:t>
      </w:r>
      <w:r w:rsidRPr="0051612C">
        <w:rPr>
          <w:i/>
          <w:iCs/>
          <w:lang w:val="en-US"/>
        </w:rPr>
        <w:t>MAXQDA 2020</w:t>
      </w:r>
      <w:r w:rsidRPr="0051612C">
        <w:rPr>
          <w:lang w:val="en-US"/>
        </w:rPr>
        <w:t xml:space="preserve"> [Software]. </w:t>
      </w:r>
      <w:hyperlink r:id="rId26" w:history="1">
        <w:r w:rsidRPr="0051612C">
          <w:rPr>
            <w:rStyle w:val="Hipervnculo"/>
            <w:rFonts w:cs="Times New Roman"/>
            <w:lang w:val="en-US"/>
          </w:rPr>
          <w:t>https://www.maxqda.com</w:t>
        </w:r>
      </w:hyperlink>
    </w:p>
    <w:p w14:paraId="00CB5B25" w14:textId="77777777" w:rsidR="000F6111" w:rsidRPr="0051612C" w:rsidRDefault="000F6111" w:rsidP="00E52619">
      <w:pPr>
        <w:pStyle w:val="Bibliografa"/>
        <w:rPr>
          <w:lang w:val="en-US"/>
        </w:rPr>
      </w:pPr>
      <w:r w:rsidRPr="0051612C">
        <w:t xml:space="preserve">Wayar, M. (2018). </w:t>
      </w:r>
      <w:r w:rsidRPr="0051612C">
        <w:rPr>
          <w:i/>
          <w:iCs/>
        </w:rPr>
        <w:t>Travesti: Una teoría lo suficientemente buena</w:t>
      </w:r>
      <w:r w:rsidRPr="0051612C">
        <w:t xml:space="preserve">. </w:t>
      </w:r>
      <w:proofErr w:type="spellStart"/>
      <w:r w:rsidRPr="0051612C">
        <w:rPr>
          <w:lang w:val="en-US"/>
        </w:rPr>
        <w:t>Muchas</w:t>
      </w:r>
      <w:proofErr w:type="spellEnd"/>
      <w:r w:rsidRPr="0051612C">
        <w:rPr>
          <w:lang w:val="en-US"/>
        </w:rPr>
        <w:t xml:space="preserve"> Nueces</w:t>
      </w:r>
    </w:p>
    <w:p w14:paraId="14744E25" w14:textId="77777777" w:rsidR="000F6111" w:rsidRPr="0051612C" w:rsidRDefault="000F6111" w:rsidP="00E52619">
      <w:pPr>
        <w:pStyle w:val="Bibliografa"/>
        <w:rPr>
          <w:lang w:val="en-US"/>
        </w:rPr>
      </w:pPr>
      <w:r w:rsidRPr="0051612C">
        <w:rPr>
          <w:lang w:val="en-US"/>
        </w:rPr>
        <w:t xml:space="preserve">Weinberg, G. (1972). </w:t>
      </w:r>
      <w:r w:rsidRPr="0051612C">
        <w:rPr>
          <w:i/>
          <w:iCs/>
          <w:lang w:val="en-US"/>
        </w:rPr>
        <w:t>Society and the healthy homosexual</w:t>
      </w:r>
      <w:r w:rsidRPr="0051612C">
        <w:rPr>
          <w:lang w:val="en-US"/>
        </w:rPr>
        <w:t>. St. Martin's Press</w:t>
      </w:r>
    </w:p>
    <w:p w14:paraId="4CE6A1A8" w14:textId="77777777" w:rsidR="000F6111" w:rsidRPr="0051612C" w:rsidRDefault="000F6111" w:rsidP="00E52619">
      <w:pPr>
        <w:pStyle w:val="Bibliografa"/>
        <w:rPr>
          <w:lang w:val="en-US"/>
        </w:rPr>
      </w:pPr>
      <w:r w:rsidRPr="0051612C">
        <w:rPr>
          <w:lang w:val="en-US"/>
        </w:rPr>
        <w:t xml:space="preserve">West, C., y Zimmerman, D. H. (1987). Doing gender. </w:t>
      </w:r>
      <w:r w:rsidRPr="0051612C">
        <w:rPr>
          <w:i/>
          <w:iCs/>
          <w:lang w:val="en-US"/>
        </w:rPr>
        <w:t>Gender &amp; Society, 1</w:t>
      </w:r>
      <w:r w:rsidRPr="0051612C">
        <w:rPr>
          <w:lang w:val="en-US"/>
        </w:rPr>
        <w:t xml:space="preserve">(2), 125-151. </w:t>
      </w:r>
      <w:hyperlink r:id="rId27" w:history="1">
        <w:r w:rsidRPr="0051612C">
          <w:rPr>
            <w:rStyle w:val="Hipervnculo"/>
            <w:rFonts w:cs="Times New Roman"/>
            <w:lang w:val="en-US"/>
          </w:rPr>
          <w:t>https://doi.org/10.1177/0891243287001002002</w:t>
        </w:r>
      </w:hyperlink>
    </w:p>
    <w:p w14:paraId="46D4828F" w14:textId="77777777" w:rsidR="000F6111" w:rsidRPr="0051612C" w:rsidRDefault="000F6111" w:rsidP="00E52619">
      <w:pPr>
        <w:pStyle w:val="Bibliografa"/>
      </w:pPr>
      <w:r w:rsidRPr="0051612C">
        <w:rPr>
          <w:lang w:val="en-US"/>
        </w:rPr>
        <w:t xml:space="preserve">Westbrook, L., y Schilt, K. (2014). Doing gender, determining gender: Transgender people, gender panics, and the maintenance of the </w:t>
      </w:r>
      <w:r w:rsidRPr="0051612C">
        <w:rPr>
          <w:lang w:val="en-US"/>
        </w:rPr>
        <w:lastRenderedPageBreak/>
        <w:t xml:space="preserve">sex/gender/sexuality system. </w:t>
      </w:r>
      <w:r w:rsidRPr="0051612C">
        <w:rPr>
          <w:i/>
          <w:iCs/>
        </w:rPr>
        <w:t xml:space="preserve">Gender &amp; </w:t>
      </w:r>
      <w:proofErr w:type="spellStart"/>
      <w:r w:rsidRPr="0051612C">
        <w:rPr>
          <w:i/>
          <w:iCs/>
        </w:rPr>
        <w:t>Society</w:t>
      </w:r>
      <w:proofErr w:type="spellEnd"/>
      <w:r w:rsidRPr="0051612C">
        <w:rPr>
          <w:i/>
          <w:iCs/>
        </w:rPr>
        <w:t>, 28</w:t>
      </w:r>
      <w:r w:rsidRPr="0051612C">
        <w:t xml:space="preserve">(1), 32-57. </w:t>
      </w:r>
      <w:hyperlink r:id="rId28" w:history="1">
        <w:r w:rsidRPr="0051612C">
          <w:rPr>
            <w:rStyle w:val="Hipervnculo"/>
            <w:rFonts w:cs="Times New Roman"/>
          </w:rPr>
          <w:t>https://doi.org/10.1177/0891243213503203</w:t>
        </w:r>
      </w:hyperlink>
    </w:p>
    <w:p w14:paraId="0779DB49" w14:textId="77777777" w:rsidR="002A43CD" w:rsidRPr="00375999" w:rsidRDefault="002A43CD" w:rsidP="002A43CD">
      <w:pPr>
        <w:pStyle w:val="Listado"/>
        <w:numPr>
          <w:ilvl w:val="0"/>
          <w:numId w:val="0"/>
        </w:numPr>
        <w:ind w:left="851"/>
        <w:rPr>
          <w:lang w:eastAsia="es-ES"/>
        </w:rPr>
      </w:pPr>
    </w:p>
    <w:p w14:paraId="41A3A15A" w14:textId="77777777" w:rsidR="00CE0F4B" w:rsidRPr="003512A0" w:rsidRDefault="00CE0F4B" w:rsidP="003512A0">
      <w:pPr>
        <w:rPr>
          <w:rFonts w:cs="Times New Roman"/>
          <w:sz w:val="22"/>
        </w:rPr>
      </w:pPr>
    </w:p>
    <w:p w14:paraId="3944D8C3" w14:textId="77777777" w:rsidR="00CE0F4B" w:rsidRPr="00C45F7D" w:rsidRDefault="00CE0F4B" w:rsidP="008B6A98">
      <w:pPr>
        <w:rPr>
          <w:color w:val="FF0000"/>
        </w:rPr>
      </w:pPr>
    </w:p>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9AFA5" w14:textId="77777777" w:rsidR="00683F8F" w:rsidRDefault="00683F8F" w:rsidP="00EB0247">
      <w:pPr>
        <w:spacing w:after="0" w:line="240" w:lineRule="auto"/>
      </w:pPr>
      <w:r>
        <w:separator/>
      </w:r>
    </w:p>
  </w:endnote>
  <w:endnote w:type="continuationSeparator" w:id="0">
    <w:p w14:paraId="02BC9885" w14:textId="77777777" w:rsidR="00683F8F" w:rsidRDefault="00683F8F"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E7909" w14:textId="77777777" w:rsidR="00683F8F" w:rsidRDefault="00683F8F" w:rsidP="00EB0247">
      <w:pPr>
        <w:spacing w:after="0" w:line="240" w:lineRule="auto"/>
      </w:pPr>
      <w:r>
        <w:separator/>
      </w:r>
    </w:p>
  </w:footnote>
  <w:footnote w:type="continuationSeparator" w:id="0">
    <w:p w14:paraId="654EABDC" w14:textId="77777777" w:rsidR="00683F8F" w:rsidRDefault="00683F8F"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8AE3165"/>
    <w:multiLevelType w:val="hybridMultilevel"/>
    <w:tmpl w:val="1BAAA37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7AF56D9"/>
    <w:multiLevelType w:val="multilevel"/>
    <w:tmpl w:val="F0ACB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886142734">
    <w:abstractNumId w:val="8"/>
  </w:num>
  <w:num w:numId="2" w16cid:durableId="359285301">
    <w:abstractNumId w:val="3"/>
  </w:num>
  <w:num w:numId="3" w16cid:durableId="818039142">
    <w:abstractNumId w:val="2"/>
  </w:num>
  <w:num w:numId="4" w16cid:durableId="1609195702">
    <w:abstractNumId w:val="1"/>
  </w:num>
  <w:num w:numId="5" w16cid:durableId="1004550395">
    <w:abstractNumId w:val="0"/>
  </w:num>
  <w:num w:numId="6" w16cid:durableId="564337494">
    <w:abstractNumId w:val="9"/>
  </w:num>
  <w:num w:numId="7" w16cid:durableId="2091350281">
    <w:abstractNumId w:val="7"/>
  </w:num>
  <w:num w:numId="8" w16cid:durableId="1339843066">
    <w:abstractNumId w:val="6"/>
  </w:num>
  <w:num w:numId="9" w16cid:durableId="533928890">
    <w:abstractNumId w:val="5"/>
  </w:num>
  <w:num w:numId="10" w16cid:durableId="661927606">
    <w:abstractNumId w:val="4"/>
  </w:num>
  <w:num w:numId="11" w16cid:durableId="88234440">
    <w:abstractNumId w:val="11"/>
  </w:num>
  <w:num w:numId="12" w16cid:durableId="1365591805">
    <w:abstractNumId w:val="13"/>
  </w:num>
  <w:num w:numId="13" w16cid:durableId="1945111104">
    <w:abstractNumId w:val="16"/>
  </w:num>
  <w:num w:numId="14" w16cid:durableId="1021204412">
    <w:abstractNumId w:val="17"/>
  </w:num>
  <w:num w:numId="15" w16cid:durableId="1289362739">
    <w:abstractNumId w:val="18"/>
  </w:num>
  <w:num w:numId="16" w16cid:durableId="130947829">
    <w:abstractNumId w:val="28"/>
  </w:num>
  <w:num w:numId="17" w16cid:durableId="1274165456">
    <w:abstractNumId w:val="25"/>
  </w:num>
  <w:num w:numId="18" w16cid:durableId="2133204724">
    <w:abstractNumId w:val="10"/>
  </w:num>
  <w:num w:numId="19" w16cid:durableId="234167540">
    <w:abstractNumId w:val="24"/>
  </w:num>
  <w:num w:numId="20" w16cid:durableId="1742631486">
    <w:abstractNumId w:val="30"/>
  </w:num>
  <w:num w:numId="21" w16cid:durableId="579217320">
    <w:abstractNumId w:val="31"/>
  </w:num>
  <w:num w:numId="22" w16cid:durableId="1379428841">
    <w:abstractNumId w:val="21"/>
  </w:num>
  <w:num w:numId="23" w16cid:durableId="351535902">
    <w:abstractNumId w:val="31"/>
    <w:lvlOverride w:ilvl="0">
      <w:startOverride w:val="1"/>
    </w:lvlOverride>
  </w:num>
  <w:num w:numId="24" w16cid:durableId="350188695">
    <w:abstractNumId w:val="31"/>
    <w:lvlOverride w:ilvl="0">
      <w:startOverride w:val="1"/>
    </w:lvlOverride>
  </w:num>
  <w:num w:numId="25" w16cid:durableId="379672622">
    <w:abstractNumId w:val="12"/>
  </w:num>
  <w:num w:numId="26" w16cid:durableId="852915673">
    <w:abstractNumId w:val="32"/>
  </w:num>
  <w:num w:numId="27" w16cid:durableId="224030982">
    <w:abstractNumId w:val="19"/>
  </w:num>
  <w:num w:numId="28" w16cid:durableId="985277204">
    <w:abstractNumId w:val="20"/>
  </w:num>
  <w:num w:numId="29" w16cid:durableId="1398240833">
    <w:abstractNumId w:val="22"/>
  </w:num>
  <w:num w:numId="30" w16cid:durableId="903611879">
    <w:abstractNumId w:val="15"/>
  </w:num>
  <w:num w:numId="31" w16cid:durableId="628437632">
    <w:abstractNumId w:val="23"/>
  </w:num>
  <w:num w:numId="32" w16cid:durableId="278227284">
    <w:abstractNumId w:val="14"/>
  </w:num>
  <w:num w:numId="33" w16cid:durableId="456609671">
    <w:abstractNumId w:val="26"/>
  </w:num>
  <w:num w:numId="34" w16cid:durableId="1879507802">
    <w:abstractNumId w:val="27"/>
  </w:num>
  <w:num w:numId="35" w16cid:durableId="1172724816">
    <w:abstractNumId w:val="34"/>
  </w:num>
  <w:num w:numId="36" w16cid:durableId="834496038">
    <w:abstractNumId w:val="31"/>
    <w:lvlOverride w:ilvl="0">
      <w:startOverride w:val="1"/>
    </w:lvlOverride>
  </w:num>
  <w:num w:numId="37" w16cid:durableId="1956986274">
    <w:abstractNumId w:val="31"/>
    <w:lvlOverride w:ilvl="0">
      <w:startOverride w:val="1"/>
    </w:lvlOverride>
  </w:num>
  <w:num w:numId="38" w16cid:durableId="401224316">
    <w:abstractNumId w:val="31"/>
    <w:lvlOverride w:ilvl="0">
      <w:startOverride w:val="1"/>
    </w:lvlOverride>
  </w:num>
  <w:num w:numId="39" w16cid:durableId="858154300">
    <w:abstractNumId w:val="34"/>
    <w:lvlOverride w:ilvl="0">
      <w:startOverride w:val="1"/>
    </w:lvlOverride>
  </w:num>
  <w:num w:numId="40" w16cid:durableId="2007781875">
    <w:abstractNumId w:val="34"/>
    <w:lvlOverride w:ilvl="0">
      <w:startOverride w:val="1"/>
    </w:lvlOverride>
  </w:num>
  <w:num w:numId="41" w16cid:durableId="2049450214">
    <w:abstractNumId w:val="31"/>
    <w:lvlOverride w:ilvl="0">
      <w:startOverride w:val="1"/>
    </w:lvlOverride>
  </w:num>
  <w:num w:numId="42" w16cid:durableId="637338089">
    <w:abstractNumId w:val="34"/>
    <w:lvlOverride w:ilvl="0">
      <w:startOverride w:val="1"/>
    </w:lvlOverride>
  </w:num>
  <w:num w:numId="43" w16cid:durableId="269245424">
    <w:abstractNumId w:val="31"/>
    <w:lvlOverride w:ilvl="0">
      <w:startOverride w:val="1"/>
    </w:lvlOverride>
  </w:num>
  <w:num w:numId="44" w16cid:durableId="1739936185">
    <w:abstractNumId w:val="34"/>
    <w:lvlOverride w:ilvl="0">
      <w:startOverride w:val="1"/>
    </w:lvlOverride>
  </w:num>
  <w:num w:numId="45" w16cid:durableId="109011961">
    <w:abstractNumId w:val="29"/>
  </w:num>
  <w:num w:numId="46" w16cid:durableId="97845935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1D3"/>
    <w:rsid w:val="000068CF"/>
    <w:rsid w:val="00012517"/>
    <w:rsid w:val="00033E3E"/>
    <w:rsid w:val="00063421"/>
    <w:rsid w:val="00097EEF"/>
    <w:rsid w:val="000C5EDB"/>
    <w:rsid w:val="000F6111"/>
    <w:rsid w:val="001348A0"/>
    <w:rsid w:val="00140844"/>
    <w:rsid w:val="001468AC"/>
    <w:rsid w:val="0015066B"/>
    <w:rsid w:val="00156F2B"/>
    <w:rsid w:val="00182667"/>
    <w:rsid w:val="00185A00"/>
    <w:rsid w:val="0018654D"/>
    <w:rsid w:val="001950D8"/>
    <w:rsid w:val="00197D57"/>
    <w:rsid w:val="001A5ED9"/>
    <w:rsid w:val="001A7AD8"/>
    <w:rsid w:val="001D39AB"/>
    <w:rsid w:val="00242EFB"/>
    <w:rsid w:val="002433EC"/>
    <w:rsid w:val="00243DA1"/>
    <w:rsid w:val="00254F0F"/>
    <w:rsid w:val="00280126"/>
    <w:rsid w:val="00281564"/>
    <w:rsid w:val="00285B53"/>
    <w:rsid w:val="002A43CD"/>
    <w:rsid w:val="002C5703"/>
    <w:rsid w:val="002D23FB"/>
    <w:rsid w:val="002D268C"/>
    <w:rsid w:val="002F3733"/>
    <w:rsid w:val="003512A0"/>
    <w:rsid w:val="00375999"/>
    <w:rsid w:val="0039591A"/>
    <w:rsid w:val="003C4D9F"/>
    <w:rsid w:val="003E66FB"/>
    <w:rsid w:val="003F7536"/>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5F466B"/>
    <w:rsid w:val="00607EE3"/>
    <w:rsid w:val="006131F7"/>
    <w:rsid w:val="00675757"/>
    <w:rsid w:val="00680332"/>
    <w:rsid w:val="00681364"/>
    <w:rsid w:val="00683F8F"/>
    <w:rsid w:val="0068745E"/>
    <w:rsid w:val="006B7745"/>
    <w:rsid w:val="00714CBD"/>
    <w:rsid w:val="00721EBE"/>
    <w:rsid w:val="00742AC5"/>
    <w:rsid w:val="007701F1"/>
    <w:rsid w:val="00792960"/>
    <w:rsid w:val="007A0F17"/>
    <w:rsid w:val="007B6BFE"/>
    <w:rsid w:val="007E4E94"/>
    <w:rsid w:val="007F0944"/>
    <w:rsid w:val="00816327"/>
    <w:rsid w:val="008238DE"/>
    <w:rsid w:val="00863A4D"/>
    <w:rsid w:val="00897296"/>
    <w:rsid w:val="008A4085"/>
    <w:rsid w:val="008A483F"/>
    <w:rsid w:val="008B6A98"/>
    <w:rsid w:val="008C1056"/>
    <w:rsid w:val="008C2B2C"/>
    <w:rsid w:val="008E5B5C"/>
    <w:rsid w:val="008F1330"/>
    <w:rsid w:val="008F3F8E"/>
    <w:rsid w:val="0091337D"/>
    <w:rsid w:val="009171C1"/>
    <w:rsid w:val="00920563"/>
    <w:rsid w:val="0093429F"/>
    <w:rsid w:val="009477E3"/>
    <w:rsid w:val="00962592"/>
    <w:rsid w:val="00982EB4"/>
    <w:rsid w:val="009847F6"/>
    <w:rsid w:val="0099555E"/>
    <w:rsid w:val="009A336B"/>
    <w:rsid w:val="009C0DFA"/>
    <w:rsid w:val="009C304F"/>
    <w:rsid w:val="009C657C"/>
    <w:rsid w:val="009D0814"/>
    <w:rsid w:val="009D4514"/>
    <w:rsid w:val="009E664A"/>
    <w:rsid w:val="009F5F74"/>
    <w:rsid w:val="00A160A9"/>
    <w:rsid w:val="00A206F1"/>
    <w:rsid w:val="00A346E1"/>
    <w:rsid w:val="00A8553F"/>
    <w:rsid w:val="00AA1533"/>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365FA"/>
    <w:rsid w:val="00D36F76"/>
    <w:rsid w:val="00D47BD3"/>
    <w:rsid w:val="00D86CAA"/>
    <w:rsid w:val="00DA0BED"/>
    <w:rsid w:val="00DC3839"/>
    <w:rsid w:val="00DC5E7D"/>
    <w:rsid w:val="00DE0B74"/>
    <w:rsid w:val="00DF1B76"/>
    <w:rsid w:val="00E04357"/>
    <w:rsid w:val="00E05E1A"/>
    <w:rsid w:val="00E06000"/>
    <w:rsid w:val="00E52619"/>
    <w:rsid w:val="00E649D6"/>
    <w:rsid w:val="00E97215"/>
    <w:rsid w:val="00EB0247"/>
    <w:rsid w:val="00EC01A5"/>
    <w:rsid w:val="00F409E6"/>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6390/telos262.16" TargetMode="External"/><Relationship Id="rId18" Type="http://schemas.openxmlformats.org/officeDocument/2006/relationships/hyperlink" Target="https://uclawjournal.org/wp-content/uploads/LeeKwan-66.1.pdf" TargetMode="External"/><Relationship Id="rId26" Type="http://schemas.openxmlformats.org/officeDocument/2006/relationships/hyperlink" Target="https://www.maxqda.com" TargetMode="External"/><Relationship Id="rId3" Type="http://schemas.openxmlformats.org/officeDocument/2006/relationships/numbering" Target="numbering.xml"/><Relationship Id="rId21" Type="http://schemas.openxmlformats.org/officeDocument/2006/relationships/hyperlink" Target="https://doi.org/10.1215/23289252-7253482" TargetMode="External"/><Relationship Id="rId7" Type="http://schemas.openxmlformats.org/officeDocument/2006/relationships/footnotes" Target="footnotes.xml"/><Relationship Id="rId12" Type="http://schemas.openxmlformats.org/officeDocument/2006/relationships/hyperlink" Target="https://doi.org/10.4324/9780203499627" TargetMode="External"/><Relationship Id="rId17" Type="http://schemas.openxmlformats.org/officeDocument/2006/relationships/hyperlink" Target="https://doi.org/10.1177/1049732316665344" TargetMode="External"/><Relationship Id="rId25" Type="http://schemas.openxmlformats.org/officeDocument/2006/relationships/hyperlink" Target="https://tgeu.org/will-the-cycle-of-violence-ever-end-tgeus-trans-murder-monitoring-project-crosses-5000-cases/" TargetMode="External"/><Relationship Id="rId2" Type="http://schemas.openxmlformats.org/officeDocument/2006/relationships/customXml" Target="../customXml/item1.xml"/><Relationship Id="rId16" Type="http://schemas.openxmlformats.org/officeDocument/2006/relationships/hyperlink" Target="https://doi.org/10.2307/3178066" TargetMode="External"/><Relationship Id="rId20" Type="http://schemas.openxmlformats.org/officeDocument/2006/relationships/hyperlink" Target="https://doi.org/10.1080/26895269.2025.2553739"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oi.org/10.1086/673088" TargetMode="External"/><Relationship Id="rId24" Type="http://schemas.openxmlformats.org/officeDocument/2006/relationships/hyperlink" Target="https://doi.org/10.1215/23289252-2399542" TargetMode="External"/><Relationship Id="rId5" Type="http://schemas.openxmlformats.org/officeDocument/2006/relationships/settings" Target="settings.xml"/><Relationship Id="rId15" Type="http://schemas.openxmlformats.org/officeDocument/2006/relationships/hyperlink" Target="https://www.oas.org/es/cidh/informes/pdfs/PersonasTransDESCA-es.pdf" TargetMode="External"/><Relationship Id="rId23" Type="http://schemas.openxmlformats.org/officeDocument/2006/relationships/hyperlink" Target="https://doi.org/10.17583/generos.14145" TargetMode="External"/><Relationship Id="rId28" Type="http://schemas.openxmlformats.org/officeDocument/2006/relationships/hyperlink" Target="https://doi.org/10.1177/0891243213503203" TargetMode="External"/><Relationship Id="rId10" Type="http://schemas.openxmlformats.org/officeDocument/2006/relationships/hyperlink" Target="https://doi.org/10.1016/j.jana.2009.07.004" TargetMode="External"/><Relationship Id="rId19" Type="http://schemas.openxmlformats.org/officeDocument/2006/relationships/hyperlink" Target="https://www.argentina.gob.ar/normativa/nacional/ley-26743-197860/texto" TargetMode="External"/><Relationship Id="rId4" Type="http://schemas.openxmlformats.org/officeDocument/2006/relationships/styles" Target="styles.xml"/><Relationship Id="rId9" Type="http://schemas.openxmlformats.org/officeDocument/2006/relationships/hyperlink" Target="https://doi.org/10.3138/utlj.2017-0057" TargetMode="External"/><Relationship Id="rId14" Type="http://schemas.openxmlformats.org/officeDocument/2006/relationships/hyperlink" Target="https://doi.org/10.5281/zenodo.20897294" TargetMode="External"/><Relationship Id="rId22" Type="http://schemas.openxmlformats.org/officeDocument/2006/relationships/hyperlink" Target="https://doi.org/10.1093/acprof:oso/9780190256913.001.0001" TargetMode="External"/><Relationship Id="rId27" Type="http://schemas.openxmlformats.org/officeDocument/2006/relationships/hyperlink" Target="https://doi.org/10.1177/0891243287001002002"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7</TotalTime>
  <Pages>14</Pages>
  <Words>4391</Words>
  <Characters>24155</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Carlos Patricio Carpio Mosquera</cp:lastModifiedBy>
  <cp:revision>4</cp:revision>
  <dcterms:created xsi:type="dcterms:W3CDTF">2026-09-07T03:54:00Z</dcterms:created>
  <dcterms:modified xsi:type="dcterms:W3CDTF">2026-09-07T03:59:00Z</dcterms:modified>
  <cp:category>Categoria</cp:category>
  <cp:contentStatus>Estado</cp:contentStatus>
</cp:coreProperties>
</file>