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32A8D" w14:textId="77777777" w:rsidR="00CC6070" w:rsidRPr="006B4593" w:rsidRDefault="00A31992">
      <w:pPr>
        <w:pStyle w:val="Captulo"/>
        <w:rPr>
          <w:rFonts w:cs="Times New Roman"/>
          <w:sz w:val="24"/>
          <w:szCs w:val="24"/>
        </w:rPr>
      </w:pPr>
      <w:r w:rsidRPr="006B4593">
        <w:rPr>
          <w:rFonts w:cs="Times New Roman"/>
          <w:sz w:val="24"/>
          <w:szCs w:val="24"/>
        </w:rPr>
        <w:t>Capítulo XXX</w:t>
      </w:r>
    </w:p>
    <w:p w14:paraId="3AA42084" w14:textId="1E07202F" w:rsidR="00CC6070" w:rsidRPr="006B4593" w:rsidRDefault="0002255D">
      <w:pPr>
        <w:pStyle w:val="TtCap"/>
        <w:rPr>
          <w:rFonts w:cs="Times New Roman"/>
          <w:sz w:val="24"/>
          <w:szCs w:val="24"/>
        </w:rPr>
      </w:pPr>
      <w:r w:rsidRPr="0002255D">
        <w:rPr>
          <w:rFonts w:cs="Times New Roman"/>
          <w:sz w:val="24"/>
          <w:szCs w:val="24"/>
        </w:rPr>
        <w:t>BAREMO DE DECISIÓN PARA LA EVALUACIÓN DEL DESEMPEÑO DOCENTE EN CARRERAS AGROPECUARIAS: instrumento para el aseguramiento de la calidad, productividad y sostenibilidad</w:t>
      </w:r>
      <w:bookmarkStart w:id="0" w:name="_GoBack"/>
      <w:bookmarkEnd w:id="0"/>
    </w:p>
    <w:p w14:paraId="3F3DA12D" w14:textId="77777777" w:rsidR="00FB539F" w:rsidRPr="006B4593" w:rsidRDefault="00A31992">
      <w:pPr>
        <w:pStyle w:val="Autor"/>
        <w:rPr>
          <w:rFonts w:cs="Times New Roman"/>
          <w:sz w:val="24"/>
        </w:rPr>
      </w:pPr>
      <w:r w:rsidRPr="006B4593">
        <w:rPr>
          <w:rFonts w:cs="Times New Roman"/>
          <w:sz w:val="24"/>
        </w:rPr>
        <w:t>John Eloy Franco Rodríguez</w:t>
      </w:r>
      <w:r w:rsidR="00FB539F" w:rsidRPr="006B4593">
        <w:rPr>
          <w:rFonts w:cs="Times New Roman"/>
          <w:sz w:val="24"/>
        </w:rPr>
        <w:t xml:space="preserve"> </w:t>
      </w:r>
    </w:p>
    <w:p w14:paraId="458031C2" w14:textId="63FB6AD0" w:rsidR="00CC6070" w:rsidRPr="006B4593" w:rsidRDefault="00FB539F">
      <w:pPr>
        <w:pStyle w:val="Autor"/>
        <w:rPr>
          <w:rFonts w:cs="Times New Roman"/>
          <w:sz w:val="24"/>
        </w:rPr>
      </w:pPr>
      <w:proofErr w:type="spellStart"/>
      <w:r w:rsidRPr="006B4593">
        <w:rPr>
          <w:rFonts w:cs="Times New Roman"/>
          <w:sz w:val="24"/>
        </w:rPr>
        <w:t>víctor</w:t>
      </w:r>
      <w:proofErr w:type="spellEnd"/>
      <w:r w:rsidRPr="006B4593">
        <w:rPr>
          <w:rFonts w:cs="Times New Roman"/>
          <w:sz w:val="24"/>
        </w:rPr>
        <w:t xml:space="preserve"> </w:t>
      </w:r>
      <w:proofErr w:type="spellStart"/>
      <w:r w:rsidRPr="006B4593">
        <w:rPr>
          <w:rFonts w:cs="Times New Roman"/>
          <w:sz w:val="24"/>
        </w:rPr>
        <w:t>egbert</w:t>
      </w:r>
      <w:proofErr w:type="spellEnd"/>
      <w:r w:rsidRPr="006B4593">
        <w:rPr>
          <w:rFonts w:cs="Times New Roman"/>
          <w:sz w:val="24"/>
        </w:rPr>
        <w:t xml:space="preserve"> chero </w:t>
      </w:r>
      <w:proofErr w:type="spellStart"/>
      <w:r w:rsidRPr="006B4593">
        <w:rPr>
          <w:rFonts w:cs="Times New Roman"/>
          <w:sz w:val="24"/>
        </w:rPr>
        <w:t>alvarado</w:t>
      </w:r>
      <w:proofErr w:type="spellEnd"/>
    </w:p>
    <w:p w14:paraId="6201B618" w14:textId="77777777" w:rsidR="00CC6070" w:rsidRPr="006B4593" w:rsidRDefault="00A31992">
      <w:pPr>
        <w:pStyle w:val="Adscripcin"/>
        <w:rPr>
          <w:rFonts w:cs="Times New Roman"/>
          <w:sz w:val="24"/>
          <w:szCs w:val="24"/>
        </w:rPr>
      </w:pPr>
      <w:r w:rsidRPr="006B4593">
        <w:rPr>
          <w:rFonts w:cs="Times New Roman"/>
          <w:sz w:val="24"/>
          <w:szCs w:val="24"/>
        </w:rPr>
        <w:t>Universidad Católica de Santiago de</w:t>
      </w:r>
      <w:r w:rsidRPr="006B4593">
        <w:rPr>
          <w:rFonts w:cs="Times New Roman"/>
          <w:sz w:val="24"/>
          <w:szCs w:val="24"/>
        </w:rPr>
        <w:t xml:space="preserve"> Guayaquil</w:t>
      </w:r>
    </w:p>
    <w:p w14:paraId="76B38FA8" w14:textId="77777777" w:rsidR="00CC6070" w:rsidRPr="006B4593" w:rsidRDefault="00A31992">
      <w:pPr>
        <w:pStyle w:val="Adscripcin"/>
        <w:rPr>
          <w:rFonts w:cs="Times New Roman"/>
          <w:sz w:val="24"/>
          <w:szCs w:val="24"/>
        </w:rPr>
      </w:pPr>
      <w:r w:rsidRPr="006B4593">
        <w:rPr>
          <w:rFonts w:cs="Times New Roman"/>
          <w:sz w:val="24"/>
          <w:szCs w:val="24"/>
        </w:rPr>
        <w:t xml:space="preserve"> </w:t>
      </w:r>
    </w:p>
    <w:p w14:paraId="619B112C" w14:textId="77777777" w:rsidR="00CC6070" w:rsidRPr="006B4593" w:rsidRDefault="00A31992">
      <w:pPr>
        <w:pStyle w:val="Ttulo1"/>
        <w:rPr>
          <w:rFonts w:cs="Times New Roman"/>
          <w:szCs w:val="24"/>
        </w:rPr>
      </w:pPr>
      <w:r w:rsidRPr="006B4593">
        <w:rPr>
          <w:rFonts w:cs="Times New Roman"/>
          <w:szCs w:val="24"/>
        </w:rPr>
        <w:t>1. Introducción</w:t>
      </w:r>
    </w:p>
    <w:p w14:paraId="14EEA99E" w14:textId="77777777" w:rsidR="00CC6070" w:rsidRPr="006B4593" w:rsidRDefault="00A31992">
      <w:pPr>
        <w:rPr>
          <w:rFonts w:cs="Times New Roman"/>
          <w:sz w:val="24"/>
          <w:szCs w:val="24"/>
        </w:rPr>
      </w:pPr>
      <w:r w:rsidRPr="006B4593">
        <w:rPr>
          <w:rFonts w:cs="Times New Roman"/>
          <w:sz w:val="24"/>
          <w:szCs w:val="24"/>
        </w:rPr>
        <w:t>En el semestre A de 2013, las carreras agropecuarias de la Facultad de Educación Técnica para el Desarrollo (FETD) de la Universidad Católica de Santiago de Guayaquil (UCSG) reunían 37 profesores y 266 estudiantes matriculados.</w:t>
      </w:r>
      <w:r w:rsidRPr="006B4593">
        <w:rPr>
          <w:rFonts w:cs="Times New Roman"/>
          <w:sz w:val="24"/>
          <w:szCs w:val="24"/>
        </w:rPr>
        <w:t xml:space="preserve"> Eran tres ofertas académicas con currículos separados y un claustro parcialmente compartido: Ingeniería Agropecuaria, Ingeniería Agroindustrial y Medicina Veterinaria y Zootecnia. Sobre ese conjunto se levantó la investigación doctoral de la que procede e</w:t>
      </w:r>
      <w:r w:rsidRPr="006B4593">
        <w:rPr>
          <w:rFonts w:cs="Times New Roman"/>
          <w:sz w:val="24"/>
          <w:szCs w:val="24"/>
        </w:rPr>
        <w:t>ste capítulo (Franco Rodríguez, 2016).</w:t>
      </w:r>
    </w:p>
    <w:p w14:paraId="22EDC3B4" w14:textId="77777777" w:rsidR="00CC6070" w:rsidRPr="006B4593" w:rsidRDefault="00A31992">
      <w:pPr>
        <w:rPr>
          <w:rFonts w:cs="Times New Roman"/>
          <w:sz w:val="24"/>
          <w:szCs w:val="24"/>
        </w:rPr>
      </w:pPr>
      <w:r w:rsidRPr="006B4593">
        <w:rPr>
          <w:rFonts w:cs="Times New Roman"/>
          <w:sz w:val="24"/>
          <w:szCs w:val="24"/>
        </w:rPr>
        <w:t>Aquel trabajo preguntaba qué necesitaba aprender ese profesorado para sostener la formación de profesionales agropecuarios frente a la agenda agroalimentaria que el Estado ecuatoriano había fijado al año 2020. Cerró c</w:t>
      </w:r>
      <w:r w:rsidRPr="006B4593">
        <w:rPr>
          <w:rFonts w:cs="Times New Roman"/>
          <w:sz w:val="24"/>
          <w:szCs w:val="24"/>
        </w:rPr>
        <w:t>on cuatro propuestas encadenadas: las necesidades de formación ordenadas por dimensiones, un perfil de competencias del docente agropecuario, un perfil de egreso del graduado y un plan de formación con su correspondiente sistema de evaluación de funciones.</w:t>
      </w:r>
      <w:r w:rsidRPr="006B4593">
        <w:rPr>
          <w:rFonts w:cs="Times New Roman"/>
          <w:sz w:val="24"/>
          <w:szCs w:val="24"/>
        </w:rPr>
        <w:t xml:space="preserve"> Este capítulo desarrolla la última pieza de ese sistema, que es a la vez la menos discutida y la que decide el destino de todo lo anterior: el baremo.</w:t>
      </w:r>
    </w:p>
    <w:p w14:paraId="167997CD" w14:textId="77777777" w:rsidR="00CC6070" w:rsidRPr="006B4593" w:rsidRDefault="00A31992">
      <w:pPr>
        <w:rPr>
          <w:rFonts w:cs="Times New Roman"/>
          <w:sz w:val="24"/>
          <w:szCs w:val="24"/>
        </w:rPr>
      </w:pPr>
      <w:r w:rsidRPr="006B4593">
        <w:rPr>
          <w:rFonts w:cs="Times New Roman"/>
          <w:sz w:val="24"/>
          <w:szCs w:val="24"/>
        </w:rPr>
        <w:lastRenderedPageBreak/>
        <w:t>Conviene precisar el término, porque en la literatura de evaluación docente se usa con sentidos distinto</w:t>
      </w:r>
      <w:r w:rsidRPr="006B4593">
        <w:rPr>
          <w:rFonts w:cs="Times New Roman"/>
          <w:sz w:val="24"/>
          <w:szCs w:val="24"/>
        </w:rPr>
        <w:t>s. Aquí un baremo de decisión no mide: reparte. Es la regla que convierte una puntuación acumulada en una consecuencia académica concreta —reconocimiento, plan de mejora, monitoreo de observación— y que, por lo tanto, define dónde empieza a considerarse in</w:t>
      </w:r>
      <w:r w:rsidRPr="006B4593">
        <w:rPr>
          <w:rFonts w:cs="Times New Roman"/>
          <w:sz w:val="24"/>
          <w:szCs w:val="24"/>
        </w:rPr>
        <w:t>suficiente el desempeño de un profesor. El instrumento que le da entrada es una lista de comprobación de funciones docentes, aplicada por la dirección de carrera sobre conductas observables y no sobre opiniones.</w:t>
      </w:r>
    </w:p>
    <w:p w14:paraId="51C14AEB" w14:textId="77777777" w:rsidR="00CC6070" w:rsidRPr="006B4593" w:rsidRDefault="00A31992">
      <w:pPr>
        <w:rPr>
          <w:rFonts w:cs="Times New Roman"/>
          <w:sz w:val="24"/>
          <w:szCs w:val="24"/>
        </w:rPr>
      </w:pPr>
      <w:r w:rsidRPr="006B4593">
        <w:rPr>
          <w:rFonts w:cs="Times New Roman"/>
          <w:sz w:val="24"/>
          <w:szCs w:val="24"/>
        </w:rPr>
        <w:t>La necesidad institucional era doble. Por un</w:t>
      </w:r>
      <w:r w:rsidRPr="006B4593">
        <w:rPr>
          <w:rFonts w:cs="Times New Roman"/>
          <w:sz w:val="24"/>
          <w:szCs w:val="24"/>
        </w:rPr>
        <w:t xml:space="preserve"> lado, las carreras trabajaban dentro de un sistema de gestión de la calidad certificado, con auditorías periódicas que exigen evidencia documentada de la evaluación del profesorado. Por otro, en el segundo semestre de 2015 la UCSG declaró que se acogería </w:t>
      </w:r>
      <w:r w:rsidRPr="006B4593">
        <w:rPr>
          <w:rFonts w:cs="Times New Roman"/>
          <w:sz w:val="24"/>
          <w:szCs w:val="24"/>
        </w:rPr>
        <w:t>al modelo de acreditación de la Red Internacional de Evaluadores (RIEV). Ese modelo, conocido como modelo «V», encadena cuatro modalidades: autoevaluación, evaluación externa, acreditación y certificación de los egresados (González, 2010; González y Ambriz</w:t>
      </w:r>
      <w:r w:rsidRPr="006B4593">
        <w:rPr>
          <w:rFonts w:cs="Times New Roman"/>
          <w:sz w:val="24"/>
          <w:szCs w:val="24"/>
        </w:rPr>
        <w:t>, 2013). La primera es interna y la institución debe resolverla con evidencia propia, lo que sitúa a la evaluación del desempeño docente en el arranque de la cadena y no como un trámite posterior.</w:t>
      </w:r>
    </w:p>
    <w:p w14:paraId="7F640317" w14:textId="77777777" w:rsidR="00CC6070" w:rsidRPr="006B4593" w:rsidRDefault="00A31992">
      <w:pPr>
        <w:rPr>
          <w:rFonts w:cs="Times New Roman"/>
          <w:sz w:val="24"/>
          <w:szCs w:val="24"/>
        </w:rPr>
      </w:pPr>
      <w:r w:rsidRPr="006B4593">
        <w:rPr>
          <w:rFonts w:cs="Times New Roman"/>
          <w:sz w:val="24"/>
          <w:szCs w:val="24"/>
        </w:rPr>
        <w:t>El marco ecuatoriano añadía presión. La regulación, la eval</w:t>
      </w:r>
      <w:r w:rsidRPr="006B4593">
        <w:rPr>
          <w:rFonts w:cs="Times New Roman"/>
          <w:sz w:val="24"/>
          <w:szCs w:val="24"/>
        </w:rPr>
        <w:t>uación y la acreditación del sistema de educación superior están repartidas entre el Consejo de Educación Superior, el organismo de evaluación y aseguramiento de la calidad y la secretaría nacional del ramo, y el escalafón docente vigente ordena al profeso</w:t>
      </w:r>
      <w:r w:rsidRPr="006B4593">
        <w:rPr>
          <w:rFonts w:cs="Times New Roman"/>
          <w:sz w:val="24"/>
          <w:szCs w:val="24"/>
        </w:rPr>
        <w:t xml:space="preserve">rado en categorías con requisitos distintos de formación y producción. Cualquier instrumento interno de evaluación tenía que producir evidencia utilizable en esos dos frentes a la vez: el de la acreditación de la carrera y el de la carrera profesional del </w:t>
      </w:r>
      <w:r w:rsidRPr="006B4593">
        <w:rPr>
          <w:rFonts w:cs="Times New Roman"/>
          <w:sz w:val="24"/>
          <w:szCs w:val="24"/>
        </w:rPr>
        <w:t>profesor.</w:t>
      </w:r>
    </w:p>
    <w:p w14:paraId="3AD794DF" w14:textId="77777777" w:rsidR="00CC6070" w:rsidRPr="006B4593" w:rsidRDefault="00A31992">
      <w:pPr>
        <w:rPr>
          <w:rFonts w:cs="Times New Roman"/>
          <w:sz w:val="24"/>
          <w:szCs w:val="24"/>
        </w:rPr>
      </w:pPr>
      <w:r w:rsidRPr="006B4593">
        <w:rPr>
          <w:rFonts w:cs="Times New Roman"/>
          <w:sz w:val="24"/>
          <w:szCs w:val="24"/>
        </w:rPr>
        <w:t xml:space="preserve">Hasta entonces, la valoración del profesorado descansaba principalmente en cuestionarios de percepción estudiantil. Ese tipo de escala </w:t>
      </w:r>
      <w:r w:rsidRPr="006B4593">
        <w:rPr>
          <w:rFonts w:cs="Times New Roman"/>
          <w:sz w:val="24"/>
          <w:szCs w:val="24"/>
        </w:rPr>
        <w:lastRenderedPageBreak/>
        <w:t>tiene un límite conocido: recoge satisfacción y atribución, no conducta profesional verificada (Álvarez y Díaz,</w:t>
      </w:r>
      <w:r w:rsidRPr="006B4593">
        <w:rPr>
          <w:rFonts w:cs="Times New Roman"/>
          <w:sz w:val="24"/>
          <w:szCs w:val="24"/>
        </w:rPr>
        <w:t xml:space="preserve"> 2004; Moreno-Murcia et al., 2015). Ruiz Bueno et al. (2008) proponen describir primero las funciones y los escenarios de actuación del profesor universitario, y solo después puntuarlos; Zabalza (2014) insiste en que la competencia docente se manifiesta en</w:t>
      </w:r>
      <w:r w:rsidRPr="006B4593">
        <w:rPr>
          <w:rFonts w:cs="Times New Roman"/>
          <w:sz w:val="24"/>
          <w:szCs w:val="24"/>
        </w:rPr>
        <w:t xml:space="preserve"> el trabajo del equipo académico y no en el aula aislada, y Tobón (2008) sostiene que una competencia solo puede evaluarse contra un desempeño descrito. El instrumento que aquí se presenta sigue esa secuencia.</w:t>
      </w:r>
    </w:p>
    <w:p w14:paraId="7B77113D" w14:textId="4ED19611" w:rsidR="00CC6070" w:rsidRPr="006B4593" w:rsidRDefault="00A31992">
      <w:pPr>
        <w:rPr>
          <w:rFonts w:cs="Times New Roman"/>
          <w:sz w:val="24"/>
          <w:szCs w:val="24"/>
        </w:rPr>
      </w:pPr>
      <w:r w:rsidRPr="006B4593">
        <w:rPr>
          <w:rFonts w:cs="Times New Roman"/>
          <w:sz w:val="24"/>
          <w:szCs w:val="24"/>
        </w:rPr>
        <w:t>El capítulo expone cómo se construyó el instru</w:t>
      </w:r>
      <w:r w:rsidRPr="006B4593">
        <w:rPr>
          <w:rFonts w:cs="Times New Roman"/>
          <w:sz w:val="24"/>
          <w:szCs w:val="24"/>
        </w:rPr>
        <w:t xml:space="preserve">mento, cuál es su estructura y qué reglas de decisión lleva asociadas. </w:t>
      </w:r>
      <w:r w:rsidR="00B25DED" w:rsidRPr="006B4593">
        <w:rPr>
          <w:rFonts w:cs="Times New Roman"/>
          <w:sz w:val="24"/>
          <w:szCs w:val="24"/>
        </w:rPr>
        <w:t>Además,</w:t>
      </w:r>
      <w:r w:rsidRPr="006B4593">
        <w:rPr>
          <w:rFonts w:cs="Times New Roman"/>
          <w:sz w:val="24"/>
          <w:szCs w:val="24"/>
        </w:rPr>
        <w:t xml:space="preserve"> examina dos decisiones que la formulación original dejó implícitas y que condicionan su aplicación: la normalización de la escala y la ponderación de las funciones.</w:t>
      </w:r>
    </w:p>
    <w:p w14:paraId="21DD5663" w14:textId="77777777" w:rsidR="00CC6070" w:rsidRPr="006B4593" w:rsidRDefault="00A31992">
      <w:pPr>
        <w:pStyle w:val="Ttulo1"/>
        <w:rPr>
          <w:rFonts w:cs="Times New Roman"/>
          <w:szCs w:val="24"/>
        </w:rPr>
      </w:pPr>
      <w:r w:rsidRPr="006B4593">
        <w:rPr>
          <w:rFonts w:cs="Times New Roman"/>
          <w:szCs w:val="24"/>
        </w:rPr>
        <w:t>2. Objetivos</w:t>
      </w:r>
    </w:p>
    <w:p w14:paraId="4347C5F1" w14:textId="77777777" w:rsidR="00CC6070" w:rsidRPr="006B4593" w:rsidRDefault="00A31992">
      <w:pPr>
        <w:rPr>
          <w:rFonts w:cs="Times New Roman"/>
          <w:sz w:val="24"/>
          <w:szCs w:val="24"/>
        </w:rPr>
      </w:pPr>
      <w:r w:rsidRPr="006B4593">
        <w:rPr>
          <w:rFonts w:cs="Times New Roman"/>
          <w:sz w:val="24"/>
          <w:szCs w:val="24"/>
        </w:rPr>
        <w:t>El objetivo general fue diseñar un baremo de decisión funcional para valorar de forma sistemática las competencias docentes genéricas y específicas del profesorado de las carreras agropecuarias de la UCSG. De él se derivaron cuatro objetivos específicos:</w:t>
      </w:r>
    </w:p>
    <w:p w14:paraId="33818E4F" w14:textId="77777777" w:rsidR="00CC6070" w:rsidRPr="006B4593" w:rsidRDefault="00A31992">
      <w:pPr>
        <w:pStyle w:val="Listado"/>
        <w:rPr>
          <w:rFonts w:cs="Times New Roman"/>
          <w:sz w:val="24"/>
          <w:szCs w:val="24"/>
        </w:rPr>
      </w:pPr>
      <w:r w:rsidRPr="006B4593">
        <w:rPr>
          <w:rFonts w:cs="Times New Roman"/>
          <w:sz w:val="24"/>
          <w:szCs w:val="24"/>
        </w:rPr>
        <w:t>Identificar las funciones esenciales del docente universitario agropecuario en cada una de las tres carreras, a partir del objeto de estudio y del perfil profesional declarado por cada una.</w:t>
      </w:r>
    </w:p>
    <w:p w14:paraId="0C3D4BC9" w14:textId="77777777" w:rsidR="00CC6070" w:rsidRPr="006B4593" w:rsidRDefault="00A31992">
      <w:pPr>
        <w:pStyle w:val="Listado"/>
        <w:rPr>
          <w:rFonts w:cs="Times New Roman"/>
          <w:sz w:val="24"/>
          <w:szCs w:val="24"/>
        </w:rPr>
      </w:pPr>
      <w:r w:rsidRPr="006B4593">
        <w:rPr>
          <w:rFonts w:cs="Times New Roman"/>
          <w:sz w:val="24"/>
          <w:szCs w:val="24"/>
        </w:rPr>
        <w:t>Estructurar categorías de valoración con criterios observables par</w:t>
      </w:r>
      <w:r w:rsidRPr="006B4593">
        <w:rPr>
          <w:rFonts w:cs="Times New Roman"/>
          <w:sz w:val="24"/>
          <w:szCs w:val="24"/>
        </w:rPr>
        <w:t>a cada función.</w:t>
      </w:r>
    </w:p>
    <w:p w14:paraId="269124C1" w14:textId="77777777" w:rsidR="00CC6070" w:rsidRPr="006B4593" w:rsidRDefault="00A31992">
      <w:pPr>
        <w:pStyle w:val="Listado"/>
        <w:rPr>
          <w:rFonts w:cs="Times New Roman"/>
          <w:sz w:val="24"/>
          <w:szCs w:val="24"/>
        </w:rPr>
      </w:pPr>
      <w:r w:rsidRPr="006B4593">
        <w:rPr>
          <w:rFonts w:cs="Times New Roman"/>
          <w:sz w:val="24"/>
          <w:szCs w:val="24"/>
        </w:rPr>
        <w:t>Establecer la escala de valoración y los puntos de corte que traducen la puntuación en una decisión académica.</w:t>
      </w:r>
    </w:p>
    <w:p w14:paraId="293BC593" w14:textId="77777777" w:rsidR="00CC6070" w:rsidRPr="006B4593" w:rsidRDefault="00A31992">
      <w:pPr>
        <w:pStyle w:val="Listado"/>
        <w:rPr>
          <w:rFonts w:cs="Times New Roman"/>
          <w:sz w:val="24"/>
          <w:szCs w:val="24"/>
        </w:rPr>
      </w:pPr>
      <w:r w:rsidRPr="006B4593">
        <w:rPr>
          <w:rFonts w:cs="Times New Roman"/>
          <w:sz w:val="24"/>
          <w:szCs w:val="24"/>
        </w:rPr>
        <w:t>Definir los mecanismos de retroalimentación y su articulación con el sistema de gestión de la calidad y con el modelo de acredita</w:t>
      </w:r>
      <w:r w:rsidRPr="006B4593">
        <w:rPr>
          <w:rFonts w:cs="Times New Roman"/>
          <w:sz w:val="24"/>
          <w:szCs w:val="24"/>
        </w:rPr>
        <w:t>ción adoptado por la institución.</w:t>
      </w:r>
    </w:p>
    <w:p w14:paraId="75175A7C" w14:textId="77777777" w:rsidR="00CC6070" w:rsidRPr="006B4593" w:rsidRDefault="00A31992">
      <w:pPr>
        <w:pStyle w:val="Ttulo1"/>
        <w:rPr>
          <w:rFonts w:cs="Times New Roman"/>
          <w:szCs w:val="24"/>
        </w:rPr>
      </w:pPr>
      <w:r w:rsidRPr="006B4593">
        <w:rPr>
          <w:rFonts w:cs="Times New Roman"/>
          <w:szCs w:val="24"/>
        </w:rPr>
        <w:lastRenderedPageBreak/>
        <w:t>3. Metodología</w:t>
      </w:r>
    </w:p>
    <w:p w14:paraId="1BF74F32" w14:textId="77777777" w:rsidR="00CC6070" w:rsidRPr="006B4593" w:rsidRDefault="00A31992">
      <w:pPr>
        <w:pStyle w:val="Ttulo2"/>
        <w:rPr>
          <w:rFonts w:cs="Times New Roman"/>
          <w:sz w:val="24"/>
          <w:szCs w:val="24"/>
        </w:rPr>
      </w:pPr>
      <w:r w:rsidRPr="006B4593">
        <w:rPr>
          <w:rFonts w:cs="Times New Roman"/>
          <w:sz w:val="24"/>
          <w:szCs w:val="24"/>
        </w:rPr>
        <w:t>3.1. Enfoque y diseño</w:t>
      </w:r>
    </w:p>
    <w:p w14:paraId="79A5E649" w14:textId="77777777" w:rsidR="00CC6070" w:rsidRPr="006B4593" w:rsidRDefault="00A31992">
      <w:pPr>
        <w:rPr>
          <w:rFonts w:cs="Times New Roman"/>
          <w:sz w:val="24"/>
          <w:szCs w:val="24"/>
        </w:rPr>
      </w:pPr>
      <w:r w:rsidRPr="006B4593">
        <w:rPr>
          <w:rFonts w:cs="Times New Roman"/>
          <w:sz w:val="24"/>
          <w:szCs w:val="24"/>
        </w:rPr>
        <w:t xml:space="preserve">La investigación se condujo desde el paradigma cualitativo, entendido como abordaje centrado en el estudio de casos concretos en su particularidad temporal y local (Flick, 2007), y con </w:t>
      </w:r>
      <w:r w:rsidRPr="006B4593">
        <w:rPr>
          <w:rFonts w:cs="Times New Roman"/>
          <w:sz w:val="24"/>
          <w:szCs w:val="24"/>
        </w:rPr>
        <w:t xml:space="preserve">la apertura </w:t>
      </w:r>
      <w:proofErr w:type="spellStart"/>
      <w:r w:rsidRPr="006B4593">
        <w:rPr>
          <w:rFonts w:cs="Times New Roman"/>
          <w:sz w:val="24"/>
          <w:szCs w:val="24"/>
        </w:rPr>
        <w:t>multimetódica</w:t>
      </w:r>
      <w:proofErr w:type="spellEnd"/>
      <w:r w:rsidRPr="006B4593">
        <w:rPr>
          <w:rFonts w:cs="Times New Roman"/>
          <w:sz w:val="24"/>
          <w:szCs w:val="24"/>
        </w:rPr>
        <w:t xml:space="preserve"> que Gurdián-Fernández (2007) atribuye a este campo. El diseño incorporó datos cuantitativos procedentes de dos cuestionarios de escala Likert, procesados con SPSS, sin que ello alterara el carácter interpretativo del análisis (McM</w:t>
      </w:r>
      <w:r w:rsidRPr="006B4593">
        <w:rPr>
          <w:rFonts w:cs="Times New Roman"/>
          <w:sz w:val="24"/>
          <w:szCs w:val="24"/>
        </w:rPr>
        <w:t>illan y Schumacher, 2005; Cook y Reichardt, 1986). El trabajo de campo se organizó en tres etapas: preparación, análisis y ejecución.</w:t>
      </w:r>
    </w:p>
    <w:p w14:paraId="6C807667" w14:textId="77777777" w:rsidR="00CC6070" w:rsidRPr="006B4593" w:rsidRDefault="00A31992">
      <w:pPr>
        <w:pStyle w:val="Ttulo2"/>
        <w:rPr>
          <w:rFonts w:cs="Times New Roman"/>
          <w:sz w:val="24"/>
          <w:szCs w:val="24"/>
        </w:rPr>
      </w:pPr>
      <w:r w:rsidRPr="006B4593">
        <w:rPr>
          <w:rFonts w:cs="Times New Roman"/>
          <w:sz w:val="24"/>
          <w:szCs w:val="24"/>
        </w:rPr>
        <w:t>3.2. Contexto y participantes</w:t>
      </w:r>
    </w:p>
    <w:p w14:paraId="174B3F3D" w14:textId="7DF6CC22" w:rsidR="00CC6070" w:rsidRPr="006B4593" w:rsidRDefault="00A31992">
      <w:pPr>
        <w:rPr>
          <w:rFonts w:cs="Times New Roman"/>
          <w:sz w:val="24"/>
          <w:szCs w:val="24"/>
        </w:rPr>
      </w:pPr>
      <w:r w:rsidRPr="006B4593">
        <w:rPr>
          <w:rFonts w:cs="Times New Roman"/>
          <w:sz w:val="24"/>
          <w:szCs w:val="24"/>
        </w:rPr>
        <w:t>La población de partida fueron los 37 docentes que dictaron cátedra en las tres carreras agr</w:t>
      </w:r>
      <w:r w:rsidRPr="006B4593">
        <w:rPr>
          <w:rFonts w:cs="Times New Roman"/>
          <w:sz w:val="24"/>
          <w:szCs w:val="24"/>
        </w:rPr>
        <w:t>opecuarias durante el semestre A de 2013 y los</w:t>
      </w:r>
      <w:r w:rsidR="009A5ED0" w:rsidRPr="006B4593">
        <w:rPr>
          <w:rFonts w:cs="Times New Roman"/>
          <w:sz w:val="24"/>
          <w:szCs w:val="24"/>
        </w:rPr>
        <w:t xml:space="preserve">               </w:t>
      </w:r>
      <w:r w:rsidRPr="006B4593">
        <w:rPr>
          <w:rFonts w:cs="Times New Roman"/>
          <w:sz w:val="24"/>
          <w:szCs w:val="24"/>
        </w:rPr>
        <w:t xml:space="preserve"> 266 estudiantes matriculados en el semestre B del mismo año lectivo. La muestra docente se estableció en el 100 % del claustro que impartió clases en el semestre A de 2014, es decir, los 37 profesores. La mues</w:t>
      </w:r>
      <w:r w:rsidRPr="006B4593">
        <w:rPr>
          <w:rFonts w:cs="Times New Roman"/>
          <w:sz w:val="24"/>
          <w:szCs w:val="24"/>
        </w:rPr>
        <w:t>tra estudiantil se fijó en el 60 % de los matriculados en el semestre B de 2014, lo que dio 170 alumnos.</w:t>
      </w:r>
    </w:p>
    <w:p w14:paraId="3CC5B757" w14:textId="77777777" w:rsidR="00CC6070" w:rsidRPr="006B4593" w:rsidRDefault="00A31992">
      <w:pPr>
        <w:rPr>
          <w:rFonts w:cs="Times New Roman"/>
          <w:sz w:val="24"/>
          <w:szCs w:val="24"/>
        </w:rPr>
      </w:pPr>
      <w:r w:rsidRPr="006B4593">
        <w:rPr>
          <w:rFonts w:cs="Times New Roman"/>
          <w:sz w:val="24"/>
          <w:szCs w:val="24"/>
        </w:rPr>
        <w:t xml:space="preserve">El muestreo combinó dos criterios descritos por </w:t>
      </w:r>
      <w:proofErr w:type="spellStart"/>
      <w:r w:rsidRPr="006B4593">
        <w:rPr>
          <w:rFonts w:cs="Times New Roman"/>
          <w:sz w:val="24"/>
          <w:szCs w:val="24"/>
        </w:rPr>
        <w:t>Olabuénaga</w:t>
      </w:r>
      <w:proofErr w:type="spellEnd"/>
      <w:r w:rsidRPr="006B4593">
        <w:rPr>
          <w:rFonts w:cs="Times New Roman"/>
          <w:sz w:val="24"/>
          <w:szCs w:val="24"/>
        </w:rPr>
        <w:t xml:space="preserve"> (2012): teórico, para seleccionar y codificar la documentación institucional analizada, e in</w:t>
      </w:r>
      <w:r w:rsidRPr="006B4593">
        <w:rPr>
          <w:rFonts w:cs="Times New Roman"/>
          <w:sz w:val="24"/>
          <w:szCs w:val="24"/>
        </w:rPr>
        <w:t>tencional-opinático, para los grupos de discusión, los cuestionarios y las entrevistas.</w:t>
      </w:r>
    </w:p>
    <w:p w14:paraId="08175695" w14:textId="77777777" w:rsidR="00CC6070" w:rsidRPr="006B4593" w:rsidRDefault="00A31992">
      <w:pPr>
        <w:pStyle w:val="Ttulo2"/>
        <w:rPr>
          <w:rFonts w:cs="Times New Roman"/>
          <w:sz w:val="24"/>
          <w:szCs w:val="24"/>
        </w:rPr>
      </w:pPr>
      <w:r w:rsidRPr="006B4593">
        <w:rPr>
          <w:rFonts w:cs="Times New Roman"/>
          <w:sz w:val="24"/>
          <w:szCs w:val="24"/>
        </w:rPr>
        <w:t>3.3. Técnicas e instrumentos</w:t>
      </w:r>
    </w:p>
    <w:p w14:paraId="02613AAB" w14:textId="77777777" w:rsidR="00CC6070" w:rsidRPr="006B4593" w:rsidRDefault="00A31992">
      <w:pPr>
        <w:rPr>
          <w:rFonts w:cs="Times New Roman"/>
          <w:sz w:val="24"/>
          <w:szCs w:val="24"/>
        </w:rPr>
      </w:pPr>
      <w:r w:rsidRPr="006B4593">
        <w:rPr>
          <w:rFonts w:cs="Times New Roman"/>
          <w:sz w:val="24"/>
          <w:szCs w:val="24"/>
        </w:rPr>
        <w:t>Se emplearon seis técnicas. El análisis documental cubrió la normativa del sistema de educación superior ecuatoriano y los documentos de pl</w:t>
      </w:r>
      <w:r w:rsidRPr="006B4593">
        <w:rPr>
          <w:rFonts w:cs="Times New Roman"/>
          <w:sz w:val="24"/>
          <w:szCs w:val="24"/>
        </w:rPr>
        <w:t xml:space="preserve">anificación de la unidad académica. Los grupos de discusión con profesores y autoridades sirvieron para delimitar el campo antes de redactar los cuestionarios. El </w:t>
      </w:r>
      <w:r w:rsidRPr="006B4593">
        <w:rPr>
          <w:rFonts w:cs="Times New Roman"/>
          <w:i/>
          <w:sz w:val="24"/>
          <w:szCs w:val="24"/>
        </w:rPr>
        <w:t xml:space="preserve">Cuestionario para la valoración de </w:t>
      </w:r>
      <w:r w:rsidRPr="006B4593">
        <w:rPr>
          <w:rFonts w:cs="Times New Roman"/>
          <w:i/>
          <w:sz w:val="24"/>
          <w:szCs w:val="24"/>
        </w:rPr>
        <w:lastRenderedPageBreak/>
        <w:t>las prácticas docentes</w:t>
      </w:r>
      <w:r w:rsidRPr="006B4593">
        <w:rPr>
          <w:rFonts w:cs="Times New Roman"/>
          <w:sz w:val="24"/>
          <w:szCs w:val="24"/>
        </w:rPr>
        <w:t xml:space="preserve"> recogió la autovaloración del profe</w:t>
      </w:r>
      <w:r w:rsidRPr="006B4593">
        <w:rPr>
          <w:rFonts w:cs="Times New Roman"/>
          <w:sz w:val="24"/>
          <w:szCs w:val="24"/>
        </w:rPr>
        <w:t xml:space="preserve">sorado sobre 60 elementos. El </w:t>
      </w:r>
      <w:r w:rsidRPr="006B4593">
        <w:rPr>
          <w:rFonts w:cs="Times New Roman"/>
          <w:i/>
          <w:sz w:val="24"/>
          <w:szCs w:val="24"/>
        </w:rPr>
        <w:t>Cuestionario de percepción estudiantil sobre la formación recibida</w:t>
      </w:r>
      <w:r w:rsidRPr="006B4593">
        <w:rPr>
          <w:rFonts w:cs="Times New Roman"/>
          <w:sz w:val="24"/>
          <w:szCs w:val="24"/>
        </w:rPr>
        <w:t xml:space="preserve"> abarcó 192 elementos. Por último, dos guiones de entrevista semiestructurada, armonizados entre sí pregunta por pregunta, se aplicaron a graduados de Ingenierí</w:t>
      </w:r>
      <w:r w:rsidRPr="006B4593">
        <w:rPr>
          <w:rFonts w:cs="Times New Roman"/>
          <w:sz w:val="24"/>
          <w:szCs w:val="24"/>
        </w:rPr>
        <w:t>a Agropecuaria y a empleadores de profesionales agropecuarios formados en la UCSG.</w:t>
      </w:r>
    </w:p>
    <w:p w14:paraId="67146FDC" w14:textId="77777777" w:rsidR="00CC6070" w:rsidRPr="006B4593" w:rsidRDefault="00A31992">
      <w:pPr>
        <w:rPr>
          <w:rFonts w:cs="Times New Roman"/>
          <w:sz w:val="24"/>
          <w:szCs w:val="24"/>
        </w:rPr>
      </w:pPr>
      <w:r w:rsidRPr="006B4593">
        <w:rPr>
          <w:rFonts w:cs="Times New Roman"/>
          <w:sz w:val="24"/>
          <w:szCs w:val="24"/>
        </w:rPr>
        <w:t xml:space="preserve">Los dos talleres de expertos se celebraron antes de redactar ningún ítem, con </w:t>
      </w:r>
      <w:proofErr w:type="spellStart"/>
      <w:r w:rsidRPr="006B4593">
        <w:rPr>
          <w:rFonts w:cs="Times New Roman"/>
          <w:sz w:val="24"/>
          <w:szCs w:val="24"/>
        </w:rPr>
        <w:t>agroproductores</w:t>
      </w:r>
      <w:proofErr w:type="spellEnd"/>
      <w:r w:rsidRPr="006B4593">
        <w:rPr>
          <w:rFonts w:cs="Times New Roman"/>
          <w:sz w:val="24"/>
          <w:szCs w:val="24"/>
        </w:rPr>
        <w:t xml:space="preserve">, </w:t>
      </w:r>
      <w:proofErr w:type="spellStart"/>
      <w:r w:rsidRPr="006B4593">
        <w:rPr>
          <w:rFonts w:cs="Times New Roman"/>
          <w:sz w:val="24"/>
          <w:szCs w:val="24"/>
        </w:rPr>
        <w:t>agroinversionistas</w:t>
      </w:r>
      <w:proofErr w:type="spellEnd"/>
      <w:r w:rsidRPr="006B4593">
        <w:rPr>
          <w:rFonts w:cs="Times New Roman"/>
          <w:sz w:val="24"/>
          <w:szCs w:val="24"/>
        </w:rPr>
        <w:t xml:space="preserve">, </w:t>
      </w:r>
      <w:proofErr w:type="spellStart"/>
      <w:r w:rsidRPr="006B4593">
        <w:rPr>
          <w:rFonts w:cs="Times New Roman"/>
          <w:sz w:val="24"/>
          <w:szCs w:val="24"/>
        </w:rPr>
        <w:t>agroempresarios</w:t>
      </w:r>
      <w:proofErr w:type="spellEnd"/>
      <w:r w:rsidRPr="006B4593">
        <w:rPr>
          <w:rFonts w:cs="Times New Roman"/>
          <w:sz w:val="24"/>
          <w:szCs w:val="24"/>
        </w:rPr>
        <w:t xml:space="preserve">, </w:t>
      </w:r>
      <w:proofErr w:type="spellStart"/>
      <w:r w:rsidRPr="006B4593">
        <w:rPr>
          <w:rFonts w:cs="Times New Roman"/>
          <w:sz w:val="24"/>
          <w:szCs w:val="24"/>
        </w:rPr>
        <w:t>agroinvestigadores</w:t>
      </w:r>
      <w:proofErr w:type="spellEnd"/>
      <w:r w:rsidRPr="006B4593">
        <w:rPr>
          <w:rFonts w:cs="Times New Roman"/>
          <w:sz w:val="24"/>
          <w:szCs w:val="24"/>
        </w:rPr>
        <w:t xml:space="preserve">, </w:t>
      </w:r>
      <w:proofErr w:type="spellStart"/>
      <w:r w:rsidRPr="006B4593">
        <w:rPr>
          <w:rFonts w:cs="Times New Roman"/>
          <w:sz w:val="24"/>
          <w:szCs w:val="24"/>
        </w:rPr>
        <w:t>agroextensionistas</w:t>
      </w:r>
      <w:proofErr w:type="spellEnd"/>
      <w:r w:rsidRPr="006B4593">
        <w:rPr>
          <w:rFonts w:cs="Times New Roman"/>
          <w:sz w:val="24"/>
          <w:szCs w:val="24"/>
        </w:rPr>
        <w:t xml:space="preserve"> y autoridades académicas de otras instituciones de educación superior. De ahí salió la agenda agroalimentaria de referencia contra la cual se definirían después las competencias del profesorado. Sobre esa base se diseñó el prototipo del cuestionario docen</w:t>
      </w:r>
      <w:r w:rsidRPr="006B4593">
        <w:rPr>
          <w:rFonts w:cs="Times New Roman"/>
          <w:sz w:val="24"/>
          <w:szCs w:val="24"/>
        </w:rPr>
        <w:t>te con escala Likert, tomando como armazón la guía de competencias transversales de la Universidad de Almería. El prototipo pasó por calificación de jueces expertos y por un ensayo con un grupo focal equivalente al 10 % del claustro. El cuestionario estudi</w:t>
      </w:r>
      <w:r w:rsidRPr="006B4593">
        <w:rPr>
          <w:rFonts w:cs="Times New Roman"/>
          <w:sz w:val="24"/>
          <w:szCs w:val="24"/>
        </w:rPr>
        <w:t>antil se pilotó con 66 alumnos, el 25 % de los 266 matriculados. Los borradores iniciales tenían 85 preguntas para docentes y 60 para estudiantes, y se reformularon tras esa validación.</w:t>
      </w:r>
    </w:p>
    <w:p w14:paraId="16143E8B" w14:textId="77777777" w:rsidR="00CC6070" w:rsidRPr="006B4593" w:rsidRDefault="00A31992">
      <w:pPr>
        <w:pStyle w:val="Ttulo2"/>
        <w:rPr>
          <w:rFonts w:cs="Times New Roman"/>
          <w:sz w:val="24"/>
          <w:szCs w:val="24"/>
        </w:rPr>
      </w:pPr>
      <w:r w:rsidRPr="006B4593">
        <w:rPr>
          <w:rFonts w:cs="Times New Roman"/>
          <w:sz w:val="24"/>
          <w:szCs w:val="24"/>
        </w:rPr>
        <w:t>3.4. Fiabilidad de los cuestionarios</w:t>
      </w:r>
    </w:p>
    <w:p w14:paraId="21B00907" w14:textId="77777777" w:rsidR="00CC6070" w:rsidRPr="006B4593" w:rsidRDefault="00A31992">
      <w:pPr>
        <w:rPr>
          <w:rFonts w:cs="Times New Roman"/>
          <w:sz w:val="24"/>
          <w:szCs w:val="24"/>
        </w:rPr>
      </w:pPr>
      <w:r w:rsidRPr="006B4593">
        <w:rPr>
          <w:rFonts w:cs="Times New Roman"/>
          <w:sz w:val="24"/>
          <w:szCs w:val="24"/>
        </w:rPr>
        <w:t>Ambos cuestionarios se sometieron</w:t>
      </w:r>
      <w:r w:rsidRPr="006B4593">
        <w:rPr>
          <w:rFonts w:cs="Times New Roman"/>
          <w:sz w:val="24"/>
          <w:szCs w:val="24"/>
        </w:rPr>
        <w:t xml:space="preserve"> al cálculo del alfa de Cronbach (1951). El instrumento docente, con 60 elementos, alcanzó un alfa de 0,930, que sube a 0,941 sobre los elementos tipificados. El instrumento estudiantil, con 192 elementos, obtuvo 0,978 y 0,980 respectivamente. Los dos supe</w:t>
      </w:r>
      <w:r w:rsidRPr="006B4593">
        <w:rPr>
          <w:rFonts w:cs="Times New Roman"/>
          <w:sz w:val="24"/>
          <w:szCs w:val="24"/>
        </w:rPr>
        <w:t>ran con holgura el umbral de 0,80 que suele exigirse para dar por fiable una escala, aunque conviene recordar que en instrumentos tan extensos el coeficiente crece por efecto del número de ítems y no solo por la coherencia interna del constructo.</w:t>
      </w:r>
    </w:p>
    <w:p w14:paraId="795723A9" w14:textId="77777777" w:rsidR="00CC6070" w:rsidRPr="006B4593" w:rsidRDefault="00A31992">
      <w:pPr>
        <w:pStyle w:val="Ttulo2"/>
        <w:rPr>
          <w:rFonts w:cs="Times New Roman"/>
          <w:sz w:val="24"/>
          <w:szCs w:val="24"/>
        </w:rPr>
      </w:pPr>
      <w:r w:rsidRPr="006B4593">
        <w:rPr>
          <w:rFonts w:cs="Times New Roman"/>
          <w:sz w:val="24"/>
          <w:szCs w:val="24"/>
        </w:rPr>
        <w:t>3.5. De l</w:t>
      </w:r>
      <w:r w:rsidRPr="006B4593">
        <w:rPr>
          <w:rFonts w:cs="Times New Roman"/>
          <w:sz w:val="24"/>
          <w:szCs w:val="24"/>
        </w:rPr>
        <w:t>a triangulación al instrumento</w:t>
      </w:r>
    </w:p>
    <w:p w14:paraId="1F000D99" w14:textId="77777777" w:rsidR="00CC6070" w:rsidRPr="006B4593" w:rsidRDefault="00A31992">
      <w:pPr>
        <w:rPr>
          <w:rFonts w:cs="Times New Roman"/>
          <w:sz w:val="24"/>
          <w:szCs w:val="24"/>
        </w:rPr>
      </w:pPr>
      <w:r w:rsidRPr="006B4593">
        <w:rPr>
          <w:rFonts w:cs="Times New Roman"/>
          <w:sz w:val="24"/>
          <w:szCs w:val="24"/>
        </w:rPr>
        <w:t xml:space="preserve">La información de las cinco fuentes se cruzó en matrices de triangulación organizadas en cuatro categorías: docencia, investigación, </w:t>
      </w:r>
      <w:r w:rsidRPr="006B4593">
        <w:rPr>
          <w:rFonts w:cs="Times New Roman"/>
          <w:sz w:val="24"/>
          <w:szCs w:val="24"/>
        </w:rPr>
        <w:lastRenderedPageBreak/>
        <w:t>vinculación con la comunidad y gestión académica. De ese cruce salieron dos listados de comp</w:t>
      </w:r>
      <w:r w:rsidRPr="006B4593">
        <w:rPr>
          <w:rFonts w:cs="Times New Roman"/>
          <w:sz w:val="24"/>
          <w:szCs w:val="24"/>
        </w:rPr>
        <w:t>etencias del profesorado, uno genérico y otro específico por carrera. El paso siguiente, que es el que produce el instrumento, consistió en reescribir cada competencia como función, descomponer cada función en criterios de actuación redactados con verbo ob</w:t>
      </w:r>
      <w:r w:rsidRPr="006B4593">
        <w:rPr>
          <w:rFonts w:cs="Times New Roman"/>
          <w:sz w:val="24"/>
          <w:szCs w:val="24"/>
        </w:rPr>
        <w:t>servable y asignar a cada criterio una escala de cuatro niveles. Los subtotales por función alimentan después el baremo.</w:t>
      </w:r>
    </w:p>
    <w:p w14:paraId="60165C27" w14:textId="77777777" w:rsidR="00CC6070" w:rsidRPr="006B4593" w:rsidRDefault="00A31992">
      <w:pPr>
        <w:pStyle w:val="Ttulo1"/>
        <w:rPr>
          <w:rFonts w:cs="Times New Roman"/>
          <w:szCs w:val="24"/>
        </w:rPr>
      </w:pPr>
      <w:r w:rsidRPr="006B4593">
        <w:rPr>
          <w:rFonts w:cs="Times New Roman"/>
          <w:szCs w:val="24"/>
        </w:rPr>
        <w:t>4. Resultados</w:t>
      </w:r>
    </w:p>
    <w:p w14:paraId="54DA3F80" w14:textId="77777777" w:rsidR="00CC6070" w:rsidRPr="006B4593" w:rsidRDefault="00A31992">
      <w:pPr>
        <w:pStyle w:val="Ttulo2"/>
        <w:rPr>
          <w:rFonts w:cs="Times New Roman"/>
          <w:sz w:val="24"/>
          <w:szCs w:val="24"/>
        </w:rPr>
      </w:pPr>
      <w:r w:rsidRPr="006B4593">
        <w:rPr>
          <w:rFonts w:cs="Times New Roman"/>
          <w:sz w:val="24"/>
          <w:szCs w:val="24"/>
        </w:rPr>
        <w:t>4.1. Las ocho funciones evaluables</w:t>
      </w:r>
    </w:p>
    <w:p w14:paraId="53C2EA97" w14:textId="756B6102" w:rsidR="00CC6070" w:rsidRPr="006B4593" w:rsidRDefault="00A31992">
      <w:pPr>
        <w:rPr>
          <w:rFonts w:cs="Times New Roman"/>
          <w:sz w:val="24"/>
          <w:szCs w:val="24"/>
        </w:rPr>
      </w:pPr>
      <w:r w:rsidRPr="006B4593">
        <w:rPr>
          <w:rFonts w:cs="Times New Roman"/>
          <w:sz w:val="24"/>
          <w:szCs w:val="24"/>
        </w:rPr>
        <w:t>El instrumento organiza el desempeño en ocho funciones, cada una vinculada a un tipo d</w:t>
      </w:r>
      <w:r w:rsidRPr="006B4593">
        <w:rPr>
          <w:rFonts w:cs="Times New Roman"/>
          <w:sz w:val="24"/>
          <w:szCs w:val="24"/>
        </w:rPr>
        <w:t>e saber</w:t>
      </w:r>
      <w:r w:rsidRPr="006B4593">
        <w:rPr>
          <w:rFonts w:cs="Times New Roman"/>
          <w:sz w:val="24"/>
          <w:szCs w:val="24"/>
        </w:rPr>
        <w:t>. La función A orienta al estudiantado en la pertinencia y el objeto de estudio de la profesión (saber hacer)</w:t>
      </w:r>
      <w:r w:rsidRPr="006B4593">
        <w:rPr>
          <w:rFonts w:cs="Times New Roman"/>
          <w:sz w:val="24"/>
          <w:szCs w:val="24"/>
        </w:rPr>
        <w:t>. La B valora de forma integral los resultados de aprendizaje de las materias encomendadas, en función de las unidades curriculares de organ</w:t>
      </w:r>
      <w:r w:rsidRPr="006B4593">
        <w:rPr>
          <w:rFonts w:cs="Times New Roman"/>
          <w:sz w:val="24"/>
          <w:szCs w:val="24"/>
        </w:rPr>
        <w:t>ización del plan de estudios (saber conocer). La C atiende la motivación permanente del alumnado (ser). La D promueve el pensamiento crítico sobre la praxis profesional y sobre el desempeño ético del propio estudiante y de sus colegas (saber). La E traslad</w:t>
      </w:r>
      <w:r w:rsidRPr="006B4593">
        <w:rPr>
          <w:rFonts w:cs="Times New Roman"/>
          <w:sz w:val="24"/>
          <w:szCs w:val="24"/>
        </w:rPr>
        <w:t xml:space="preserve">a al aula las orientaciones de la práctica del sector: biotecnología, control sanitario, saberes ancestrales, producciones alternativas e investigación aplicada (saber hacer). La F fortalece el trabajo colaborativo e investigativo autónomo y grupal (saber </w:t>
      </w:r>
      <w:proofErr w:type="spellStart"/>
      <w:r w:rsidRPr="006B4593">
        <w:rPr>
          <w:rFonts w:cs="Times New Roman"/>
          <w:sz w:val="24"/>
          <w:szCs w:val="24"/>
        </w:rPr>
        <w:t>emprendizajes</w:t>
      </w:r>
      <w:proofErr w:type="spellEnd"/>
      <w:r w:rsidRPr="006B4593">
        <w:rPr>
          <w:rFonts w:cs="Times New Roman"/>
          <w:sz w:val="24"/>
          <w:szCs w:val="24"/>
        </w:rPr>
        <w:t>). La G exige una práctica docente con bioética profesional, reflexividad e inclusión de la diversidad (saber convivir). La H gestiona la docencia desde la innovación educativa, las metodologías activas y las herramientas informáticas, en corr</w:t>
      </w:r>
      <w:r w:rsidRPr="006B4593">
        <w:rPr>
          <w:rFonts w:cs="Times New Roman"/>
          <w:sz w:val="24"/>
          <w:szCs w:val="24"/>
        </w:rPr>
        <w:t>espondencia con los criterios de acreditación (saber para quién se es, se sabe y se hace)</w:t>
      </w:r>
      <w:r w:rsidRPr="006B4593">
        <w:rPr>
          <w:rFonts w:cs="Times New Roman"/>
          <w:sz w:val="24"/>
          <w:szCs w:val="24"/>
        </w:rPr>
        <w:t>.</w:t>
      </w:r>
    </w:p>
    <w:p w14:paraId="77AE7B91" w14:textId="0169CA9E" w:rsidR="00CC6070" w:rsidRPr="006B4593" w:rsidRDefault="00A31992">
      <w:pPr>
        <w:rPr>
          <w:rFonts w:cs="Times New Roman"/>
          <w:sz w:val="24"/>
          <w:szCs w:val="24"/>
        </w:rPr>
      </w:pPr>
      <w:r w:rsidRPr="006B4593">
        <w:rPr>
          <w:rFonts w:cs="Times New Roman"/>
          <w:sz w:val="24"/>
          <w:szCs w:val="24"/>
        </w:rPr>
        <w:t>Las cuatro primeras funciones se redactaron por separado para cada carrera, porque dependen del objeto de estudio de la profesión</w:t>
      </w:r>
      <w:r w:rsidR="002F29B4">
        <w:rPr>
          <w:rFonts w:cs="Times New Roman"/>
          <w:sz w:val="24"/>
          <w:szCs w:val="24"/>
        </w:rPr>
        <w:t>, como lo señala Tobón, 2008</w:t>
      </w:r>
      <w:r w:rsidRPr="006B4593">
        <w:rPr>
          <w:rFonts w:cs="Times New Roman"/>
          <w:sz w:val="24"/>
          <w:szCs w:val="24"/>
        </w:rPr>
        <w:t>. Las cuatro últimas son idénticas e</w:t>
      </w:r>
      <w:r w:rsidRPr="006B4593">
        <w:rPr>
          <w:rFonts w:cs="Times New Roman"/>
          <w:sz w:val="24"/>
          <w:szCs w:val="24"/>
        </w:rPr>
        <w:t xml:space="preserve">n las tres </w:t>
      </w:r>
      <w:r w:rsidRPr="006B4593">
        <w:rPr>
          <w:rFonts w:cs="Times New Roman"/>
          <w:sz w:val="24"/>
          <w:szCs w:val="24"/>
        </w:rPr>
        <w:lastRenderedPageBreak/>
        <w:t>versiones del instrumento, lo que produce un tronco común de 40 criterios.</w:t>
      </w:r>
    </w:p>
    <w:p w14:paraId="7BC76C46" w14:textId="3D82A5BF" w:rsidR="00CC6070" w:rsidRPr="006B4593" w:rsidRDefault="00A31992">
      <w:pPr>
        <w:rPr>
          <w:rFonts w:cs="Times New Roman"/>
          <w:sz w:val="24"/>
          <w:szCs w:val="24"/>
        </w:rPr>
      </w:pPr>
      <w:r w:rsidRPr="006B4593">
        <w:rPr>
          <w:rFonts w:cs="Times New Roman"/>
          <w:sz w:val="24"/>
          <w:szCs w:val="24"/>
        </w:rPr>
        <w:t>La redacción de los criterios es lo que distingue a este instrumento de una escala de opinión. Un criterio de la función A pide determinar con los estudiantes las alterna</w:t>
      </w:r>
      <w:r w:rsidRPr="006B4593">
        <w:rPr>
          <w:rFonts w:cs="Times New Roman"/>
          <w:sz w:val="24"/>
          <w:szCs w:val="24"/>
        </w:rPr>
        <w:t>tivas de buenas prácticas agrícolas y pecuarias más adecuadas a cada sistema de producción. Uno de la función B pide compartir con los pares académicos los criterios, sistemas de tareas y modelos de reactivos que se emplearán en la evaluación de la materia</w:t>
      </w:r>
      <w:r w:rsidRPr="006B4593">
        <w:rPr>
          <w:rFonts w:cs="Times New Roman"/>
          <w:sz w:val="24"/>
          <w:szCs w:val="24"/>
        </w:rPr>
        <w:t>. Uno de la función C pide establecer un canal de comunicación con la consejería estudiantil y el apoyo pedagógico para los casos que requieran intervención oportuna. Todos empiezan por un verbo de acción y describen algo que ocurrió o no ocurrió durante e</w:t>
      </w:r>
      <w:r w:rsidRPr="006B4593">
        <w:rPr>
          <w:rFonts w:cs="Times New Roman"/>
          <w:sz w:val="24"/>
          <w:szCs w:val="24"/>
        </w:rPr>
        <w:t>l ciclo, con un rastro documental asociado: un syllabus, un acta de reunión de área, una derivación registrada.</w:t>
      </w:r>
    </w:p>
    <w:p w14:paraId="2C91AA59" w14:textId="77777777" w:rsidR="00CC6070" w:rsidRPr="006B4593" w:rsidRDefault="00A31992">
      <w:pPr>
        <w:pStyle w:val="Ttulo2"/>
        <w:rPr>
          <w:rFonts w:cs="Times New Roman"/>
          <w:sz w:val="24"/>
          <w:szCs w:val="24"/>
        </w:rPr>
      </w:pPr>
      <w:r w:rsidRPr="006B4593">
        <w:rPr>
          <w:rFonts w:cs="Times New Roman"/>
          <w:sz w:val="24"/>
          <w:szCs w:val="24"/>
        </w:rPr>
        <w:t>4.2. Extensión del instrumento</w:t>
      </w:r>
    </w:p>
    <w:p w14:paraId="6B40E7FA" w14:textId="77777777" w:rsidR="00CC6070" w:rsidRPr="006B4593" w:rsidRDefault="00A31992">
      <w:pPr>
        <w:pStyle w:val="Figuras"/>
        <w:rPr>
          <w:rFonts w:ascii="Times New Roman" w:hAnsi="Times New Roman" w:cs="Times New Roman"/>
          <w:sz w:val="24"/>
          <w:szCs w:val="24"/>
        </w:rPr>
      </w:pPr>
      <w:r w:rsidRPr="006B4593">
        <w:rPr>
          <w:rFonts w:ascii="Times New Roman" w:hAnsi="Times New Roman" w:cs="Times New Roman"/>
          <w:sz w:val="24"/>
          <w:szCs w:val="24"/>
        </w:rPr>
        <w:t>TABLA 1. Distribución de criterios de valoración por función y por carrera</w:t>
      </w:r>
    </w:p>
    <w:tbl>
      <w:tblPr>
        <w:tblStyle w:val="Tabla"/>
        <w:tblW w:w="5900" w:type="dxa"/>
        <w:tblCellMar>
          <w:left w:w="70" w:type="dxa"/>
          <w:right w:w="70" w:type="dxa"/>
        </w:tblCellMar>
        <w:tblLook w:val="04A0" w:firstRow="1" w:lastRow="0" w:firstColumn="1" w:lastColumn="0" w:noHBand="0" w:noVBand="1"/>
      </w:tblPr>
      <w:tblGrid>
        <w:gridCol w:w="1600"/>
        <w:gridCol w:w="1400"/>
        <w:gridCol w:w="1400"/>
        <w:gridCol w:w="1500"/>
      </w:tblGrid>
      <w:tr w:rsidR="00CC6070" w:rsidRPr="006B4593" w14:paraId="30874C9C" w14:textId="77777777">
        <w:trPr>
          <w:tblHeader/>
        </w:trPr>
        <w:tc>
          <w:tcPr>
            <w:tcW w:w="1600" w:type="dxa"/>
          </w:tcPr>
          <w:p w14:paraId="3410653F" w14:textId="77777777" w:rsidR="00CC6070" w:rsidRPr="006B4593" w:rsidRDefault="00A31992">
            <w:pPr>
              <w:spacing w:before="20" w:after="20" w:line="240" w:lineRule="auto"/>
              <w:jc w:val="left"/>
              <w:rPr>
                <w:rFonts w:eastAsia="Times New Roman" w:cs="Times New Roman"/>
                <w:b/>
                <w:sz w:val="24"/>
                <w:szCs w:val="24"/>
              </w:rPr>
            </w:pPr>
            <w:r w:rsidRPr="006B4593">
              <w:rPr>
                <w:rFonts w:eastAsia="Times New Roman" w:cs="Times New Roman"/>
                <w:b/>
                <w:sz w:val="24"/>
                <w:szCs w:val="24"/>
              </w:rPr>
              <w:t>Función</w:t>
            </w:r>
          </w:p>
        </w:tc>
        <w:tc>
          <w:tcPr>
            <w:tcW w:w="1400" w:type="dxa"/>
          </w:tcPr>
          <w:p w14:paraId="7408EC70" w14:textId="77777777" w:rsidR="00CC6070" w:rsidRPr="006B4593" w:rsidRDefault="00A31992">
            <w:pPr>
              <w:spacing w:before="20" w:after="20" w:line="240" w:lineRule="auto"/>
              <w:jc w:val="center"/>
              <w:rPr>
                <w:rFonts w:eastAsia="Times New Roman" w:cs="Times New Roman"/>
                <w:b/>
                <w:sz w:val="24"/>
                <w:szCs w:val="24"/>
              </w:rPr>
            </w:pPr>
            <w:r w:rsidRPr="006B4593">
              <w:rPr>
                <w:rFonts w:eastAsia="Times New Roman" w:cs="Times New Roman"/>
                <w:b/>
                <w:sz w:val="24"/>
                <w:szCs w:val="24"/>
              </w:rPr>
              <w:t>Agropecuaria</w:t>
            </w:r>
          </w:p>
        </w:tc>
        <w:tc>
          <w:tcPr>
            <w:tcW w:w="1400" w:type="dxa"/>
          </w:tcPr>
          <w:p w14:paraId="15637AA1" w14:textId="77777777" w:rsidR="00CC6070" w:rsidRPr="006B4593" w:rsidRDefault="00A31992">
            <w:pPr>
              <w:spacing w:before="20" w:after="20" w:line="240" w:lineRule="auto"/>
              <w:jc w:val="center"/>
              <w:rPr>
                <w:rFonts w:eastAsia="Times New Roman" w:cs="Times New Roman"/>
                <w:b/>
                <w:sz w:val="24"/>
                <w:szCs w:val="24"/>
              </w:rPr>
            </w:pPr>
            <w:r w:rsidRPr="006B4593">
              <w:rPr>
                <w:rFonts w:eastAsia="Times New Roman" w:cs="Times New Roman"/>
                <w:b/>
                <w:sz w:val="24"/>
                <w:szCs w:val="24"/>
              </w:rPr>
              <w:t>Agroindustrial</w:t>
            </w:r>
          </w:p>
        </w:tc>
        <w:tc>
          <w:tcPr>
            <w:tcW w:w="1500" w:type="dxa"/>
          </w:tcPr>
          <w:p w14:paraId="2464225F" w14:textId="77777777" w:rsidR="00CC6070" w:rsidRPr="006B4593" w:rsidRDefault="00A31992">
            <w:pPr>
              <w:spacing w:before="20" w:after="20" w:line="240" w:lineRule="auto"/>
              <w:jc w:val="center"/>
              <w:rPr>
                <w:rFonts w:eastAsia="Times New Roman" w:cs="Times New Roman"/>
                <w:b/>
                <w:sz w:val="24"/>
                <w:szCs w:val="24"/>
              </w:rPr>
            </w:pPr>
            <w:r w:rsidRPr="006B4593">
              <w:rPr>
                <w:rFonts w:eastAsia="Times New Roman" w:cs="Times New Roman"/>
                <w:b/>
                <w:sz w:val="24"/>
                <w:szCs w:val="24"/>
              </w:rPr>
              <w:t xml:space="preserve">Med. </w:t>
            </w:r>
            <w:proofErr w:type="spellStart"/>
            <w:r w:rsidRPr="006B4593">
              <w:rPr>
                <w:rFonts w:eastAsia="Times New Roman" w:cs="Times New Roman"/>
                <w:b/>
                <w:sz w:val="24"/>
                <w:szCs w:val="24"/>
              </w:rPr>
              <w:t>Vet</w:t>
            </w:r>
            <w:proofErr w:type="spellEnd"/>
            <w:r w:rsidRPr="006B4593">
              <w:rPr>
                <w:rFonts w:eastAsia="Times New Roman" w:cs="Times New Roman"/>
                <w:b/>
                <w:sz w:val="24"/>
                <w:szCs w:val="24"/>
              </w:rPr>
              <w:t>. y Zootecnia</w:t>
            </w:r>
          </w:p>
        </w:tc>
      </w:tr>
      <w:tr w:rsidR="00CC6070" w:rsidRPr="006B4593" w14:paraId="11E265F5" w14:textId="77777777">
        <w:tc>
          <w:tcPr>
            <w:tcW w:w="1600" w:type="dxa"/>
          </w:tcPr>
          <w:p w14:paraId="5192DC0E" w14:textId="77777777" w:rsidR="00CC6070" w:rsidRPr="006B4593" w:rsidRDefault="00A31992">
            <w:pPr>
              <w:spacing w:before="20" w:after="20" w:line="240" w:lineRule="auto"/>
              <w:jc w:val="left"/>
              <w:rPr>
                <w:rFonts w:eastAsia="Times New Roman" w:cs="Times New Roman"/>
                <w:sz w:val="24"/>
                <w:szCs w:val="24"/>
              </w:rPr>
            </w:pPr>
            <w:r w:rsidRPr="006B4593">
              <w:rPr>
                <w:rFonts w:eastAsia="Times New Roman" w:cs="Times New Roman"/>
                <w:sz w:val="24"/>
                <w:szCs w:val="24"/>
              </w:rPr>
              <w:t>A. Pertinencia y objeto de estudio</w:t>
            </w:r>
          </w:p>
        </w:tc>
        <w:tc>
          <w:tcPr>
            <w:tcW w:w="1400" w:type="dxa"/>
          </w:tcPr>
          <w:p w14:paraId="0A10E7B2"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10</w:t>
            </w:r>
          </w:p>
        </w:tc>
        <w:tc>
          <w:tcPr>
            <w:tcW w:w="1400" w:type="dxa"/>
          </w:tcPr>
          <w:p w14:paraId="45954CA3"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8</w:t>
            </w:r>
          </w:p>
        </w:tc>
        <w:tc>
          <w:tcPr>
            <w:tcW w:w="1500" w:type="dxa"/>
          </w:tcPr>
          <w:p w14:paraId="0BA9F32B"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8</w:t>
            </w:r>
          </w:p>
        </w:tc>
      </w:tr>
      <w:tr w:rsidR="00CC6070" w:rsidRPr="006B4593" w14:paraId="5498F5D2" w14:textId="77777777">
        <w:tc>
          <w:tcPr>
            <w:tcW w:w="1600" w:type="dxa"/>
          </w:tcPr>
          <w:p w14:paraId="356E175C" w14:textId="77777777" w:rsidR="00CC6070" w:rsidRPr="006B4593" w:rsidRDefault="00A31992">
            <w:pPr>
              <w:spacing w:before="20" w:after="20" w:line="240" w:lineRule="auto"/>
              <w:jc w:val="left"/>
              <w:rPr>
                <w:rFonts w:eastAsia="Times New Roman" w:cs="Times New Roman"/>
                <w:sz w:val="24"/>
                <w:szCs w:val="24"/>
              </w:rPr>
            </w:pPr>
            <w:r w:rsidRPr="006B4593">
              <w:rPr>
                <w:rFonts w:eastAsia="Times New Roman" w:cs="Times New Roman"/>
                <w:sz w:val="24"/>
                <w:szCs w:val="24"/>
              </w:rPr>
              <w:t>B. Valoración de aprendizajes</w:t>
            </w:r>
          </w:p>
        </w:tc>
        <w:tc>
          <w:tcPr>
            <w:tcW w:w="1400" w:type="dxa"/>
          </w:tcPr>
          <w:p w14:paraId="5B82F678"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10</w:t>
            </w:r>
          </w:p>
        </w:tc>
        <w:tc>
          <w:tcPr>
            <w:tcW w:w="1400" w:type="dxa"/>
          </w:tcPr>
          <w:p w14:paraId="4A362F76"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8</w:t>
            </w:r>
          </w:p>
        </w:tc>
        <w:tc>
          <w:tcPr>
            <w:tcW w:w="1500" w:type="dxa"/>
          </w:tcPr>
          <w:p w14:paraId="1BC7A1DA"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8</w:t>
            </w:r>
          </w:p>
        </w:tc>
      </w:tr>
      <w:tr w:rsidR="00CC6070" w:rsidRPr="006B4593" w14:paraId="1E82D997" w14:textId="77777777">
        <w:tc>
          <w:tcPr>
            <w:tcW w:w="1600" w:type="dxa"/>
          </w:tcPr>
          <w:p w14:paraId="0B1B5A06" w14:textId="77777777" w:rsidR="00CC6070" w:rsidRPr="006B4593" w:rsidRDefault="00A31992">
            <w:pPr>
              <w:spacing w:before="20" w:after="20" w:line="240" w:lineRule="auto"/>
              <w:jc w:val="left"/>
              <w:rPr>
                <w:rFonts w:eastAsia="Times New Roman" w:cs="Times New Roman"/>
                <w:sz w:val="24"/>
                <w:szCs w:val="24"/>
              </w:rPr>
            </w:pPr>
            <w:r w:rsidRPr="006B4593">
              <w:rPr>
                <w:rFonts w:eastAsia="Times New Roman" w:cs="Times New Roman"/>
                <w:sz w:val="24"/>
                <w:szCs w:val="24"/>
              </w:rPr>
              <w:t>C. Motivación del alumnado</w:t>
            </w:r>
          </w:p>
        </w:tc>
        <w:tc>
          <w:tcPr>
            <w:tcW w:w="1400" w:type="dxa"/>
          </w:tcPr>
          <w:p w14:paraId="33595EC3"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9</w:t>
            </w:r>
          </w:p>
        </w:tc>
        <w:tc>
          <w:tcPr>
            <w:tcW w:w="1400" w:type="dxa"/>
          </w:tcPr>
          <w:p w14:paraId="06953CBB"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8</w:t>
            </w:r>
          </w:p>
        </w:tc>
        <w:tc>
          <w:tcPr>
            <w:tcW w:w="1500" w:type="dxa"/>
          </w:tcPr>
          <w:p w14:paraId="264775E7"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8</w:t>
            </w:r>
          </w:p>
        </w:tc>
      </w:tr>
      <w:tr w:rsidR="00CC6070" w:rsidRPr="006B4593" w14:paraId="7AF9FF86" w14:textId="77777777">
        <w:tc>
          <w:tcPr>
            <w:tcW w:w="1600" w:type="dxa"/>
          </w:tcPr>
          <w:p w14:paraId="1CE231F3" w14:textId="77777777" w:rsidR="00CC6070" w:rsidRPr="006B4593" w:rsidRDefault="00A31992">
            <w:pPr>
              <w:spacing w:before="20" w:after="20" w:line="240" w:lineRule="auto"/>
              <w:jc w:val="left"/>
              <w:rPr>
                <w:rFonts w:eastAsia="Times New Roman" w:cs="Times New Roman"/>
                <w:sz w:val="24"/>
                <w:szCs w:val="24"/>
              </w:rPr>
            </w:pPr>
            <w:r w:rsidRPr="006B4593">
              <w:rPr>
                <w:rFonts w:eastAsia="Times New Roman" w:cs="Times New Roman"/>
                <w:sz w:val="24"/>
                <w:szCs w:val="24"/>
              </w:rPr>
              <w:t>D. Pensamiento crítico</w:t>
            </w:r>
          </w:p>
        </w:tc>
        <w:tc>
          <w:tcPr>
            <w:tcW w:w="1400" w:type="dxa"/>
          </w:tcPr>
          <w:p w14:paraId="2CA304AE"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7</w:t>
            </w:r>
          </w:p>
        </w:tc>
        <w:tc>
          <w:tcPr>
            <w:tcW w:w="1400" w:type="dxa"/>
          </w:tcPr>
          <w:p w14:paraId="04F7530B"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6</w:t>
            </w:r>
          </w:p>
        </w:tc>
        <w:tc>
          <w:tcPr>
            <w:tcW w:w="1500" w:type="dxa"/>
          </w:tcPr>
          <w:p w14:paraId="1F397995"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6</w:t>
            </w:r>
          </w:p>
        </w:tc>
      </w:tr>
      <w:tr w:rsidR="00CC6070" w:rsidRPr="006B4593" w14:paraId="6387260E" w14:textId="77777777">
        <w:tc>
          <w:tcPr>
            <w:tcW w:w="1600" w:type="dxa"/>
          </w:tcPr>
          <w:p w14:paraId="63CCB2EF" w14:textId="77777777" w:rsidR="00CC6070" w:rsidRPr="006B4593" w:rsidRDefault="00A31992">
            <w:pPr>
              <w:spacing w:before="20" w:after="20" w:line="240" w:lineRule="auto"/>
              <w:jc w:val="left"/>
              <w:rPr>
                <w:rFonts w:eastAsia="Times New Roman" w:cs="Times New Roman"/>
                <w:sz w:val="24"/>
                <w:szCs w:val="24"/>
              </w:rPr>
            </w:pPr>
            <w:r w:rsidRPr="006B4593">
              <w:rPr>
                <w:rFonts w:eastAsia="Times New Roman" w:cs="Times New Roman"/>
                <w:sz w:val="24"/>
                <w:szCs w:val="24"/>
              </w:rPr>
              <w:t>E. Orientaciones de la praxis</w:t>
            </w:r>
          </w:p>
        </w:tc>
        <w:tc>
          <w:tcPr>
            <w:tcW w:w="1400" w:type="dxa"/>
          </w:tcPr>
          <w:p w14:paraId="3EF97362"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13</w:t>
            </w:r>
          </w:p>
        </w:tc>
        <w:tc>
          <w:tcPr>
            <w:tcW w:w="1400" w:type="dxa"/>
          </w:tcPr>
          <w:p w14:paraId="02CC5A69"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13</w:t>
            </w:r>
          </w:p>
        </w:tc>
        <w:tc>
          <w:tcPr>
            <w:tcW w:w="1500" w:type="dxa"/>
          </w:tcPr>
          <w:p w14:paraId="74B51F85"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13</w:t>
            </w:r>
          </w:p>
        </w:tc>
      </w:tr>
      <w:tr w:rsidR="00CC6070" w:rsidRPr="006B4593" w14:paraId="6BB079F8" w14:textId="77777777">
        <w:tc>
          <w:tcPr>
            <w:tcW w:w="1600" w:type="dxa"/>
          </w:tcPr>
          <w:p w14:paraId="52CBD7DA" w14:textId="77777777" w:rsidR="00CC6070" w:rsidRPr="006B4593" w:rsidRDefault="00A31992">
            <w:pPr>
              <w:spacing w:before="20" w:after="20" w:line="240" w:lineRule="auto"/>
              <w:jc w:val="left"/>
              <w:rPr>
                <w:rFonts w:eastAsia="Times New Roman" w:cs="Times New Roman"/>
                <w:sz w:val="24"/>
                <w:szCs w:val="24"/>
              </w:rPr>
            </w:pPr>
            <w:r w:rsidRPr="006B4593">
              <w:rPr>
                <w:rFonts w:eastAsia="Times New Roman" w:cs="Times New Roman"/>
                <w:sz w:val="24"/>
                <w:szCs w:val="24"/>
              </w:rPr>
              <w:lastRenderedPageBreak/>
              <w:t>F. Trabajo colaborativo e investigativo</w:t>
            </w:r>
          </w:p>
        </w:tc>
        <w:tc>
          <w:tcPr>
            <w:tcW w:w="1400" w:type="dxa"/>
          </w:tcPr>
          <w:p w14:paraId="7124AE31"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9</w:t>
            </w:r>
          </w:p>
        </w:tc>
        <w:tc>
          <w:tcPr>
            <w:tcW w:w="1400" w:type="dxa"/>
          </w:tcPr>
          <w:p w14:paraId="273B9280"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9</w:t>
            </w:r>
          </w:p>
        </w:tc>
        <w:tc>
          <w:tcPr>
            <w:tcW w:w="1500" w:type="dxa"/>
          </w:tcPr>
          <w:p w14:paraId="3370065A"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9</w:t>
            </w:r>
          </w:p>
        </w:tc>
      </w:tr>
      <w:tr w:rsidR="00CC6070" w:rsidRPr="006B4593" w14:paraId="20792420" w14:textId="77777777">
        <w:tc>
          <w:tcPr>
            <w:tcW w:w="1600" w:type="dxa"/>
          </w:tcPr>
          <w:p w14:paraId="6C43FFAD" w14:textId="77777777" w:rsidR="00CC6070" w:rsidRPr="006B4593" w:rsidRDefault="00A31992">
            <w:pPr>
              <w:spacing w:before="20" w:after="20" w:line="240" w:lineRule="auto"/>
              <w:jc w:val="left"/>
              <w:rPr>
                <w:rFonts w:eastAsia="Times New Roman" w:cs="Times New Roman"/>
                <w:sz w:val="24"/>
                <w:szCs w:val="24"/>
              </w:rPr>
            </w:pPr>
            <w:r w:rsidRPr="006B4593">
              <w:rPr>
                <w:rFonts w:eastAsia="Times New Roman" w:cs="Times New Roman"/>
                <w:sz w:val="24"/>
                <w:szCs w:val="24"/>
              </w:rPr>
              <w:t>G. Bioética y reflexividad</w:t>
            </w:r>
          </w:p>
        </w:tc>
        <w:tc>
          <w:tcPr>
            <w:tcW w:w="1400" w:type="dxa"/>
          </w:tcPr>
          <w:p w14:paraId="07B46EEF"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8</w:t>
            </w:r>
          </w:p>
        </w:tc>
        <w:tc>
          <w:tcPr>
            <w:tcW w:w="1400" w:type="dxa"/>
          </w:tcPr>
          <w:p w14:paraId="30108DA2"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8</w:t>
            </w:r>
          </w:p>
        </w:tc>
        <w:tc>
          <w:tcPr>
            <w:tcW w:w="1500" w:type="dxa"/>
          </w:tcPr>
          <w:p w14:paraId="06164C48"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8</w:t>
            </w:r>
          </w:p>
        </w:tc>
      </w:tr>
      <w:tr w:rsidR="00CC6070" w:rsidRPr="006B4593" w14:paraId="02543EE3" w14:textId="77777777">
        <w:tc>
          <w:tcPr>
            <w:tcW w:w="1600" w:type="dxa"/>
          </w:tcPr>
          <w:p w14:paraId="626B9B6A" w14:textId="77777777" w:rsidR="00CC6070" w:rsidRPr="006B4593" w:rsidRDefault="00A31992">
            <w:pPr>
              <w:spacing w:before="20" w:after="20" w:line="240" w:lineRule="auto"/>
              <w:jc w:val="left"/>
              <w:rPr>
                <w:rFonts w:eastAsia="Times New Roman" w:cs="Times New Roman"/>
                <w:sz w:val="24"/>
                <w:szCs w:val="24"/>
              </w:rPr>
            </w:pPr>
            <w:r w:rsidRPr="006B4593">
              <w:rPr>
                <w:rFonts w:eastAsia="Times New Roman" w:cs="Times New Roman"/>
                <w:sz w:val="24"/>
                <w:szCs w:val="24"/>
              </w:rPr>
              <w:t>H. Innovación y gestión docente</w:t>
            </w:r>
          </w:p>
        </w:tc>
        <w:tc>
          <w:tcPr>
            <w:tcW w:w="1400" w:type="dxa"/>
          </w:tcPr>
          <w:p w14:paraId="55362FC3"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10</w:t>
            </w:r>
          </w:p>
        </w:tc>
        <w:tc>
          <w:tcPr>
            <w:tcW w:w="1400" w:type="dxa"/>
          </w:tcPr>
          <w:p w14:paraId="1AD32827"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10</w:t>
            </w:r>
          </w:p>
        </w:tc>
        <w:tc>
          <w:tcPr>
            <w:tcW w:w="1500" w:type="dxa"/>
          </w:tcPr>
          <w:p w14:paraId="31B8319E"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10</w:t>
            </w:r>
          </w:p>
        </w:tc>
      </w:tr>
      <w:tr w:rsidR="00CC6070" w:rsidRPr="006B4593" w14:paraId="449FA777" w14:textId="77777777">
        <w:tc>
          <w:tcPr>
            <w:tcW w:w="1600" w:type="dxa"/>
          </w:tcPr>
          <w:p w14:paraId="74FD3EB0" w14:textId="77777777" w:rsidR="00CC6070" w:rsidRPr="006B4593" w:rsidRDefault="00A31992">
            <w:pPr>
              <w:spacing w:before="20" w:after="20" w:line="240" w:lineRule="auto"/>
              <w:jc w:val="left"/>
              <w:rPr>
                <w:rFonts w:eastAsia="Times New Roman" w:cs="Times New Roman"/>
                <w:sz w:val="24"/>
                <w:szCs w:val="24"/>
              </w:rPr>
            </w:pPr>
            <w:proofErr w:type="gramStart"/>
            <w:r w:rsidRPr="006B4593">
              <w:rPr>
                <w:rFonts w:eastAsia="Times New Roman" w:cs="Times New Roman"/>
                <w:sz w:val="24"/>
                <w:szCs w:val="24"/>
              </w:rPr>
              <w:t>Total</w:t>
            </w:r>
            <w:proofErr w:type="gramEnd"/>
            <w:r w:rsidRPr="006B4593">
              <w:rPr>
                <w:rFonts w:eastAsia="Times New Roman" w:cs="Times New Roman"/>
                <w:sz w:val="24"/>
                <w:szCs w:val="24"/>
              </w:rPr>
              <w:t xml:space="preserve"> de criterios</w:t>
            </w:r>
          </w:p>
        </w:tc>
        <w:tc>
          <w:tcPr>
            <w:tcW w:w="1400" w:type="dxa"/>
          </w:tcPr>
          <w:p w14:paraId="325AD6EF"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76</w:t>
            </w:r>
          </w:p>
        </w:tc>
        <w:tc>
          <w:tcPr>
            <w:tcW w:w="1400" w:type="dxa"/>
          </w:tcPr>
          <w:p w14:paraId="61F45614"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70</w:t>
            </w:r>
          </w:p>
        </w:tc>
        <w:tc>
          <w:tcPr>
            <w:tcW w:w="1500" w:type="dxa"/>
          </w:tcPr>
          <w:p w14:paraId="75973380"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70</w:t>
            </w:r>
          </w:p>
        </w:tc>
      </w:tr>
      <w:tr w:rsidR="00CC6070" w:rsidRPr="006B4593" w14:paraId="2DBA8BCB" w14:textId="77777777">
        <w:tc>
          <w:tcPr>
            <w:tcW w:w="1600" w:type="dxa"/>
          </w:tcPr>
          <w:p w14:paraId="3BE864B6" w14:textId="77777777" w:rsidR="00CC6070" w:rsidRPr="006B4593" w:rsidRDefault="00A31992">
            <w:pPr>
              <w:spacing w:before="20" w:after="20" w:line="240" w:lineRule="auto"/>
              <w:jc w:val="left"/>
              <w:rPr>
                <w:rFonts w:eastAsia="Times New Roman" w:cs="Times New Roman"/>
                <w:b/>
                <w:sz w:val="24"/>
                <w:szCs w:val="24"/>
              </w:rPr>
            </w:pPr>
            <w:r w:rsidRPr="006B4593">
              <w:rPr>
                <w:rFonts w:eastAsia="Times New Roman" w:cs="Times New Roman"/>
                <w:b/>
                <w:sz w:val="24"/>
                <w:szCs w:val="24"/>
              </w:rPr>
              <w:t>Puntuación bruta máxima</w:t>
            </w:r>
          </w:p>
        </w:tc>
        <w:tc>
          <w:tcPr>
            <w:tcW w:w="1400" w:type="dxa"/>
          </w:tcPr>
          <w:p w14:paraId="5D6C63D8" w14:textId="77777777" w:rsidR="00CC6070" w:rsidRPr="006B4593" w:rsidRDefault="00A31992">
            <w:pPr>
              <w:spacing w:before="20" w:after="20" w:line="240" w:lineRule="auto"/>
              <w:jc w:val="center"/>
              <w:rPr>
                <w:rFonts w:eastAsia="Times New Roman" w:cs="Times New Roman"/>
                <w:b/>
                <w:sz w:val="24"/>
                <w:szCs w:val="24"/>
              </w:rPr>
            </w:pPr>
            <w:r w:rsidRPr="006B4593">
              <w:rPr>
                <w:rFonts w:eastAsia="Times New Roman" w:cs="Times New Roman"/>
                <w:b/>
                <w:sz w:val="24"/>
                <w:szCs w:val="24"/>
              </w:rPr>
              <w:t>228</w:t>
            </w:r>
          </w:p>
        </w:tc>
        <w:tc>
          <w:tcPr>
            <w:tcW w:w="1400" w:type="dxa"/>
          </w:tcPr>
          <w:p w14:paraId="223F4B7C" w14:textId="77777777" w:rsidR="00CC6070" w:rsidRPr="006B4593" w:rsidRDefault="00A31992">
            <w:pPr>
              <w:spacing w:before="20" w:after="20" w:line="240" w:lineRule="auto"/>
              <w:jc w:val="center"/>
              <w:rPr>
                <w:rFonts w:eastAsia="Times New Roman" w:cs="Times New Roman"/>
                <w:b/>
                <w:sz w:val="24"/>
                <w:szCs w:val="24"/>
              </w:rPr>
            </w:pPr>
            <w:r w:rsidRPr="006B4593">
              <w:rPr>
                <w:rFonts w:eastAsia="Times New Roman" w:cs="Times New Roman"/>
                <w:b/>
                <w:sz w:val="24"/>
                <w:szCs w:val="24"/>
              </w:rPr>
              <w:t>210</w:t>
            </w:r>
          </w:p>
        </w:tc>
        <w:tc>
          <w:tcPr>
            <w:tcW w:w="1500" w:type="dxa"/>
          </w:tcPr>
          <w:p w14:paraId="713F8ABE" w14:textId="77777777" w:rsidR="00CC6070" w:rsidRPr="006B4593" w:rsidRDefault="00A31992">
            <w:pPr>
              <w:spacing w:before="20" w:after="20" w:line="240" w:lineRule="auto"/>
              <w:jc w:val="center"/>
              <w:rPr>
                <w:rFonts w:eastAsia="Times New Roman" w:cs="Times New Roman"/>
                <w:b/>
                <w:sz w:val="24"/>
                <w:szCs w:val="24"/>
              </w:rPr>
            </w:pPr>
            <w:r w:rsidRPr="006B4593">
              <w:rPr>
                <w:rFonts w:eastAsia="Times New Roman" w:cs="Times New Roman"/>
                <w:b/>
                <w:sz w:val="24"/>
                <w:szCs w:val="24"/>
              </w:rPr>
              <w:t>210</w:t>
            </w:r>
          </w:p>
        </w:tc>
      </w:tr>
    </w:tbl>
    <w:p w14:paraId="6891AC75" w14:textId="77777777" w:rsidR="00CC6070" w:rsidRPr="006B4593" w:rsidRDefault="00A31992">
      <w:pPr>
        <w:pStyle w:val="Fuente"/>
        <w:rPr>
          <w:rFonts w:ascii="Times New Roman" w:hAnsi="Times New Roman" w:cs="Times New Roman"/>
          <w:sz w:val="24"/>
          <w:szCs w:val="24"/>
        </w:rPr>
      </w:pPr>
      <w:r w:rsidRPr="006B4593">
        <w:rPr>
          <w:rFonts w:ascii="Times New Roman" w:hAnsi="Times New Roman" w:cs="Times New Roman"/>
          <w:sz w:val="24"/>
          <w:szCs w:val="24"/>
        </w:rPr>
        <w:t>Fuente: elaboración propia a partir de Franco Rodríguez (2016)</w:t>
      </w:r>
    </w:p>
    <w:p w14:paraId="3791E9CF" w14:textId="77777777" w:rsidR="00CC6070" w:rsidRPr="006B4593" w:rsidRDefault="00A31992">
      <w:pPr>
        <w:rPr>
          <w:rFonts w:cs="Times New Roman"/>
          <w:sz w:val="24"/>
          <w:szCs w:val="24"/>
        </w:rPr>
      </w:pPr>
      <w:r w:rsidRPr="006B4593">
        <w:rPr>
          <w:rFonts w:cs="Times New Roman"/>
          <w:sz w:val="24"/>
          <w:szCs w:val="24"/>
        </w:rPr>
        <w:t xml:space="preserve">La versión de Ingeniería Agropecuaria contiene 76 </w:t>
      </w:r>
      <w:r w:rsidRPr="006B4593">
        <w:rPr>
          <w:rFonts w:cs="Times New Roman"/>
          <w:sz w:val="24"/>
          <w:szCs w:val="24"/>
        </w:rPr>
        <w:t>criterios; las de Ingeniería Agroindustrial y Medicina Veterinaria y Zootecnia, 70 cada una. La diferencia se concentra en las funciones A, B, C y D, que son las específicas de cada profesión.</w:t>
      </w:r>
    </w:p>
    <w:p w14:paraId="73C373DA" w14:textId="77777777" w:rsidR="00CC6070" w:rsidRPr="006B4593" w:rsidRDefault="00A31992">
      <w:pPr>
        <w:pStyle w:val="Ttulo2"/>
        <w:rPr>
          <w:rFonts w:cs="Times New Roman"/>
          <w:sz w:val="24"/>
          <w:szCs w:val="24"/>
        </w:rPr>
      </w:pPr>
      <w:r w:rsidRPr="006B4593">
        <w:rPr>
          <w:rFonts w:cs="Times New Roman"/>
          <w:sz w:val="24"/>
          <w:szCs w:val="24"/>
        </w:rPr>
        <w:t>4.3. Escala de valoración</w:t>
      </w:r>
    </w:p>
    <w:p w14:paraId="2C40613E" w14:textId="77777777" w:rsidR="00CC6070" w:rsidRPr="006B4593" w:rsidRDefault="00A31992">
      <w:pPr>
        <w:rPr>
          <w:rFonts w:cs="Times New Roman"/>
          <w:sz w:val="24"/>
          <w:szCs w:val="24"/>
        </w:rPr>
      </w:pPr>
      <w:r w:rsidRPr="006B4593">
        <w:rPr>
          <w:rFonts w:cs="Times New Roman"/>
          <w:sz w:val="24"/>
          <w:szCs w:val="24"/>
        </w:rPr>
        <w:t>Cada criterio se califica con una esc</w:t>
      </w:r>
      <w:r w:rsidRPr="006B4593">
        <w:rPr>
          <w:rFonts w:cs="Times New Roman"/>
          <w:sz w:val="24"/>
          <w:szCs w:val="24"/>
        </w:rPr>
        <w:t>ala literal de cuatro niveles con equivalencia numérica directa, sin decimales ni categoría intermedia.</w:t>
      </w:r>
    </w:p>
    <w:p w14:paraId="3CDF427E" w14:textId="37C365EF" w:rsidR="00CC6070" w:rsidRPr="006B4593" w:rsidRDefault="00A31992">
      <w:pPr>
        <w:pStyle w:val="Figuras"/>
        <w:rPr>
          <w:rFonts w:ascii="Times New Roman" w:hAnsi="Times New Roman" w:cs="Times New Roman"/>
          <w:sz w:val="24"/>
          <w:szCs w:val="24"/>
        </w:rPr>
      </w:pPr>
      <w:r w:rsidRPr="006B4593">
        <w:rPr>
          <w:rFonts w:ascii="Times New Roman" w:hAnsi="Times New Roman" w:cs="Times New Roman"/>
          <w:sz w:val="24"/>
          <w:szCs w:val="24"/>
        </w:rPr>
        <w:t>TABLA 2. Escala de valoración de los criterios</w:t>
      </w:r>
    </w:p>
    <w:tbl>
      <w:tblPr>
        <w:tblStyle w:val="Tabla"/>
        <w:tblW w:w="5000" w:type="dxa"/>
        <w:tblCellMar>
          <w:left w:w="70" w:type="dxa"/>
          <w:right w:w="70" w:type="dxa"/>
        </w:tblCellMar>
        <w:tblLook w:val="04A0" w:firstRow="1" w:lastRow="0" w:firstColumn="1" w:lastColumn="0" w:noHBand="0" w:noVBand="1"/>
      </w:tblPr>
      <w:tblGrid>
        <w:gridCol w:w="900"/>
        <w:gridCol w:w="2900"/>
        <w:gridCol w:w="1200"/>
      </w:tblGrid>
      <w:tr w:rsidR="00CC6070" w:rsidRPr="006B4593" w14:paraId="1A249A9A" w14:textId="77777777">
        <w:trPr>
          <w:tblHeader/>
        </w:trPr>
        <w:tc>
          <w:tcPr>
            <w:tcW w:w="900" w:type="dxa"/>
          </w:tcPr>
          <w:p w14:paraId="5C06B3BD" w14:textId="77777777" w:rsidR="00CC6070" w:rsidRPr="006B4593" w:rsidRDefault="00A31992" w:rsidP="00927B51">
            <w:pPr>
              <w:spacing w:before="20" w:after="20" w:line="240" w:lineRule="auto"/>
              <w:jc w:val="center"/>
              <w:rPr>
                <w:rFonts w:eastAsia="Times New Roman" w:cs="Times New Roman"/>
                <w:b/>
                <w:sz w:val="24"/>
                <w:szCs w:val="24"/>
              </w:rPr>
            </w:pPr>
            <w:r w:rsidRPr="006B4593">
              <w:rPr>
                <w:rFonts w:eastAsia="Times New Roman" w:cs="Times New Roman"/>
                <w:b/>
                <w:sz w:val="24"/>
                <w:szCs w:val="24"/>
              </w:rPr>
              <w:t>Nivel</w:t>
            </w:r>
          </w:p>
        </w:tc>
        <w:tc>
          <w:tcPr>
            <w:tcW w:w="2900" w:type="dxa"/>
          </w:tcPr>
          <w:p w14:paraId="082A3CF2" w14:textId="77777777" w:rsidR="00CC6070" w:rsidRPr="006B4593" w:rsidRDefault="00A31992">
            <w:pPr>
              <w:spacing w:before="20" w:after="20" w:line="240" w:lineRule="auto"/>
              <w:jc w:val="center"/>
              <w:rPr>
                <w:rFonts w:eastAsia="Times New Roman" w:cs="Times New Roman"/>
                <w:b/>
                <w:sz w:val="24"/>
                <w:szCs w:val="24"/>
              </w:rPr>
            </w:pPr>
            <w:r w:rsidRPr="006B4593">
              <w:rPr>
                <w:rFonts w:eastAsia="Times New Roman" w:cs="Times New Roman"/>
                <w:b/>
                <w:sz w:val="24"/>
                <w:szCs w:val="24"/>
              </w:rPr>
              <w:t>Descriptor</w:t>
            </w:r>
          </w:p>
        </w:tc>
        <w:tc>
          <w:tcPr>
            <w:tcW w:w="1200" w:type="dxa"/>
          </w:tcPr>
          <w:p w14:paraId="5770B6E0" w14:textId="77777777" w:rsidR="00CC6070" w:rsidRPr="006B4593" w:rsidRDefault="00A31992">
            <w:pPr>
              <w:spacing w:before="20" w:after="20" w:line="240" w:lineRule="auto"/>
              <w:jc w:val="center"/>
              <w:rPr>
                <w:rFonts w:eastAsia="Times New Roman" w:cs="Times New Roman"/>
                <w:b/>
                <w:sz w:val="24"/>
                <w:szCs w:val="24"/>
              </w:rPr>
            </w:pPr>
            <w:r w:rsidRPr="006B4593">
              <w:rPr>
                <w:rFonts w:eastAsia="Times New Roman" w:cs="Times New Roman"/>
                <w:b/>
                <w:sz w:val="24"/>
                <w:szCs w:val="24"/>
              </w:rPr>
              <w:t>Valoración</w:t>
            </w:r>
          </w:p>
        </w:tc>
      </w:tr>
      <w:tr w:rsidR="00CC6070" w:rsidRPr="006B4593" w14:paraId="1780A336" w14:textId="77777777">
        <w:tc>
          <w:tcPr>
            <w:tcW w:w="900" w:type="dxa"/>
          </w:tcPr>
          <w:p w14:paraId="094BB6A7" w14:textId="77777777" w:rsidR="00CC6070" w:rsidRPr="006B4593" w:rsidRDefault="00A31992" w:rsidP="00927B51">
            <w:pPr>
              <w:spacing w:before="20" w:after="20" w:line="240" w:lineRule="auto"/>
              <w:jc w:val="center"/>
              <w:rPr>
                <w:rFonts w:eastAsia="Times New Roman" w:cs="Times New Roman"/>
                <w:sz w:val="24"/>
                <w:szCs w:val="24"/>
              </w:rPr>
            </w:pPr>
            <w:r w:rsidRPr="006B4593">
              <w:rPr>
                <w:rFonts w:eastAsia="Times New Roman" w:cs="Times New Roman"/>
                <w:sz w:val="24"/>
                <w:szCs w:val="24"/>
              </w:rPr>
              <w:t>A</w:t>
            </w:r>
          </w:p>
        </w:tc>
        <w:tc>
          <w:tcPr>
            <w:tcW w:w="2900" w:type="dxa"/>
          </w:tcPr>
          <w:p w14:paraId="38AADAB1"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Cumple</w:t>
            </w:r>
          </w:p>
        </w:tc>
        <w:tc>
          <w:tcPr>
            <w:tcW w:w="1200" w:type="dxa"/>
          </w:tcPr>
          <w:p w14:paraId="0D9490B8"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3</w:t>
            </w:r>
          </w:p>
        </w:tc>
      </w:tr>
      <w:tr w:rsidR="00CC6070" w:rsidRPr="006B4593" w14:paraId="241AB91D" w14:textId="77777777">
        <w:tc>
          <w:tcPr>
            <w:tcW w:w="900" w:type="dxa"/>
          </w:tcPr>
          <w:p w14:paraId="3D020338" w14:textId="77777777" w:rsidR="00CC6070" w:rsidRPr="006B4593" w:rsidRDefault="00A31992" w:rsidP="00927B51">
            <w:pPr>
              <w:spacing w:before="20" w:after="20" w:line="240" w:lineRule="auto"/>
              <w:jc w:val="center"/>
              <w:rPr>
                <w:rFonts w:eastAsia="Times New Roman" w:cs="Times New Roman"/>
                <w:sz w:val="24"/>
                <w:szCs w:val="24"/>
              </w:rPr>
            </w:pPr>
            <w:r w:rsidRPr="006B4593">
              <w:rPr>
                <w:rFonts w:eastAsia="Times New Roman" w:cs="Times New Roman"/>
                <w:sz w:val="24"/>
                <w:szCs w:val="24"/>
              </w:rPr>
              <w:t>B</w:t>
            </w:r>
          </w:p>
        </w:tc>
        <w:tc>
          <w:tcPr>
            <w:tcW w:w="2900" w:type="dxa"/>
          </w:tcPr>
          <w:p w14:paraId="11424274"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Progresa significativamente</w:t>
            </w:r>
          </w:p>
        </w:tc>
        <w:tc>
          <w:tcPr>
            <w:tcW w:w="1200" w:type="dxa"/>
          </w:tcPr>
          <w:p w14:paraId="35FC1E14"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2</w:t>
            </w:r>
          </w:p>
        </w:tc>
      </w:tr>
      <w:tr w:rsidR="00CC6070" w:rsidRPr="006B4593" w14:paraId="43AAE339" w14:textId="77777777">
        <w:tc>
          <w:tcPr>
            <w:tcW w:w="900" w:type="dxa"/>
          </w:tcPr>
          <w:p w14:paraId="303C4AD4" w14:textId="77777777" w:rsidR="00CC6070" w:rsidRPr="006B4593" w:rsidRDefault="00A31992" w:rsidP="00927B51">
            <w:pPr>
              <w:spacing w:before="20" w:after="20" w:line="240" w:lineRule="auto"/>
              <w:jc w:val="center"/>
              <w:rPr>
                <w:rFonts w:eastAsia="Times New Roman" w:cs="Times New Roman"/>
                <w:sz w:val="24"/>
                <w:szCs w:val="24"/>
              </w:rPr>
            </w:pPr>
            <w:r w:rsidRPr="006B4593">
              <w:rPr>
                <w:rFonts w:eastAsia="Times New Roman" w:cs="Times New Roman"/>
                <w:sz w:val="24"/>
                <w:szCs w:val="24"/>
              </w:rPr>
              <w:t>C</w:t>
            </w:r>
          </w:p>
        </w:tc>
        <w:tc>
          <w:tcPr>
            <w:tcW w:w="2900" w:type="dxa"/>
          </w:tcPr>
          <w:p w14:paraId="140F70D3"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Debe mejorar</w:t>
            </w:r>
          </w:p>
        </w:tc>
        <w:tc>
          <w:tcPr>
            <w:tcW w:w="1200" w:type="dxa"/>
          </w:tcPr>
          <w:p w14:paraId="2F67FEE8"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1</w:t>
            </w:r>
          </w:p>
        </w:tc>
      </w:tr>
      <w:tr w:rsidR="00CC6070" w:rsidRPr="006B4593" w14:paraId="4C76EC94" w14:textId="77777777">
        <w:tc>
          <w:tcPr>
            <w:tcW w:w="900" w:type="dxa"/>
          </w:tcPr>
          <w:p w14:paraId="0DDBCC7D" w14:textId="77777777" w:rsidR="00CC6070" w:rsidRPr="006B4593" w:rsidRDefault="00A31992" w:rsidP="00927B51">
            <w:pPr>
              <w:spacing w:before="20" w:after="20" w:line="240" w:lineRule="auto"/>
              <w:jc w:val="center"/>
              <w:rPr>
                <w:rFonts w:eastAsia="Times New Roman" w:cs="Times New Roman"/>
                <w:sz w:val="24"/>
                <w:szCs w:val="24"/>
              </w:rPr>
            </w:pPr>
            <w:r w:rsidRPr="006B4593">
              <w:rPr>
                <w:rFonts w:eastAsia="Times New Roman" w:cs="Times New Roman"/>
                <w:sz w:val="24"/>
                <w:szCs w:val="24"/>
              </w:rPr>
              <w:t>D</w:t>
            </w:r>
          </w:p>
        </w:tc>
        <w:tc>
          <w:tcPr>
            <w:tcW w:w="2900" w:type="dxa"/>
          </w:tcPr>
          <w:p w14:paraId="44409587"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No cumple</w:t>
            </w:r>
          </w:p>
        </w:tc>
        <w:tc>
          <w:tcPr>
            <w:tcW w:w="1200" w:type="dxa"/>
          </w:tcPr>
          <w:p w14:paraId="7CB525C5"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0</w:t>
            </w:r>
          </w:p>
        </w:tc>
      </w:tr>
    </w:tbl>
    <w:p w14:paraId="095EC6E8" w14:textId="77777777" w:rsidR="00CC6070" w:rsidRPr="006B4593" w:rsidRDefault="00A31992">
      <w:pPr>
        <w:pStyle w:val="Fuente"/>
        <w:rPr>
          <w:rFonts w:ascii="Times New Roman" w:hAnsi="Times New Roman" w:cs="Times New Roman"/>
          <w:sz w:val="24"/>
          <w:szCs w:val="24"/>
        </w:rPr>
      </w:pPr>
      <w:r w:rsidRPr="006B4593">
        <w:rPr>
          <w:rFonts w:ascii="Times New Roman" w:hAnsi="Times New Roman" w:cs="Times New Roman"/>
          <w:sz w:val="24"/>
          <w:szCs w:val="24"/>
        </w:rPr>
        <w:lastRenderedPageBreak/>
        <w:t>Fuente: elaboración propia a partir de Franco Rodríguez (2016)</w:t>
      </w:r>
    </w:p>
    <w:p w14:paraId="14015D4B" w14:textId="77777777" w:rsidR="00CC6070" w:rsidRPr="006B4593" w:rsidRDefault="00A31992">
      <w:pPr>
        <w:rPr>
          <w:rFonts w:cs="Times New Roman"/>
          <w:sz w:val="24"/>
          <w:szCs w:val="24"/>
        </w:rPr>
      </w:pPr>
      <w:r w:rsidRPr="006B4593">
        <w:rPr>
          <w:rFonts w:cs="Times New Roman"/>
          <w:sz w:val="24"/>
          <w:szCs w:val="24"/>
        </w:rPr>
        <w:t>La ausencia de un punto medio es deliberada: obliga al evaluador a pronunciarse hacia el cumplimiento o hacia la carencia y evita la concentración de respuestas en el centro de la escala, qu</w:t>
      </w:r>
      <w:r w:rsidRPr="006B4593">
        <w:rPr>
          <w:rFonts w:cs="Times New Roman"/>
          <w:sz w:val="24"/>
          <w:szCs w:val="24"/>
        </w:rPr>
        <w:t>e es el sesgo habitual de los formatos impares. El formulario cierra cada función con un subtotal en puntos y reserva una columna de observaciones donde se registra la evidencia que sostiene la calificación.</w:t>
      </w:r>
    </w:p>
    <w:p w14:paraId="1364C3C4" w14:textId="77777777" w:rsidR="00CC6070" w:rsidRPr="006B4593" w:rsidRDefault="00A31992">
      <w:pPr>
        <w:pStyle w:val="Ttulo2"/>
        <w:rPr>
          <w:rFonts w:cs="Times New Roman"/>
          <w:sz w:val="24"/>
          <w:szCs w:val="24"/>
        </w:rPr>
      </w:pPr>
      <w:r w:rsidRPr="006B4593">
        <w:rPr>
          <w:rFonts w:cs="Times New Roman"/>
          <w:sz w:val="24"/>
          <w:szCs w:val="24"/>
        </w:rPr>
        <w:t>4.4. El baremo de decisión</w:t>
      </w:r>
    </w:p>
    <w:p w14:paraId="1BB6EE8D" w14:textId="77777777" w:rsidR="00CC6070" w:rsidRPr="006B4593" w:rsidRDefault="00A31992">
      <w:pPr>
        <w:rPr>
          <w:rFonts w:cs="Times New Roman"/>
          <w:sz w:val="24"/>
          <w:szCs w:val="24"/>
        </w:rPr>
      </w:pPr>
      <w:r w:rsidRPr="006B4593">
        <w:rPr>
          <w:rFonts w:cs="Times New Roman"/>
          <w:sz w:val="24"/>
          <w:szCs w:val="24"/>
        </w:rPr>
        <w:t>Los subtotales de las</w:t>
      </w:r>
      <w:r w:rsidRPr="006B4593">
        <w:rPr>
          <w:rFonts w:cs="Times New Roman"/>
          <w:sz w:val="24"/>
          <w:szCs w:val="24"/>
        </w:rPr>
        <w:t xml:space="preserve"> ocho funciones se suman y la suma se contrasta con cuatro tramos de decisión.</w:t>
      </w:r>
    </w:p>
    <w:p w14:paraId="53EA617A" w14:textId="77777777" w:rsidR="00CC6070" w:rsidRPr="006B4593" w:rsidRDefault="00A31992">
      <w:pPr>
        <w:pStyle w:val="Figuras"/>
        <w:rPr>
          <w:rFonts w:ascii="Times New Roman" w:hAnsi="Times New Roman" w:cs="Times New Roman"/>
          <w:sz w:val="24"/>
          <w:szCs w:val="24"/>
        </w:rPr>
      </w:pPr>
      <w:r w:rsidRPr="006B4593">
        <w:rPr>
          <w:rFonts w:ascii="Times New Roman" w:hAnsi="Times New Roman" w:cs="Times New Roman"/>
          <w:sz w:val="24"/>
          <w:szCs w:val="24"/>
        </w:rPr>
        <w:t>TABLA 3. Baremo de decisión para valorar el desempeño del profesorado</w:t>
      </w:r>
    </w:p>
    <w:tbl>
      <w:tblPr>
        <w:tblStyle w:val="Tabla"/>
        <w:tblW w:w="5500" w:type="dxa"/>
        <w:tblCellMar>
          <w:left w:w="70" w:type="dxa"/>
          <w:right w:w="70" w:type="dxa"/>
        </w:tblCellMar>
        <w:tblLook w:val="04A0" w:firstRow="1" w:lastRow="0" w:firstColumn="1" w:lastColumn="0" w:noHBand="0" w:noVBand="1"/>
      </w:tblPr>
      <w:tblGrid>
        <w:gridCol w:w="2400"/>
        <w:gridCol w:w="1500"/>
        <w:gridCol w:w="1600"/>
      </w:tblGrid>
      <w:tr w:rsidR="00CC6070" w:rsidRPr="006B4593" w14:paraId="3D891002" w14:textId="77777777">
        <w:trPr>
          <w:tblHeader/>
        </w:trPr>
        <w:tc>
          <w:tcPr>
            <w:tcW w:w="2400" w:type="dxa"/>
          </w:tcPr>
          <w:p w14:paraId="61AA5F62" w14:textId="77777777" w:rsidR="00CC6070" w:rsidRPr="006B4593" w:rsidRDefault="00A31992">
            <w:pPr>
              <w:spacing w:before="20" w:after="20" w:line="240" w:lineRule="auto"/>
              <w:jc w:val="left"/>
              <w:rPr>
                <w:rFonts w:eastAsia="Times New Roman" w:cs="Times New Roman"/>
                <w:b/>
                <w:sz w:val="24"/>
                <w:szCs w:val="24"/>
              </w:rPr>
            </w:pPr>
            <w:r w:rsidRPr="006B4593">
              <w:rPr>
                <w:rFonts w:eastAsia="Times New Roman" w:cs="Times New Roman"/>
                <w:b/>
                <w:sz w:val="24"/>
                <w:szCs w:val="24"/>
              </w:rPr>
              <w:t>Decisión</w:t>
            </w:r>
          </w:p>
        </w:tc>
        <w:tc>
          <w:tcPr>
            <w:tcW w:w="1500" w:type="dxa"/>
          </w:tcPr>
          <w:p w14:paraId="601A192D" w14:textId="77777777" w:rsidR="00CC6070" w:rsidRPr="006B4593" w:rsidRDefault="00A31992">
            <w:pPr>
              <w:spacing w:before="20" w:after="20" w:line="240" w:lineRule="auto"/>
              <w:jc w:val="center"/>
              <w:rPr>
                <w:rFonts w:eastAsia="Times New Roman" w:cs="Times New Roman"/>
                <w:b/>
                <w:sz w:val="24"/>
                <w:szCs w:val="24"/>
              </w:rPr>
            </w:pPr>
            <w:r w:rsidRPr="006B4593">
              <w:rPr>
                <w:rFonts w:eastAsia="Times New Roman" w:cs="Times New Roman"/>
                <w:b/>
                <w:sz w:val="24"/>
                <w:szCs w:val="24"/>
              </w:rPr>
              <w:t>Puntos</w:t>
            </w:r>
          </w:p>
        </w:tc>
        <w:tc>
          <w:tcPr>
            <w:tcW w:w="1600" w:type="dxa"/>
          </w:tcPr>
          <w:p w14:paraId="6444C6BC" w14:textId="77777777" w:rsidR="00CC6070" w:rsidRPr="006B4593" w:rsidRDefault="00A31992">
            <w:pPr>
              <w:spacing w:before="20" w:after="20" w:line="240" w:lineRule="auto"/>
              <w:jc w:val="center"/>
              <w:rPr>
                <w:rFonts w:eastAsia="Times New Roman" w:cs="Times New Roman"/>
                <w:b/>
                <w:sz w:val="24"/>
                <w:szCs w:val="24"/>
              </w:rPr>
            </w:pPr>
            <w:r w:rsidRPr="006B4593">
              <w:rPr>
                <w:rFonts w:eastAsia="Times New Roman" w:cs="Times New Roman"/>
                <w:b/>
                <w:sz w:val="24"/>
                <w:szCs w:val="24"/>
              </w:rPr>
              <w:t>Equivalencia</w:t>
            </w:r>
          </w:p>
        </w:tc>
      </w:tr>
      <w:tr w:rsidR="00CC6070" w:rsidRPr="006B4593" w14:paraId="76F6A989" w14:textId="77777777">
        <w:tc>
          <w:tcPr>
            <w:tcW w:w="2400" w:type="dxa"/>
          </w:tcPr>
          <w:p w14:paraId="4E380447" w14:textId="77777777" w:rsidR="00CC6070" w:rsidRPr="006B4593" w:rsidRDefault="00A31992">
            <w:pPr>
              <w:spacing w:before="20" w:after="20" w:line="240" w:lineRule="auto"/>
              <w:jc w:val="left"/>
              <w:rPr>
                <w:rFonts w:eastAsia="Times New Roman" w:cs="Times New Roman"/>
                <w:sz w:val="24"/>
                <w:szCs w:val="24"/>
              </w:rPr>
            </w:pPr>
            <w:r w:rsidRPr="006B4593">
              <w:rPr>
                <w:rFonts w:eastAsia="Times New Roman" w:cs="Times New Roman"/>
                <w:sz w:val="24"/>
                <w:szCs w:val="24"/>
              </w:rPr>
              <w:t>Cumple</w:t>
            </w:r>
          </w:p>
        </w:tc>
        <w:tc>
          <w:tcPr>
            <w:tcW w:w="1500" w:type="dxa"/>
          </w:tcPr>
          <w:p w14:paraId="5608F2AE"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100 a 95</w:t>
            </w:r>
          </w:p>
        </w:tc>
        <w:tc>
          <w:tcPr>
            <w:tcW w:w="1600" w:type="dxa"/>
          </w:tcPr>
          <w:p w14:paraId="3052E3B7"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 95 %</w:t>
            </w:r>
          </w:p>
        </w:tc>
      </w:tr>
      <w:tr w:rsidR="00CC6070" w:rsidRPr="006B4593" w14:paraId="0FE276E2" w14:textId="77777777">
        <w:tc>
          <w:tcPr>
            <w:tcW w:w="2400" w:type="dxa"/>
          </w:tcPr>
          <w:p w14:paraId="6FD2E69A" w14:textId="77777777" w:rsidR="00CC6070" w:rsidRPr="006B4593" w:rsidRDefault="00A31992">
            <w:pPr>
              <w:spacing w:before="20" w:after="20" w:line="240" w:lineRule="auto"/>
              <w:jc w:val="left"/>
              <w:rPr>
                <w:rFonts w:eastAsia="Times New Roman" w:cs="Times New Roman"/>
                <w:sz w:val="24"/>
                <w:szCs w:val="24"/>
              </w:rPr>
            </w:pPr>
            <w:r w:rsidRPr="006B4593">
              <w:rPr>
                <w:rFonts w:eastAsia="Times New Roman" w:cs="Times New Roman"/>
                <w:sz w:val="24"/>
                <w:szCs w:val="24"/>
              </w:rPr>
              <w:t>Progresa significativamente</w:t>
            </w:r>
          </w:p>
        </w:tc>
        <w:tc>
          <w:tcPr>
            <w:tcW w:w="1500" w:type="dxa"/>
          </w:tcPr>
          <w:p w14:paraId="08E58946"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94 a 90</w:t>
            </w:r>
          </w:p>
        </w:tc>
        <w:tc>
          <w:tcPr>
            <w:tcW w:w="1600" w:type="dxa"/>
          </w:tcPr>
          <w:p w14:paraId="68D0087C"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90 % a 94 %</w:t>
            </w:r>
          </w:p>
        </w:tc>
      </w:tr>
      <w:tr w:rsidR="00CC6070" w:rsidRPr="006B4593" w14:paraId="4D39CD95" w14:textId="77777777">
        <w:tc>
          <w:tcPr>
            <w:tcW w:w="2400" w:type="dxa"/>
          </w:tcPr>
          <w:p w14:paraId="7DF77CE9" w14:textId="77777777" w:rsidR="00CC6070" w:rsidRPr="006B4593" w:rsidRDefault="00A31992">
            <w:pPr>
              <w:spacing w:before="20" w:after="20" w:line="240" w:lineRule="auto"/>
              <w:jc w:val="left"/>
              <w:rPr>
                <w:rFonts w:eastAsia="Times New Roman" w:cs="Times New Roman"/>
                <w:sz w:val="24"/>
                <w:szCs w:val="24"/>
              </w:rPr>
            </w:pPr>
            <w:r w:rsidRPr="006B4593">
              <w:rPr>
                <w:rFonts w:eastAsia="Times New Roman" w:cs="Times New Roman"/>
                <w:sz w:val="24"/>
                <w:szCs w:val="24"/>
              </w:rPr>
              <w:t>Debe</w:t>
            </w:r>
            <w:r w:rsidRPr="006B4593">
              <w:rPr>
                <w:rFonts w:eastAsia="Times New Roman" w:cs="Times New Roman"/>
                <w:sz w:val="24"/>
                <w:szCs w:val="24"/>
              </w:rPr>
              <w:t xml:space="preserve"> mejorar (monitoreo de observación)</w:t>
            </w:r>
          </w:p>
        </w:tc>
        <w:tc>
          <w:tcPr>
            <w:tcW w:w="1500" w:type="dxa"/>
          </w:tcPr>
          <w:p w14:paraId="1A7FFB6C"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89 a 85</w:t>
            </w:r>
          </w:p>
        </w:tc>
        <w:tc>
          <w:tcPr>
            <w:tcW w:w="1600" w:type="dxa"/>
          </w:tcPr>
          <w:p w14:paraId="3ADD0C9E"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85 % a 89 %</w:t>
            </w:r>
          </w:p>
        </w:tc>
      </w:tr>
      <w:tr w:rsidR="00CC6070" w:rsidRPr="006B4593" w14:paraId="39913CEF" w14:textId="77777777">
        <w:tc>
          <w:tcPr>
            <w:tcW w:w="2400" w:type="dxa"/>
          </w:tcPr>
          <w:p w14:paraId="3D90B235" w14:textId="77777777" w:rsidR="00CC6070" w:rsidRPr="006B4593" w:rsidRDefault="00A31992">
            <w:pPr>
              <w:spacing w:before="20" w:after="20" w:line="240" w:lineRule="auto"/>
              <w:jc w:val="left"/>
              <w:rPr>
                <w:rFonts w:eastAsia="Times New Roman" w:cs="Times New Roman"/>
                <w:sz w:val="24"/>
                <w:szCs w:val="24"/>
              </w:rPr>
            </w:pPr>
            <w:r w:rsidRPr="006B4593">
              <w:rPr>
                <w:rFonts w:eastAsia="Times New Roman" w:cs="Times New Roman"/>
                <w:sz w:val="24"/>
                <w:szCs w:val="24"/>
              </w:rPr>
              <w:t>No cumple</w:t>
            </w:r>
          </w:p>
        </w:tc>
        <w:tc>
          <w:tcPr>
            <w:tcW w:w="1500" w:type="dxa"/>
          </w:tcPr>
          <w:p w14:paraId="7311765D"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84 a 0</w:t>
            </w:r>
          </w:p>
        </w:tc>
        <w:tc>
          <w:tcPr>
            <w:tcW w:w="1600" w:type="dxa"/>
          </w:tcPr>
          <w:p w14:paraId="7FF6C930"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&lt; 85 %</w:t>
            </w:r>
          </w:p>
        </w:tc>
      </w:tr>
    </w:tbl>
    <w:p w14:paraId="13DB7877" w14:textId="77777777" w:rsidR="00CC6070" w:rsidRPr="006B4593" w:rsidRDefault="00A31992">
      <w:pPr>
        <w:pStyle w:val="Fuente"/>
        <w:rPr>
          <w:rFonts w:ascii="Times New Roman" w:hAnsi="Times New Roman" w:cs="Times New Roman"/>
          <w:sz w:val="24"/>
          <w:szCs w:val="24"/>
        </w:rPr>
      </w:pPr>
      <w:r w:rsidRPr="006B4593">
        <w:rPr>
          <w:rFonts w:ascii="Times New Roman" w:hAnsi="Times New Roman" w:cs="Times New Roman"/>
          <w:sz w:val="24"/>
          <w:szCs w:val="24"/>
        </w:rPr>
        <w:t>Fuente: elaboración propia a partir de Franco Rodríguez (2016)</w:t>
      </w:r>
    </w:p>
    <w:p w14:paraId="65A92653" w14:textId="77777777" w:rsidR="00CC6070" w:rsidRPr="006B4593" w:rsidRDefault="00A31992">
      <w:pPr>
        <w:rPr>
          <w:rFonts w:cs="Times New Roman"/>
          <w:sz w:val="24"/>
          <w:szCs w:val="24"/>
        </w:rPr>
      </w:pPr>
      <w:r w:rsidRPr="006B4593">
        <w:rPr>
          <w:rFonts w:cs="Times New Roman"/>
          <w:sz w:val="24"/>
          <w:szCs w:val="24"/>
        </w:rPr>
        <w:t xml:space="preserve">El tramo «debe mejorar» activa un monitoreo de observación, esto es, la programación de visitas de aula y la </w:t>
      </w:r>
      <w:r w:rsidRPr="006B4593">
        <w:rPr>
          <w:rFonts w:cs="Times New Roman"/>
          <w:sz w:val="24"/>
          <w:szCs w:val="24"/>
        </w:rPr>
        <w:t>incorporación del profesor a las líneas de formación identificadas en el plan. Los tramos superiores alimentan la carpeta de evidencias de la autoevaluación institucional. La retroalimentación se devuelve al docente con el formulario a la vista, criterio p</w:t>
      </w:r>
      <w:r w:rsidRPr="006B4593">
        <w:rPr>
          <w:rFonts w:cs="Times New Roman"/>
          <w:sz w:val="24"/>
          <w:szCs w:val="24"/>
        </w:rPr>
        <w:t>or criterio, y no como una calificación global.</w:t>
      </w:r>
    </w:p>
    <w:p w14:paraId="253027BA" w14:textId="77777777" w:rsidR="00CC6070" w:rsidRPr="006B4593" w:rsidRDefault="00A31992">
      <w:pPr>
        <w:pStyle w:val="Ttulo2"/>
        <w:rPr>
          <w:rFonts w:cs="Times New Roman"/>
          <w:sz w:val="24"/>
          <w:szCs w:val="24"/>
        </w:rPr>
      </w:pPr>
      <w:r w:rsidRPr="006B4593">
        <w:rPr>
          <w:rFonts w:cs="Times New Roman"/>
          <w:sz w:val="24"/>
          <w:szCs w:val="24"/>
        </w:rPr>
        <w:t>4.5. Registro y trazabilidad</w:t>
      </w:r>
    </w:p>
    <w:p w14:paraId="4370E1C9" w14:textId="77777777" w:rsidR="00CC6070" w:rsidRPr="006B4593" w:rsidRDefault="00A31992">
      <w:pPr>
        <w:rPr>
          <w:rFonts w:cs="Times New Roman"/>
          <w:sz w:val="24"/>
          <w:szCs w:val="24"/>
        </w:rPr>
      </w:pPr>
      <w:r w:rsidRPr="006B4593">
        <w:rPr>
          <w:rFonts w:cs="Times New Roman"/>
          <w:sz w:val="24"/>
          <w:szCs w:val="24"/>
        </w:rPr>
        <w:lastRenderedPageBreak/>
        <w:t>El encabezado del formulario identifica carrera, malla, nivel curricular, ciclo, materia y docente, además de un campo de codificación que lo integra al sistema documental de la f</w:t>
      </w:r>
      <w:r w:rsidRPr="006B4593">
        <w:rPr>
          <w:rFonts w:cs="Times New Roman"/>
          <w:sz w:val="24"/>
          <w:szCs w:val="24"/>
        </w:rPr>
        <w:t>acultad. Ese encabezado es lo que permite agregar resultados por materia, por unidad de organización curricular o por período, y comparar la evolución de un mismo profesor entre semestres. Sin él, la aplicación produce calificaciones individuales que no se</w:t>
      </w:r>
      <w:r w:rsidRPr="006B4593">
        <w:rPr>
          <w:rFonts w:cs="Times New Roman"/>
          <w:sz w:val="24"/>
          <w:szCs w:val="24"/>
        </w:rPr>
        <w:t xml:space="preserve"> pueden acumular ni auditar.</w:t>
      </w:r>
    </w:p>
    <w:p w14:paraId="5C92C657" w14:textId="77777777" w:rsidR="00CC6070" w:rsidRPr="006B4593" w:rsidRDefault="00A31992">
      <w:pPr>
        <w:pStyle w:val="Ttulo2"/>
        <w:rPr>
          <w:rFonts w:cs="Times New Roman"/>
          <w:sz w:val="24"/>
          <w:szCs w:val="24"/>
        </w:rPr>
      </w:pPr>
      <w:r w:rsidRPr="006B4593">
        <w:rPr>
          <w:rFonts w:cs="Times New Roman"/>
          <w:sz w:val="24"/>
          <w:szCs w:val="24"/>
        </w:rPr>
        <w:t>4.6. Articulación con el plan de formación del profesorado</w:t>
      </w:r>
    </w:p>
    <w:p w14:paraId="05CFEE25" w14:textId="77777777" w:rsidR="00CC6070" w:rsidRPr="006B4593" w:rsidRDefault="00A31992">
      <w:pPr>
        <w:rPr>
          <w:rFonts w:cs="Times New Roman"/>
          <w:sz w:val="24"/>
          <w:szCs w:val="24"/>
        </w:rPr>
      </w:pPr>
      <w:r w:rsidRPr="006B4593">
        <w:rPr>
          <w:rFonts w:cs="Times New Roman"/>
          <w:sz w:val="24"/>
          <w:szCs w:val="24"/>
        </w:rPr>
        <w:t xml:space="preserve">El baremo no termina en la calificación. Cada tramo remite al plan de formación que la investigación diseñó para el período 2016-2019, organizado en cinco grupos según </w:t>
      </w:r>
      <w:r w:rsidRPr="006B4593">
        <w:rPr>
          <w:rFonts w:cs="Times New Roman"/>
          <w:sz w:val="24"/>
          <w:szCs w:val="24"/>
        </w:rPr>
        <w:t>la categoría del profesor en el escalafón docente, con un fondo total de 2000 horas.</w:t>
      </w:r>
    </w:p>
    <w:p w14:paraId="14EFC28F" w14:textId="77777777" w:rsidR="00CC6070" w:rsidRPr="006B4593" w:rsidRDefault="00A31992">
      <w:pPr>
        <w:pStyle w:val="Figuras"/>
        <w:rPr>
          <w:rFonts w:ascii="Times New Roman" w:hAnsi="Times New Roman" w:cs="Times New Roman"/>
          <w:sz w:val="24"/>
          <w:szCs w:val="24"/>
        </w:rPr>
      </w:pPr>
      <w:r w:rsidRPr="006B4593">
        <w:rPr>
          <w:rFonts w:ascii="Times New Roman" w:hAnsi="Times New Roman" w:cs="Times New Roman"/>
          <w:sz w:val="24"/>
          <w:szCs w:val="24"/>
        </w:rPr>
        <w:t>TABLA 4. Fondo de horas del plan de formación por categoría docente</w:t>
      </w:r>
    </w:p>
    <w:tbl>
      <w:tblPr>
        <w:tblStyle w:val="Tabla"/>
        <w:tblW w:w="5900" w:type="dxa"/>
        <w:tblCellMar>
          <w:left w:w="70" w:type="dxa"/>
          <w:right w:w="70" w:type="dxa"/>
        </w:tblCellMar>
        <w:tblLook w:val="04A0" w:firstRow="1" w:lastRow="0" w:firstColumn="1" w:lastColumn="0" w:noHBand="0" w:noVBand="1"/>
      </w:tblPr>
      <w:tblGrid>
        <w:gridCol w:w="1696"/>
        <w:gridCol w:w="2804"/>
        <w:gridCol w:w="1400"/>
      </w:tblGrid>
      <w:tr w:rsidR="00CC6070" w:rsidRPr="006B4593" w14:paraId="7B0AACB5" w14:textId="77777777" w:rsidTr="00927B51">
        <w:trPr>
          <w:tblHeader/>
        </w:trPr>
        <w:tc>
          <w:tcPr>
            <w:tcW w:w="1696" w:type="dxa"/>
          </w:tcPr>
          <w:p w14:paraId="4D079581" w14:textId="77777777" w:rsidR="00CC6070" w:rsidRPr="006B4593" w:rsidRDefault="00A31992" w:rsidP="00927B51">
            <w:pPr>
              <w:spacing w:before="20" w:after="20" w:line="240" w:lineRule="auto"/>
              <w:jc w:val="center"/>
              <w:rPr>
                <w:rFonts w:eastAsia="Times New Roman" w:cs="Times New Roman"/>
                <w:b/>
                <w:sz w:val="24"/>
                <w:szCs w:val="24"/>
              </w:rPr>
            </w:pPr>
            <w:r w:rsidRPr="006B4593">
              <w:rPr>
                <w:rFonts w:eastAsia="Times New Roman" w:cs="Times New Roman"/>
                <w:b/>
                <w:sz w:val="24"/>
                <w:szCs w:val="24"/>
              </w:rPr>
              <w:t>Grupo</w:t>
            </w:r>
          </w:p>
        </w:tc>
        <w:tc>
          <w:tcPr>
            <w:tcW w:w="2804" w:type="dxa"/>
          </w:tcPr>
          <w:p w14:paraId="36FF607D" w14:textId="77777777" w:rsidR="00CC6070" w:rsidRPr="006B4593" w:rsidRDefault="00A31992">
            <w:pPr>
              <w:spacing w:before="20" w:after="20" w:line="240" w:lineRule="auto"/>
              <w:jc w:val="center"/>
              <w:rPr>
                <w:rFonts w:eastAsia="Times New Roman" w:cs="Times New Roman"/>
                <w:b/>
                <w:sz w:val="24"/>
                <w:szCs w:val="24"/>
              </w:rPr>
            </w:pPr>
            <w:r w:rsidRPr="006B4593">
              <w:rPr>
                <w:rFonts w:eastAsia="Times New Roman" w:cs="Times New Roman"/>
                <w:b/>
                <w:sz w:val="24"/>
                <w:szCs w:val="24"/>
              </w:rPr>
              <w:t>Categoría</w:t>
            </w:r>
          </w:p>
        </w:tc>
        <w:tc>
          <w:tcPr>
            <w:tcW w:w="1400" w:type="dxa"/>
          </w:tcPr>
          <w:p w14:paraId="7E256117" w14:textId="77777777" w:rsidR="00CC6070" w:rsidRPr="006B4593" w:rsidRDefault="00A31992">
            <w:pPr>
              <w:spacing w:before="20" w:after="20" w:line="240" w:lineRule="auto"/>
              <w:jc w:val="center"/>
              <w:rPr>
                <w:rFonts w:eastAsia="Times New Roman" w:cs="Times New Roman"/>
                <w:b/>
                <w:sz w:val="24"/>
                <w:szCs w:val="24"/>
              </w:rPr>
            </w:pPr>
            <w:r w:rsidRPr="006B4593">
              <w:rPr>
                <w:rFonts w:eastAsia="Times New Roman" w:cs="Times New Roman"/>
                <w:b/>
                <w:sz w:val="24"/>
                <w:szCs w:val="24"/>
              </w:rPr>
              <w:t>Horas</w:t>
            </w:r>
          </w:p>
        </w:tc>
      </w:tr>
      <w:tr w:rsidR="00CC6070" w:rsidRPr="006B4593" w14:paraId="77C2ED83" w14:textId="77777777" w:rsidTr="00927B51">
        <w:tc>
          <w:tcPr>
            <w:tcW w:w="1696" w:type="dxa"/>
          </w:tcPr>
          <w:p w14:paraId="6390979C" w14:textId="77777777" w:rsidR="00CC6070" w:rsidRPr="006B4593" w:rsidRDefault="00A31992" w:rsidP="00927B51">
            <w:pPr>
              <w:spacing w:before="20" w:after="20" w:line="240" w:lineRule="auto"/>
              <w:jc w:val="center"/>
              <w:rPr>
                <w:rFonts w:eastAsia="Times New Roman" w:cs="Times New Roman"/>
                <w:sz w:val="24"/>
                <w:szCs w:val="24"/>
              </w:rPr>
            </w:pPr>
            <w:r w:rsidRPr="006B4593">
              <w:rPr>
                <w:rFonts w:eastAsia="Times New Roman" w:cs="Times New Roman"/>
                <w:sz w:val="24"/>
                <w:szCs w:val="24"/>
              </w:rPr>
              <w:t>A</w:t>
            </w:r>
          </w:p>
        </w:tc>
        <w:tc>
          <w:tcPr>
            <w:tcW w:w="2804" w:type="dxa"/>
          </w:tcPr>
          <w:p w14:paraId="3D151F41"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Docentes de reciente contratación (nóveles)</w:t>
            </w:r>
          </w:p>
        </w:tc>
        <w:tc>
          <w:tcPr>
            <w:tcW w:w="1400" w:type="dxa"/>
          </w:tcPr>
          <w:p w14:paraId="6E5CC372"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300</w:t>
            </w:r>
          </w:p>
        </w:tc>
      </w:tr>
      <w:tr w:rsidR="00CC6070" w:rsidRPr="006B4593" w14:paraId="4787E036" w14:textId="77777777" w:rsidTr="00927B51">
        <w:tc>
          <w:tcPr>
            <w:tcW w:w="1696" w:type="dxa"/>
          </w:tcPr>
          <w:p w14:paraId="0C1EB999" w14:textId="77777777" w:rsidR="00CC6070" w:rsidRPr="006B4593" w:rsidRDefault="00A31992" w:rsidP="00927B51">
            <w:pPr>
              <w:spacing w:before="20" w:after="20" w:line="240" w:lineRule="auto"/>
              <w:jc w:val="center"/>
              <w:rPr>
                <w:rFonts w:eastAsia="Times New Roman" w:cs="Times New Roman"/>
                <w:sz w:val="24"/>
                <w:szCs w:val="24"/>
              </w:rPr>
            </w:pPr>
            <w:r w:rsidRPr="006B4593">
              <w:rPr>
                <w:rFonts w:eastAsia="Times New Roman" w:cs="Times New Roman"/>
                <w:sz w:val="24"/>
                <w:szCs w:val="24"/>
              </w:rPr>
              <w:t>B</w:t>
            </w:r>
          </w:p>
        </w:tc>
        <w:tc>
          <w:tcPr>
            <w:tcW w:w="2804" w:type="dxa"/>
          </w:tcPr>
          <w:p w14:paraId="11C2D191"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 xml:space="preserve">Docentes no titulares de </w:t>
            </w:r>
            <w:r w:rsidRPr="006B4593">
              <w:rPr>
                <w:rFonts w:eastAsia="Times New Roman" w:cs="Times New Roman"/>
                <w:sz w:val="24"/>
                <w:szCs w:val="24"/>
              </w:rPr>
              <w:t>tiempo completo</w:t>
            </w:r>
          </w:p>
        </w:tc>
        <w:tc>
          <w:tcPr>
            <w:tcW w:w="1400" w:type="dxa"/>
          </w:tcPr>
          <w:p w14:paraId="79EE56E1"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350</w:t>
            </w:r>
          </w:p>
        </w:tc>
      </w:tr>
      <w:tr w:rsidR="00CC6070" w:rsidRPr="006B4593" w14:paraId="0A0066A6" w14:textId="77777777" w:rsidTr="00927B51">
        <w:tc>
          <w:tcPr>
            <w:tcW w:w="1696" w:type="dxa"/>
          </w:tcPr>
          <w:p w14:paraId="42B155CD" w14:textId="77777777" w:rsidR="00CC6070" w:rsidRPr="006B4593" w:rsidRDefault="00A31992" w:rsidP="00927B51">
            <w:pPr>
              <w:spacing w:before="20" w:after="20" w:line="240" w:lineRule="auto"/>
              <w:jc w:val="center"/>
              <w:rPr>
                <w:rFonts w:eastAsia="Times New Roman" w:cs="Times New Roman"/>
                <w:sz w:val="24"/>
                <w:szCs w:val="24"/>
              </w:rPr>
            </w:pPr>
            <w:r w:rsidRPr="006B4593">
              <w:rPr>
                <w:rFonts w:eastAsia="Times New Roman" w:cs="Times New Roman"/>
                <w:sz w:val="24"/>
                <w:szCs w:val="24"/>
              </w:rPr>
              <w:t>C</w:t>
            </w:r>
          </w:p>
        </w:tc>
        <w:tc>
          <w:tcPr>
            <w:tcW w:w="2804" w:type="dxa"/>
          </w:tcPr>
          <w:p w14:paraId="28357FAD"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Docentes titulares auxiliares</w:t>
            </w:r>
          </w:p>
        </w:tc>
        <w:tc>
          <w:tcPr>
            <w:tcW w:w="1400" w:type="dxa"/>
          </w:tcPr>
          <w:p w14:paraId="276FE066"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400</w:t>
            </w:r>
          </w:p>
        </w:tc>
      </w:tr>
      <w:tr w:rsidR="00CC6070" w:rsidRPr="006B4593" w14:paraId="03AC248C" w14:textId="77777777" w:rsidTr="00927B51">
        <w:tc>
          <w:tcPr>
            <w:tcW w:w="1696" w:type="dxa"/>
          </w:tcPr>
          <w:p w14:paraId="4C6EAD9E" w14:textId="77777777" w:rsidR="00CC6070" w:rsidRPr="006B4593" w:rsidRDefault="00A31992" w:rsidP="00927B51">
            <w:pPr>
              <w:spacing w:before="20" w:after="20" w:line="240" w:lineRule="auto"/>
              <w:jc w:val="center"/>
              <w:rPr>
                <w:rFonts w:eastAsia="Times New Roman" w:cs="Times New Roman"/>
                <w:sz w:val="24"/>
                <w:szCs w:val="24"/>
              </w:rPr>
            </w:pPr>
            <w:r w:rsidRPr="006B4593">
              <w:rPr>
                <w:rFonts w:eastAsia="Times New Roman" w:cs="Times New Roman"/>
                <w:sz w:val="24"/>
                <w:szCs w:val="24"/>
              </w:rPr>
              <w:t>D</w:t>
            </w:r>
          </w:p>
        </w:tc>
        <w:tc>
          <w:tcPr>
            <w:tcW w:w="2804" w:type="dxa"/>
          </w:tcPr>
          <w:p w14:paraId="4D0772E5"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Docentes titulares agregados</w:t>
            </w:r>
          </w:p>
        </w:tc>
        <w:tc>
          <w:tcPr>
            <w:tcW w:w="1400" w:type="dxa"/>
          </w:tcPr>
          <w:p w14:paraId="31CF95A2"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450</w:t>
            </w:r>
          </w:p>
        </w:tc>
      </w:tr>
      <w:tr w:rsidR="00CC6070" w:rsidRPr="006B4593" w14:paraId="029CE4AB" w14:textId="77777777" w:rsidTr="00927B51">
        <w:tc>
          <w:tcPr>
            <w:tcW w:w="1696" w:type="dxa"/>
          </w:tcPr>
          <w:p w14:paraId="7E02C747" w14:textId="77777777" w:rsidR="00CC6070" w:rsidRPr="006B4593" w:rsidRDefault="00A31992" w:rsidP="00927B51">
            <w:pPr>
              <w:spacing w:before="20" w:after="20" w:line="240" w:lineRule="auto"/>
              <w:jc w:val="center"/>
              <w:rPr>
                <w:rFonts w:eastAsia="Times New Roman" w:cs="Times New Roman"/>
                <w:sz w:val="24"/>
                <w:szCs w:val="24"/>
              </w:rPr>
            </w:pPr>
            <w:r w:rsidRPr="006B4593">
              <w:rPr>
                <w:rFonts w:eastAsia="Times New Roman" w:cs="Times New Roman"/>
                <w:sz w:val="24"/>
                <w:szCs w:val="24"/>
              </w:rPr>
              <w:t>E</w:t>
            </w:r>
          </w:p>
        </w:tc>
        <w:tc>
          <w:tcPr>
            <w:tcW w:w="2804" w:type="dxa"/>
          </w:tcPr>
          <w:p w14:paraId="4BA3E661"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Docentes titulares principales</w:t>
            </w:r>
          </w:p>
        </w:tc>
        <w:tc>
          <w:tcPr>
            <w:tcW w:w="1400" w:type="dxa"/>
          </w:tcPr>
          <w:p w14:paraId="69C9ED2E" w14:textId="77777777" w:rsidR="00CC6070" w:rsidRPr="006B4593" w:rsidRDefault="00A31992">
            <w:pPr>
              <w:spacing w:before="20" w:after="20" w:line="240" w:lineRule="auto"/>
              <w:jc w:val="center"/>
              <w:rPr>
                <w:rFonts w:eastAsia="Times New Roman" w:cs="Times New Roman"/>
                <w:sz w:val="24"/>
                <w:szCs w:val="24"/>
              </w:rPr>
            </w:pPr>
            <w:r w:rsidRPr="006B4593">
              <w:rPr>
                <w:rFonts w:eastAsia="Times New Roman" w:cs="Times New Roman"/>
                <w:sz w:val="24"/>
                <w:szCs w:val="24"/>
              </w:rPr>
              <w:t>500</w:t>
            </w:r>
          </w:p>
        </w:tc>
      </w:tr>
      <w:tr w:rsidR="00CC6070" w:rsidRPr="006B4593" w14:paraId="589FB5AE" w14:textId="77777777" w:rsidTr="00927B51">
        <w:tc>
          <w:tcPr>
            <w:tcW w:w="1696" w:type="dxa"/>
          </w:tcPr>
          <w:p w14:paraId="57FD1743" w14:textId="77777777" w:rsidR="00CC6070" w:rsidRPr="006B4593" w:rsidRDefault="00A31992">
            <w:pPr>
              <w:spacing w:before="20" w:after="20" w:line="240" w:lineRule="auto"/>
              <w:jc w:val="left"/>
              <w:rPr>
                <w:rFonts w:eastAsia="Times New Roman" w:cs="Times New Roman"/>
                <w:b/>
                <w:sz w:val="24"/>
                <w:szCs w:val="24"/>
              </w:rPr>
            </w:pPr>
            <w:r w:rsidRPr="006B4593">
              <w:rPr>
                <w:rFonts w:eastAsia="Times New Roman" w:cs="Times New Roman"/>
                <w:b/>
                <w:sz w:val="24"/>
                <w:szCs w:val="24"/>
              </w:rPr>
              <w:t>Total</w:t>
            </w:r>
          </w:p>
        </w:tc>
        <w:tc>
          <w:tcPr>
            <w:tcW w:w="2804" w:type="dxa"/>
          </w:tcPr>
          <w:p w14:paraId="23724674" w14:textId="77777777" w:rsidR="00CC6070" w:rsidRPr="006B4593" w:rsidRDefault="00CC6070">
            <w:pPr>
              <w:spacing w:before="20" w:after="20" w:line="240" w:lineRule="auto"/>
              <w:jc w:val="center"/>
              <w:rPr>
                <w:rFonts w:eastAsia="Times New Roman" w:cs="Times New Roman"/>
                <w:b/>
                <w:sz w:val="24"/>
                <w:szCs w:val="24"/>
              </w:rPr>
            </w:pPr>
          </w:p>
        </w:tc>
        <w:tc>
          <w:tcPr>
            <w:tcW w:w="1400" w:type="dxa"/>
          </w:tcPr>
          <w:p w14:paraId="720583D7" w14:textId="77777777" w:rsidR="00CC6070" w:rsidRPr="006B4593" w:rsidRDefault="00A31992">
            <w:pPr>
              <w:spacing w:before="20" w:after="20" w:line="240" w:lineRule="auto"/>
              <w:jc w:val="center"/>
              <w:rPr>
                <w:rFonts w:eastAsia="Times New Roman" w:cs="Times New Roman"/>
                <w:b/>
                <w:sz w:val="24"/>
                <w:szCs w:val="24"/>
              </w:rPr>
            </w:pPr>
            <w:r w:rsidRPr="006B4593">
              <w:rPr>
                <w:rFonts w:eastAsia="Times New Roman" w:cs="Times New Roman"/>
                <w:b/>
                <w:sz w:val="24"/>
                <w:szCs w:val="24"/>
              </w:rPr>
              <w:t>2000</w:t>
            </w:r>
          </w:p>
        </w:tc>
      </w:tr>
    </w:tbl>
    <w:p w14:paraId="0209C7AE" w14:textId="77777777" w:rsidR="00CC6070" w:rsidRPr="006B4593" w:rsidRDefault="00A31992">
      <w:pPr>
        <w:pStyle w:val="Fuente"/>
        <w:rPr>
          <w:rFonts w:ascii="Times New Roman" w:hAnsi="Times New Roman" w:cs="Times New Roman"/>
          <w:sz w:val="24"/>
          <w:szCs w:val="24"/>
        </w:rPr>
      </w:pPr>
      <w:r w:rsidRPr="006B4593">
        <w:rPr>
          <w:rFonts w:ascii="Times New Roman" w:hAnsi="Times New Roman" w:cs="Times New Roman"/>
          <w:sz w:val="24"/>
          <w:szCs w:val="24"/>
        </w:rPr>
        <w:t>Fuente: elaboración propia a partir de Franco Rodríguez (2016)</w:t>
      </w:r>
    </w:p>
    <w:p w14:paraId="4C3E0E2A" w14:textId="40917878" w:rsidR="00CC6070" w:rsidRPr="006B4593" w:rsidRDefault="00A31992">
      <w:pPr>
        <w:rPr>
          <w:rFonts w:cs="Times New Roman"/>
          <w:sz w:val="24"/>
          <w:szCs w:val="24"/>
        </w:rPr>
      </w:pPr>
      <w:r w:rsidRPr="006B4593">
        <w:rPr>
          <w:rFonts w:cs="Times New Roman"/>
          <w:sz w:val="24"/>
          <w:szCs w:val="24"/>
        </w:rPr>
        <w:t>Esas 2</w:t>
      </w:r>
      <w:r w:rsidR="00927B51">
        <w:rPr>
          <w:rFonts w:cs="Times New Roman"/>
          <w:sz w:val="24"/>
          <w:szCs w:val="24"/>
        </w:rPr>
        <w:t xml:space="preserve"> </w:t>
      </w:r>
      <w:r w:rsidRPr="006B4593">
        <w:rPr>
          <w:rFonts w:cs="Times New Roman"/>
          <w:sz w:val="24"/>
          <w:szCs w:val="24"/>
        </w:rPr>
        <w:t xml:space="preserve">000 horas se reparten en cinco ejes formativos. Convivencia universitaria y gestión educativa concentra 610 horas, el 30,5 % del fondo; educación continua y posgrado, 430 horas (21,5 %); lengua </w:t>
      </w:r>
      <w:r w:rsidRPr="006B4593">
        <w:rPr>
          <w:rFonts w:cs="Times New Roman"/>
          <w:sz w:val="24"/>
          <w:szCs w:val="24"/>
        </w:rPr>
        <w:lastRenderedPageBreak/>
        <w:t>extranjera, 360 (18,0 %); pedagogía y didáctica, 310 (15</w:t>
      </w:r>
      <w:r w:rsidRPr="006B4593">
        <w:rPr>
          <w:rFonts w:cs="Times New Roman"/>
          <w:sz w:val="24"/>
          <w:szCs w:val="24"/>
        </w:rPr>
        <w:t>,5 %), e investigación y producción científica, 290 (14,5 %). El reparto por función universitaria asigna 1120 horas a docencia, 380 a investigación, 350 a gestión académica y 150 a vinculación con la comunidad.</w:t>
      </w:r>
    </w:p>
    <w:p w14:paraId="03B244B2" w14:textId="77777777" w:rsidR="00CC6070" w:rsidRPr="006B4593" w:rsidRDefault="00A31992">
      <w:pPr>
        <w:rPr>
          <w:rFonts w:cs="Times New Roman"/>
          <w:sz w:val="24"/>
          <w:szCs w:val="24"/>
        </w:rPr>
      </w:pPr>
      <w:r w:rsidRPr="006B4593">
        <w:rPr>
          <w:rFonts w:cs="Times New Roman"/>
          <w:sz w:val="24"/>
          <w:szCs w:val="24"/>
        </w:rPr>
        <w:t>La propuesta original no tabula qué eje form</w:t>
      </w:r>
      <w:r w:rsidRPr="006B4593">
        <w:rPr>
          <w:rFonts w:cs="Times New Roman"/>
          <w:sz w:val="24"/>
          <w:szCs w:val="24"/>
        </w:rPr>
        <w:t xml:space="preserve">ativo corresponde a cada función evaluada. Establecer esa correspondencia es lo que convierte al baremo en un dispositivo de mejora y no solo en un juicio: un profesor con subtotal bajo en la función H tendría que entrar al eje de pedagogía y didáctica, y </w:t>
      </w:r>
      <w:r w:rsidRPr="006B4593">
        <w:rPr>
          <w:rFonts w:cs="Times New Roman"/>
          <w:sz w:val="24"/>
          <w:szCs w:val="24"/>
        </w:rPr>
        <w:t>uno con subtotal bajo en la función E, al de educación continua y posgrado en su especialidad. Mientras la tabla de derivación no exista, el resultado de la evaluación y la oferta de formación funcionan como dos sistemas paralelos.</w:t>
      </w:r>
    </w:p>
    <w:p w14:paraId="69020633" w14:textId="77777777" w:rsidR="00CC6070" w:rsidRPr="006B4593" w:rsidRDefault="00A31992">
      <w:pPr>
        <w:pStyle w:val="Ttulo1"/>
        <w:rPr>
          <w:rFonts w:cs="Times New Roman"/>
          <w:szCs w:val="24"/>
        </w:rPr>
      </w:pPr>
      <w:r w:rsidRPr="006B4593">
        <w:rPr>
          <w:rFonts w:cs="Times New Roman"/>
          <w:szCs w:val="24"/>
        </w:rPr>
        <w:t>5. Discusión</w:t>
      </w:r>
    </w:p>
    <w:p w14:paraId="0DB4D2CF" w14:textId="77777777" w:rsidR="00CC6070" w:rsidRPr="006B4593" w:rsidRDefault="00A31992">
      <w:pPr>
        <w:pStyle w:val="Ttulo2"/>
        <w:rPr>
          <w:rFonts w:cs="Times New Roman"/>
          <w:sz w:val="24"/>
          <w:szCs w:val="24"/>
        </w:rPr>
      </w:pPr>
      <w:r w:rsidRPr="006B4593">
        <w:rPr>
          <w:rFonts w:cs="Times New Roman"/>
          <w:sz w:val="24"/>
          <w:szCs w:val="24"/>
        </w:rPr>
        <w:t xml:space="preserve">5.1. Qué </w:t>
      </w:r>
      <w:r w:rsidRPr="006B4593">
        <w:rPr>
          <w:rFonts w:cs="Times New Roman"/>
          <w:sz w:val="24"/>
          <w:szCs w:val="24"/>
        </w:rPr>
        <w:t>cambia respecto de la evaluación por percepción</w:t>
      </w:r>
    </w:p>
    <w:p w14:paraId="6D080179" w14:textId="3DFA4602" w:rsidR="00CC6070" w:rsidRPr="006B4593" w:rsidRDefault="00A31992">
      <w:pPr>
        <w:rPr>
          <w:rFonts w:cs="Times New Roman"/>
          <w:sz w:val="24"/>
          <w:szCs w:val="24"/>
        </w:rPr>
      </w:pPr>
      <w:r w:rsidRPr="006B4593">
        <w:rPr>
          <w:rFonts w:cs="Times New Roman"/>
          <w:sz w:val="24"/>
          <w:szCs w:val="24"/>
        </w:rPr>
        <w:t>El desplazamiento principal es el objeto de la observación</w:t>
      </w:r>
      <w:r w:rsidR="00812E87">
        <w:rPr>
          <w:rFonts w:cs="Times New Roman"/>
          <w:sz w:val="24"/>
          <w:szCs w:val="24"/>
        </w:rPr>
        <w:t>, como o señala Álvarez y Díaz, 2004</w:t>
      </w:r>
      <w:r w:rsidRPr="006B4593">
        <w:rPr>
          <w:rFonts w:cs="Times New Roman"/>
          <w:sz w:val="24"/>
          <w:szCs w:val="24"/>
        </w:rPr>
        <w:t>. Un ítem del cuestionario estudiantil pregunta si el docente motiva; un criterio de la función C pregunta si el docente estableció un canal de comuni</w:t>
      </w:r>
      <w:r w:rsidRPr="006B4593">
        <w:rPr>
          <w:rFonts w:cs="Times New Roman"/>
          <w:sz w:val="24"/>
          <w:szCs w:val="24"/>
        </w:rPr>
        <w:t>cación con las instancias de consejería y apoyo pedagógico para los estudiantes que lo requerían</w:t>
      </w:r>
      <w:r w:rsidR="00812E87">
        <w:rPr>
          <w:rFonts w:cs="Times New Roman"/>
          <w:sz w:val="24"/>
          <w:szCs w:val="24"/>
        </w:rPr>
        <w:t>, como lo establece Tobón, 2008</w:t>
      </w:r>
      <w:r w:rsidRPr="006B4593">
        <w:rPr>
          <w:rFonts w:cs="Times New Roman"/>
          <w:sz w:val="24"/>
          <w:szCs w:val="24"/>
        </w:rPr>
        <w:t xml:space="preserve">. La segunda formulación es verificable con un registro, la primera no. Esa es la aportación operativa del instrumento y también su principal exigencia, porque </w:t>
      </w:r>
      <w:r w:rsidRPr="006B4593">
        <w:rPr>
          <w:rFonts w:cs="Times New Roman"/>
          <w:sz w:val="24"/>
          <w:szCs w:val="24"/>
        </w:rPr>
        <w:t>obliga a la dirección de carrera a sostener 76 juicios documentados por profesor y por período</w:t>
      </w:r>
      <w:r w:rsidR="000318D0">
        <w:rPr>
          <w:rFonts w:cs="Times New Roman"/>
          <w:sz w:val="24"/>
          <w:szCs w:val="24"/>
        </w:rPr>
        <w:t>, conforme lo establece Ruíz Bueno et al, 2008</w:t>
      </w:r>
      <w:r w:rsidRPr="006B4593">
        <w:rPr>
          <w:rFonts w:cs="Times New Roman"/>
          <w:sz w:val="24"/>
          <w:szCs w:val="24"/>
        </w:rPr>
        <w:t>.</w:t>
      </w:r>
    </w:p>
    <w:p w14:paraId="672D7A96" w14:textId="0BF6C3DE" w:rsidR="00CC6070" w:rsidRPr="006B4593" w:rsidRDefault="00A31992">
      <w:pPr>
        <w:rPr>
          <w:rFonts w:cs="Times New Roman"/>
          <w:sz w:val="24"/>
          <w:szCs w:val="24"/>
        </w:rPr>
      </w:pPr>
      <w:r w:rsidRPr="006B4593">
        <w:rPr>
          <w:rFonts w:cs="Times New Roman"/>
          <w:sz w:val="24"/>
          <w:szCs w:val="24"/>
        </w:rPr>
        <w:t>El diseño también resuelve un problema de comparabilidad entre carreras. Al mantener idénticas las funciones E a H, el instrumento permite contrastar en las tre</w:t>
      </w:r>
      <w:r w:rsidRPr="006B4593">
        <w:rPr>
          <w:rFonts w:cs="Times New Roman"/>
          <w:sz w:val="24"/>
          <w:szCs w:val="24"/>
        </w:rPr>
        <w:t xml:space="preserve">s ofertas académicas el mismo bloque de 40 criterios referidos a la práctica profesional, el trabajo colaborativo, la bioética y la innovación docente, y reserva la diferencia para lo que efectivamente distingue a un ingeniero agropecuario de un </w:t>
      </w:r>
      <w:r w:rsidRPr="006B4593">
        <w:rPr>
          <w:rFonts w:cs="Times New Roman"/>
          <w:sz w:val="24"/>
          <w:szCs w:val="24"/>
        </w:rPr>
        <w:lastRenderedPageBreak/>
        <w:t>médico vet</w:t>
      </w:r>
      <w:r w:rsidRPr="006B4593">
        <w:rPr>
          <w:rFonts w:cs="Times New Roman"/>
          <w:sz w:val="24"/>
          <w:szCs w:val="24"/>
        </w:rPr>
        <w:t>erinario en el aula</w:t>
      </w:r>
      <w:r w:rsidR="00E854C7">
        <w:rPr>
          <w:rFonts w:cs="Times New Roman"/>
          <w:sz w:val="24"/>
          <w:szCs w:val="24"/>
        </w:rPr>
        <w:t>, en congruencia con lo indicado por González y Ambriz, 2013</w:t>
      </w:r>
      <w:r w:rsidRPr="006B4593">
        <w:rPr>
          <w:rFonts w:cs="Times New Roman"/>
          <w:sz w:val="24"/>
          <w:szCs w:val="24"/>
        </w:rPr>
        <w:t>.</w:t>
      </w:r>
    </w:p>
    <w:p w14:paraId="56C4C19B" w14:textId="2F098030" w:rsidR="00CC6070" w:rsidRPr="006B4593" w:rsidRDefault="00A31992">
      <w:pPr>
        <w:rPr>
          <w:rFonts w:cs="Times New Roman"/>
          <w:sz w:val="24"/>
          <w:szCs w:val="24"/>
        </w:rPr>
      </w:pPr>
      <w:r w:rsidRPr="006B4593">
        <w:rPr>
          <w:rFonts w:cs="Times New Roman"/>
          <w:sz w:val="24"/>
          <w:szCs w:val="24"/>
        </w:rPr>
        <w:t>La triangulación había producido antes dos listas de necesidades formativas, y el contraste con el instrumento deja ver dos huecos. En la dimensión genérica aparecieron liderazgo comunitario, comunicación eficiente, relación con el ent</w:t>
      </w:r>
      <w:r w:rsidRPr="006B4593">
        <w:rPr>
          <w:rFonts w:cs="Times New Roman"/>
          <w:sz w:val="24"/>
          <w:szCs w:val="24"/>
        </w:rPr>
        <w:t>orno, trabajo en equipo, planificación del curso, evaluación de procesos, orientación a la calidad y aprendizaje a lo largo de la vida</w:t>
      </w:r>
      <w:r w:rsidR="00A26BEE">
        <w:rPr>
          <w:rFonts w:cs="Times New Roman"/>
          <w:sz w:val="24"/>
          <w:szCs w:val="24"/>
        </w:rPr>
        <w:t>, co</w:t>
      </w:r>
      <w:r w:rsidR="005A3EFB">
        <w:rPr>
          <w:rFonts w:cs="Times New Roman"/>
          <w:sz w:val="24"/>
          <w:szCs w:val="24"/>
        </w:rPr>
        <w:t>nsistentemente como lo señala Franco, 2016</w:t>
      </w:r>
      <w:r w:rsidRPr="006B4593">
        <w:rPr>
          <w:rFonts w:cs="Times New Roman"/>
          <w:sz w:val="24"/>
          <w:szCs w:val="24"/>
        </w:rPr>
        <w:t>. En la específica, uso de tecnologías en la docencia, estrategias de mejora continua, evaluación de los aprendizajes, mot</w:t>
      </w:r>
      <w:r w:rsidRPr="006B4593">
        <w:rPr>
          <w:rFonts w:cs="Times New Roman"/>
          <w:sz w:val="24"/>
          <w:szCs w:val="24"/>
        </w:rPr>
        <w:t>ivación, orientación académica y personal, y acción educativa coordinada. Varias de ellas tienen traducción directa: la evaluación de los aprendizajes es la función B, la motivación es la C, el uso de tecnologías y la mejora continua se reparten en la H. O</w:t>
      </w:r>
      <w:r w:rsidRPr="006B4593">
        <w:rPr>
          <w:rFonts w:cs="Times New Roman"/>
          <w:sz w:val="24"/>
          <w:szCs w:val="24"/>
        </w:rPr>
        <w:t>tras quedan diluidas. El aprendizaje a lo largo de la vida, que la investigación identificó como necesidad del profesorado, solo aparece en el instrumento como algo que el docente debe fomentar en sus estudiantes, no como algo que se le exija practicar. Ni</w:t>
      </w:r>
      <w:r w:rsidRPr="006B4593">
        <w:rPr>
          <w:rFonts w:cs="Times New Roman"/>
          <w:sz w:val="24"/>
          <w:szCs w:val="24"/>
        </w:rPr>
        <w:t>nguno de los 76 criterios pregunta por la actualización disciplinar del propio profesor, que es precisamente lo que el plan de formación asociado pretende financiar.</w:t>
      </w:r>
    </w:p>
    <w:p w14:paraId="55442D7A" w14:textId="77777777" w:rsidR="00CC6070" w:rsidRPr="006B4593" w:rsidRDefault="00A31992">
      <w:pPr>
        <w:pStyle w:val="Ttulo2"/>
        <w:rPr>
          <w:rFonts w:cs="Times New Roman"/>
          <w:sz w:val="24"/>
          <w:szCs w:val="24"/>
        </w:rPr>
      </w:pPr>
      <w:r w:rsidRPr="006B4593">
        <w:rPr>
          <w:rFonts w:cs="Times New Roman"/>
          <w:sz w:val="24"/>
          <w:szCs w:val="24"/>
        </w:rPr>
        <w:t>5.2. La normalización pendiente</w:t>
      </w:r>
    </w:p>
    <w:p w14:paraId="339176D1" w14:textId="77777777" w:rsidR="00CC6070" w:rsidRPr="006B4593" w:rsidRDefault="00A31992">
      <w:pPr>
        <w:rPr>
          <w:rFonts w:cs="Times New Roman"/>
          <w:sz w:val="24"/>
          <w:szCs w:val="24"/>
        </w:rPr>
      </w:pPr>
      <w:r w:rsidRPr="006B4593">
        <w:rPr>
          <w:rFonts w:cs="Times New Roman"/>
          <w:sz w:val="24"/>
          <w:szCs w:val="24"/>
        </w:rPr>
        <w:t>El baremo se expresa sobre una base de 100 puntos, pero la</w:t>
      </w:r>
      <w:r w:rsidRPr="006B4593">
        <w:rPr>
          <w:rFonts w:cs="Times New Roman"/>
          <w:sz w:val="24"/>
          <w:szCs w:val="24"/>
        </w:rPr>
        <w:t xml:space="preserve"> suma de los criterios no llega a esa base ni por defecto ni por exceso: con 76 criterios valorados de 0 a 3, la puntuación bruta máxima es 228 en Ingeniería Agropecuaria y 210 en las otras dos carreras. Aplicar los tramos directamente sobre el puntaje bru</w:t>
      </w:r>
      <w:r w:rsidRPr="006B4593">
        <w:rPr>
          <w:rFonts w:cs="Times New Roman"/>
          <w:sz w:val="24"/>
          <w:szCs w:val="24"/>
        </w:rPr>
        <w:t>to haría que cualquier profesor con más de 100 puntos brutos —esto es, con menos de la mitad de los criterios cumplidos— apareciera como «cumple». La formulación original no explicita este paso, y sin él el instrumento no es aplicable.</w:t>
      </w:r>
    </w:p>
    <w:p w14:paraId="6E87ED11" w14:textId="77777777" w:rsidR="00CC6070" w:rsidRPr="006B4593" w:rsidRDefault="00A31992">
      <w:pPr>
        <w:rPr>
          <w:rFonts w:cs="Times New Roman"/>
          <w:sz w:val="24"/>
          <w:szCs w:val="24"/>
        </w:rPr>
      </w:pPr>
      <w:r w:rsidRPr="006B4593">
        <w:rPr>
          <w:rFonts w:cs="Times New Roman"/>
          <w:sz w:val="24"/>
          <w:szCs w:val="24"/>
        </w:rPr>
        <w:lastRenderedPageBreak/>
        <w:t>La solución es conve</w:t>
      </w:r>
      <w:r w:rsidRPr="006B4593">
        <w:rPr>
          <w:rFonts w:cs="Times New Roman"/>
          <w:sz w:val="24"/>
          <w:szCs w:val="24"/>
        </w:rPr>
        <w:t>rtir la suma en un índice de 0 a 100 dividiendo la puntuación obtenida entre la máxima posible de cada versión. Leídos así, los tramos equivalen a los porcentajes de la tercera columna de la Tabla 3. En Ingeniería Agropecuaria, «cumple» exige 217 puntos br</w:t>
      </w:r>
      <w:r w:rsidRPr="006B4593">
        <w:rPr>
          <w:rFonts w:cs="Times New Roman"/>
          <w:sz w:val="24"/>
          <w:szCs w:val="24"/>
        </w:rPr>
        <w:t>utos de 228; «progresa significativamente» empieza en 206, y por debajo de 194 el desempeño se declara insuficiente. Son umbrales altos: un profesor que obtuviera la calificación B —progresa significativamente— en todos y cada uno de los 76 criterios sumar</w:t>
      </w:r>
      <w:r w:rsidRPr="006B4593">
        <w:rPr>
          <w:rFonts w:cs="Times New Roman"/>
          <w:sz w:val="24"/>
          <w:szCs w:val="24"/>
        </w:rPr>
        <w:t>ía 152 puntos, equivalentes al 66,7 %, y quedaría clasificado como «no cumple». La conversión, además, es lo que hace comparables las versiones de 76 y de 70 criterios, que de otro modo producirían escalas distintas para el mismo baremo.</w:t>
      </w:r>
    </w:p>
    <w:p w14:paraId="15E7A233" w14:textId="77777777" w:rsidR="00B25DED" w:rsidRPr="006B4593" w:rsidRDefault="00B25DED">
      <w:pPr>
        <w:pStyle w:val="Ttulo2"/>
        <w:rPr>
          <w:rFonts w:cs="Times New Roman"/>
          <w:sz w:val="24"/>
          <w:szCs w:val="24"/>
        </w:rPr>
      </w:pPr>
    </w:p>
    <w:p w14:paraId="6F9E8767" w14:textId="1642A604" w:rsidR="00CC6070" w:rsidRPr="006B4593" w:rsidRDefault="00A31992">
      <w:pPr>
        <w:pStyle w:val="Ttulo2"/>
        <w:rPr>
          <w:rFonts w:cs="Times New Roman"/>
          <w:sz w:val="24"/>
          <w:szCs w:val="24"/>
        </w:rPr>
      </w:pPr>
      <w:r w:rsidRPr="006B4593">
        <w:rPr>
          <w:rFonts w:cs="Times New Roman"/>
          <w:sz w:val="24"/>
          <w:szCs w:val="24"/>
        </w:rPr>
        <w:t>5.3. La ponderaci</w:t>
      </w:r>
      <w:r w:rsidRPr="006B4593">
        <w:rPr>
          <w:rFonts w:cs="Times New Roman"/>
          <w:sz w:val="24"/>
          <w:szCs w:val="24"/>
        </w:rPr>
        <w:t>ón implícita</w:t>
      </w:r>
    </w:p>
    <w:p w14:paraId="2FBD7FB7" w14:textId="77777777" w:rsidR="00CC6070" w:rsidRPr="006B4593" w:rsidRDefault="00A31992">
      <w:pPr>
        <w:rPr>
          <w:rFonts w:cs="Times New Roman"/>
          <w:sz w:val="24"/>
          <w:szCs w:val="24"/>
        </w:rPr>
      </w:pPr>
      <w:r w:rsidRPr="006B4593">
        <w:rPr>
          <w:rFonts w:cs="Times New Roman"/>
          <w:sz w:val="24"/>
          <w:szCs w:val="24"/>
        </w:rPr>
        <w:t>Una suma sin pesos no es una suma neutra. La función E aporta 39 puntos de los 228 posibles en Ingeniería Agropecuaria, mientras que la función D aporta 21. El instrumento está afirmando, sin decirlo, que la vinculación del docente con la prax</w:t>
      </w:r>
      <w:r w:rsidRPr="006B4593">
        <w:rPr>
          <w:rFonts w:cs="Times New Roman"/>
          <w:sz w:val="24"/>
          <w:szCs w:val="24"/>
        </w:rPr>
        <w:t>is del sector pesa casi el doble que su capacidad de promover pensamiento crítico. Puede ser una decisión defendible en una facultad técnica, pero conviene que sea explícita y que se someta al colectivo académico, porque de ella depende qué perfil de profe</w:t>
      </w:r>
      <w:r w:rsidRPr="006B4593">
        <w:rPr>
          <w:rFonts w:cs="Times New Roman"/>
          <w:sz w:val="24"/>
          <w:szCs w:val="24"/>
        </w:rPr>
        <w:t>sor termina siendo premiado por el sistema. La alternativa es asignar a cada función un peso declarado y calcular el índice como promedio ponderado de los subtotales normalizados.</w:t>
      </w:r>
    </w:p>
    <w:p w14:paraId="13D96EB8" w14:textId="77777777" w:rsidR="00CC6070" w:rsidRPr="006B4593" w:rsidRDefault="00A31992">
      <w:pPr>
        <w:pStyle w:val="Ttulo2"/>
        <w:rPr>
          <w:rFonts w:cs="Times New Roman"/>
          <w:sz w:val="24"/>
          <w:szCs w:val="24"/>
        </w:rPr>
      </w:pPr>
      <w:r w:rsidRPr="006B4593">
        <w:rPr>
          <w:rFonts w:cs="Times New Roman"/>
          <w:sz w:val="24"/>
          <w:szCs w:val="24"/>
        </w:rPr>
        <w:t>5.4. Limitaciones</w:t>
      </w:r>
    </w:p>
    <w:p w14:paraId="17793727" w14:textId="77777777" w:rsidR="00CC6070" w:rsidRPr="006B4593" w:rsidRDefault="00A31992">
      <w:pPr>
        <w:rPr>
          <w:rFonts w:cs="Times New Roman"/>
          <w:sz w:val="24"/>
          <w:szCs w:val="24"/>
        </w:rPr>
      </w:pPr>
      <w:r w:rsidRPr="006B4593">
        <w:rPr>
          <w:rFonts w:cs="Times New Roman"/>
          <w:sz w:val="24"/>
          <w:szCs w:val="24"/>
        </w:rPr>
        <w:t>El instrumento se validó por juicio de expertos y por tria</w:t>
      </w:r>
      <w:r w:rsidRPr="006B4593">
        <w:rPr>
          <w:rFonts w:cs="Times New Roman"/>
          <w:sz w:val="24"/>
          <w:szCs w:val="24"/>
        </w:rPr>
        <w:t xml:space="preserve">ngulación de fuentes, no por análisis psicométrico como escala de puntuación. No se ha estudiado la concordancia entre evaluadores, que es la amenaza más seria en listas de comprobación aplicadas por directores de </w:t>
      </w:r>
      <w:r w:rsidRPr="006B4593">
        <w:rPr>
          <w:rFonts w:cs="Times New Roman"/>
          <w:sz w:val="24"/>
          <w:szCs w:val="24"/>
        </w:rPr>
        <w:lastRenderedPageBreak/>
        <w:t>carrera distintos, ni se han fijado los pu</w:t>
      </w:r>
      <w:r w:rsidRPr="006B4593">
        <w:rPr>
          <w:rFonts w:cs="Times New Roman"/>
          <w:sz w:val="24"/>
          <w:szCs w:val="24"/>
        </w:rPr>
        <w:t>ntos de corte contra una distribución empírica de puntuaciones: los tramos proceden de criterio experto. El trabajo se realizó en una sola institución, con 37 docentes, de modo que la estructura de funciones se traslada mejor que los umbrales.</w:t>
      </w:r>
    </w:p>
    <w:p w14:paraId="20459063" w14:textId="77777777" w:rsidR="00CC6070" w:rsidRPr="006B4593" w:rsidRDefault="00A31992">
      <w:pPr>
        <w:rPr>
          <w:rFonts w:cs="Times New Roman"/>
          <w:sz w:val="24"/>
          <w:szCs w:val="24"/>
        </w:rPr>
      </w:pPr>
      <w:r w:rsidRPr="006B4593">
        <w:rPr>
          <w:rFonts w:cs="Times New Roman"/>
          <w:sz w:val="24"/>
          <w:szCs w:val="24"/>
        </w:rPr>
        <w:t>Hay además u</w:t>
      </w:r>
      <w:r w:rsidRPr="006B4593">
        <w:rPr>
          <w:rFonts w:cs="Times New Roman"/>
          <w:sz w:val="24"/>
          <w:szCs w:val="24"/>
        </w:rPr>
        <w:t>na obsolescencia previsible. Los criterios de las funciones B y H remiten a la versión de la norma de calidad y al modelo de acreditación vigentes cuando se redactó el instrumento, y el horizonte de planificación al que respondía la investigación era el añ</w:t>
      </w:r>
      <w:r w:rsidRPr="006B4593">
        <w:rPr>
          <w:rFonts w:cs="Times New Roman"/>
          <w:sz w:val="24"/>
          <w:szCs w:val="24"/>
        </w:rPr>
        <w:t>o 2020. La estructura por funciones y la lógica del baremo se mantienen; la redacción de los criterios que citan normativa requiere revisión antes de una nueva aplicación.</w:t>
      </w:r>
    </w:p>
    <w:p w14:paraId="27C0E8CD" w14:textId="77777777" w:rsidR="00CC6070" w:rsidRPr="006B4593" w:rsidRDefault="00A31992">
      <w:pPr>
        <w:pStyle w:val="Ttulo1"/>
        <w:rPr>
          <w:rFonts w:cs="Times New Roman"/>
          <w:szCs w:val="24"/>
        </w:rPr>
      </w:pPr>
      <w:r w:rsidRPr="006B4593">
        <w:rPr>
          <w:rFonts w:cs="Times New Roman"/>
          <w:szCs w:val="24"/>
        </w:rPr>
        <w:t>6. Conclusiones</w:t>
      </w:r>
    </w:p>
    <w:p w14:paraId="2EAFDB36" w14:textId="77777777" w:rsidR="00CC6070" w:rsidRPr="006B4593" w:rsidRDefault="00A31992">
      <w:pPr>
        <w:rPr>
          <w:rFonts w:cs="Times New Roman"/>
          <w:sz w:val="24"/>
          <w:szCs w:val="24"/>
        </w:rPr>
      </w:pPr>
      <w:r w:rsidRPr="006B4593">
        <w:rPr>
          <w:rFonts w:cs="Times New Roman"/>
          <w:sz w:val="24"/>
          <w:szCs w:val="24"/>
        </w:rPr>
        <w:t>El estudio produjo un instrumento aplicable: ocho funciones docentes</w:t>
      </w:r>
      <w:r w:rsidRPr="006B4593">
        <w:rPr>
          <w:rFonts w:cs="Times New Roman"/>
          <w:sz w:val="24"/>
          <w:szCs w:val="24"/>
        </w:rPr>
        <w:t xml:space="preserve"> derivadas del objeto de estudio de cada carrera, 76 criterios observables para Ingeniería Agropecuaria y 70 para Ingeniería Agroindustrial y Medicina Veterinaria y Zootecnia, una escala literal de cuatro niveles con equivalencia numérica y un baremo de cu</w:t>
      </w:r>
      <w:r w:rsidRPr="006B4593">
        <w:rPr>
          <w:rFonts w:cs="Times New Roman"/>
          <w:sz w:val="24"/>
          <w:szCs w:val="24"/>
        </w:rPr>
        <w:t>atro tramos que traduce la puntuación en una decisión académica.</w:t>
      </w:r>
    </w:p>
    <w:p w14:paraId="2B797F2F" w14:textId="77777777" w:rsidR="00CC6070" w:rsidRPr="006B4593" w:rsidRDefault="00A31992">
      <w:pPr>
        <w:rPr>
          <w:rFonts w:cs="Times New Roman"/>
          <w:sz w:val="24"/>
          <w:szCs w:val="24"/>
        </w:rPr>
      </w:pPr>
      <w:r w:rsidRPr="006B4593">
        <w:rPr>
          <w:rFonts w:cs="Times New Roman"/>
          <w:sz w:val="24"/>
          <w:szCs w:val="24"/>
        </w:rPr>
        <w:t>Su aplicación exige dos precisiones que este capítulo incorpora. La primera es aritmética: la puntuación bruta debe normalizarse a base 100 antes de contrastarla con el baremo, porque el máxi</w:t>
      </w:r>
      <w:r w:rsidRPr="006B4593">
        <w:rPr>
          <w:rFonts w:cs="Times New Roman"/>
          <w:sz w:val="24"/>
          <w:szCs w:val="24"/>
        </w:rPr>
        <w:t>mo alcanzable es 228 o 210 según la carrera. La segunda es política: la suma simple de los criterios asigna a cada función un peso proporcional a su número de ítems, y esa ponderación debe declararse y discutirse en lugar de heredarse del proceso de redacc</w:t>
      </w:r>
      <w:r w:rsidRPr="006B4593">
        <w:rPr>
          <w:rFonts w:cs="Times New Roman"/>
          <w:sz w:val="24"/>
          <w:szCs w:val="24"/>
        </w:rPr>
        <w:t>ión.</w:t>
      </w:r>
    </w:p>
    <w:p w14:paraId="6F10FC5F" w14:textId="77777777" w:rsidR="00CC6070" w:rsidRPr="006B4593" w:rsidRDefault="00A31992">
      <w:pPr>
        <w:rPr>
          <w:rFonts w:cs="Times New Roman"/>
          <w:sz w:val="24"/>
          <w:szCs w:val="24"/>
        </w:rPr>
      </w:pPr>
      <w:r w:rsidRPr="006B4593">
        <w:rPr>
          <w:rFonts w:cs="Times New Roman"/>
          <w:sz w:val="24"/>
          <w:szCs w:val="24"/>
        </w:rPr>
        <w:t>Quedan dos tareas antes de convertir el instrumento en práctica regular. Una es un ensayo de concordancia entre evaluadores sobre un mismo conjunto de docentes, que permita estimar cuánta variación introduce el observador. La otra es la revisión de lo</w:t>
      </w:r>
      <w:r w:rsidRPr="006B4593">
        <w:rPr>
          <w:rFonts w:cs="Times New Roman"/>
          <w:sz w:val="24"/>
          <w:szCs w:val="24"/>
        </w:rPr>
        <w:t xml:space="preserve">s umbrales contra </w:t>
      </w:r>
      <w:r w:rsidRPr="006B4593">
        <w:rPr>
          <w:rFonts w:cs="Times New Roman"/>
          <w:sz w:val="24"/>
          <w:szCs w:val="24"/>
        </w:rPr>
        <w:lastRenderedPageBreak/>
        <w:t xml:space="preserve">la distribución real de puntuaciones de la primera aplicación completa, porque unos puntos de corte que dejan fuera de «cumple» a casi todo el claustro no orientan la mejora: la desactivan. Con esas dos condiciones resueltas, la lista de </w:t>
      </w:r>
      <w:r w:rsidRPr="006B4593">
        <w:rPr>
          <w:rFonts w:cs="Times New Roman"/>
          <w:sz w:val="24"/>
          <w:szCs w:val="24"/>
        </w:rPr>
        <w:t>comprobación puede sostener la evidencia interna que reclama la fase de autoevaluación del modelo de acreditación adoptado por la institución y, sobre todo, señalar al profesor qué debe hacer distinto el semestre siguiente.</w:t>
      </w:r>
    </w:p>
    <w:p w14:paraId="79AEC198" w14:textId="77777777" w:rsidR="00CC6070" w:rsidRPr="006B4593" w:rsidRDefault="00A31992">
      <w:pPr>
        <w:pStyle w:val="Ttulo1"/>
        <w:rPr>
          <w:rFonts w:cs="Times New Roman"/>
          <w:szCs w:val="24"/>
        </w:rPr>
      </w:pPr>
      <w:r w:rsidRPr="006B4593">
        <w:rPr>
          <w:rFonts w:cs="Times New Roman"/>
          <w:szCs w:val="24"/>
        </w:rPr>
        <w:t>7. Referencias</w:t>
      </w:r>
    </w:p>
    <w:p w14:paraId="4045D270" w14:textId="77777777" w:rsidR="00CC6070" w:rsidRDefault="00A31992">
      <w:pPr>
        <w:pStyle w:val="Bibliografa"/>
      </w:pPr>
      <w:r>
        <w:t xml:space="preserve">Álvarez, R. A. y </w:t>
      </w:r>
      <w:r>
        <w:t xml:space="preserve">Díaz, M. J. F. (2004). La percepción de los estudiantes universitarios en la medida de la competencia docente: validación de una escala. </w:t>
      </w:r>
      <w:r>
        <w:rPr>
          <w:i/>
        </w:rPr>
        <w:t>Revista Educación, 28</w:t>
      </w:r>
      <w:r>
        <w:t>(2), 145-166.</w:t>
      </w:r>
    </w:p>
    <w:p w14:paraId="51A6F405" w14:textId="77777777" w:rsidR="00CC6070" w:rsidRPr="00B25DED" w:rsidRDefault="00A31992">
      <w:pPr>
        <w:pStyle w:val="Bibliografa"/>
        <w:rPr>
          <w:lang w:val="en-US"/>
        </w:rPr>
      </w:pPr>
      <w:r>
        <w:t xml:space="preserve">Cook, T. D. y Reichardt, C. S. (1986). </w:t>
      </w:r>
      <w:r>
        <w:rPr>
          <w:i/>
        </w:rPr>
        <w:t xml:space="preserve">Métodos cualitativos y cuantitativos en </w:t>
      </w:r>
      <w:r>
        <w:rPr>
          <w:i/>
        </w:rPr>
        <w:t>investigación evaluativa</w:t>
      </w:r>
      <w:r>
        <w:t xml:space="preserve">. </w:t>
      </w:r>
      <w:r w:rsidRPr="00B25DED">
        <w:rPr>
          <w:lang w:val="en-US"/>
        </w:rPr>
        <w:t>Morata.</w:t>
      </w:r>
    </w:p>
    <w:p w14:paraId="0CEC3BC9" w14:textId="77777777" w:rsidR="00CC6070" w:rsidRDefault="00A31992">
      <w:pPr>
        <w:pStyle w:val="Bibliografa"/>
      </w:pPr>
      <w:r w:rsidRPr="00B25DED">
        <w:rPr>
          <w:lang w:val="en-US"/>
        </w:rPr>
        <w:t xml:space="preserve">Cronbach, L. J. (1951). Coefficient alpha and the internal structure of tests. </w:t>
      </w:r>
      <w:proofErr w:type="spellStart"/>
      <w:r>
        <w:rPr>
          <w:i/>
        </w:rPr>
        <w:t>Psychometrika</w:t>
      </w:r>
      <w:proofErr w:type="spellEnd"/>
      <w:r>
        <w:rPr>
          <w:i/>
        </w:rPr>
        <w:t>, 16</w:t>
      </w:r>
      <w:r>
        <w:t>(3), 297-334.</w:t>
      </w:r>
    </w:p>
    <w:p w14:paraId="5DBE4AEF" w14:textId="77777777" w:rsidR="00CC6070" w:rsidRDefault="00A31992">
      <w:pPr>
        <w:pStyle w:val="Bibliografa"/>
      </w:pPr>
      <w:r>
        <w:t xml:space="preserve">Flick, U. (2007). </w:t>
      </w:r>
      <w:r>
        <w:rPr>
          <w:i/>
        </w:rPr>
        <w:t>Introducción a la investigación cualitativa</w:t>
      </w:r>
      <w:r>
        <w:t xml:space="preserve"> (2.ª ed.). Morata.</w:t>
      </w:r>
    </w:p>
    <w:p w14:paraId="684DA683" w14:textId="77777777" w:rsidR="00CC6070" w:rsidRDefault="00A31992">
      <w:pPr>
        <w:pStyle w:val="Bibliografa"/>
      </w:pPr>
      <w:r>
        <w:t>Franco Rodríguez, J. E. (2016).</w:t>
      </w:r>
      <w:r>
        <w:t xml:space="preserve"> </w:t>
      </w:r>
      <w:r>
        <w:rPr>
          <w:i/>
        </w:rPr>
        <w:t>Necesidades de formación de un profesorado en las carreras agropecuarias de la Universidad Católica de Santiago de Guayaquil-Ecuador, con proyección al horizonte 2020</w:t>
      </w:r>
      <w:r>
        <w:t xml:space="preserve"> [Tesis doctoral, Universidad de Almería].</w:t>
      </w:r>
    </w:p>
    <w:p w14:paraId="05F9DAD1" w14:textId="77777777" w:rsidR="00CC6070" w:rsidRDefault="00A31992">
      <w:pPr>
        <w:pStyle w:val="Bibliografa"/>
      </w:pPr>
      <w:r>
        <w:t>González, J. G. (2010). La Red Internacional d</w:t>
      </w:r>
      <w:r>
        <w:t xml:space="preserve">e Evaluadores: impacto y trascendencia en el mejoramiento permanente de la educación superior de América Latina y el Caribe. </w:t>
      </w:r>
      <w:r>
        <w:rPr>
          <w:i/>
        </w:rPr>
        <w:t>Universidades, 60</w:t>
      </w:r>
      <w:r>
        <w:t>(47), 20-30.</w:t>
      </w:r>
    </w:p>
    <w:p w14:paraId="5D4C34A1" w14:textId="77777777" w:rsidR="00CC6070" w:rsidRDefault="00A31992">
      <w:pPr>
        <w:pStyle w:val="Bibliografa"/>
      </w:pPr>
      <w:r>
        <w:t xml:space="preserve">González, J. G. y Ambriz, R. S. (2013). Calidad y acreditación en la educación superior: integración </w:t>
      </w:r>
      <w:r>
        <w:t xml:space="preserve">e internacionalización de América Latina y el Caribe. </w:t>
      </w:r>
      <w:r>
        <w:rPr>
          <w:i/>
        </w:rPr>
        <w:t>Educación, 22</w:t>
      </w:r>
      <w:r>
        <w:t>(43), 131-147.</w:t>
      </w:r>
    </w:p>
    <w:p w14:paraId="4F8BE0E0" w14:textId="77777777" w:rsidR="00CC6070" w:rsidRDefault="00A31992">
      <w:pPr>
        <w:pStyle w:val="Bibliografa"/>
      </w:pPr>
      <w:r>
        <w:t xml:space="preserve">Gurdián-Fernández, A. (2007). </w:t>
      </w:r>
      <w:r>
        <w:rPr>
          <w:i/>
        </w:rPr>
        <w:t>El paradigma cualitativo en la investigación socio-educativa</w:t>
      </w:r>
      <w:r>
        <w:t xml:space="preserve">. </w:t>
      </w:r>
      <w:proofErr w:type="spellStart"/>
      <w:r>
        <w:t>PrintCenter</w:t>
      </w:r>
      <w:proofErr w:type="spellEnd"/>
      <w:r>
        <w:t>.</w:t>
      </w:r>
    </w:p>
    <w:p w14:paraId="443EC9CA" w14:textId="77777777" w:rsidR="00CC6070" w:rsidRDefault="00A31992">
      <w:pPr>
        <w:pStyle w:val="Bibliografa"/>
      </w:pPr>
      <w:r>
        <w:t xml:space="preserve">McMillan, J. H. y Schumacher, S. (2005). </w:t>
      </w:r>
      <w:r>
        <w:rPr>
          <w:i/>
        </w:rPr>
        <w:t>Investigación educativa</w:t>
      </w:r>
      <w:r>
        <w:t xml:space="preserve"> (5.ª</w:t>
      </w:r>
      <w:r>
        <w:t xml:space="preserve"> ed.). Pearson Educación.</w:t>
      </w:r>
    </w:p>
    <w:p w14:paraId="37D0311C" w14:textId="77777777" w:rsidR="00CC6070" w:rsidRPr="00B25DED" w:rsidRDefault="00A31992">
      <w:pPr>
        <w:pStyle w:val="Bibliografa"/>
        <w:rPr>
          <w:lang w:val="en-US"/>
        </w:rPr>
      </w:pPr>
      <w:r>
        <w:t xml:space="preserve">Moreno-Murcia, J. A., Torregrosa, Y. S. y Pedreño, N. B. (2015). Cuestionario de evaluación de las competencias docentes en el ámbito universitario. </w:t>
      </w:r>
      <w:r w:rsidRPr="00B25DED">
        <w:rPr>
          <w:i/>
          <w:lang w:val="en-US"/>
        </w:rPr>
        <w:t>Journal of New Approaches in Educational Research, 4</w:t>
      </w:r>
      <w:r w:rsidRPr="00B25DED">
        <w:rPr>
          <w:lang w:val="en-US"/>
        </w:rPr>
        <w:t>(1), 54-61.</w:t>
      </w:r>
    </w:p>
    <w:p w14:paraId="48F8DA22" w14:textId="77777777" w:rsidR="00CC6070" w:rsidRDefault="00A31992">
      <w:pPr>
        <w:pStyle w:val="Bibliografa"/>
      </w:pPr>
      <w:r w:rsidRPr="00B25DED">
        <w:rPr>
          <w:lang w:val="en-US"/>
        </w:rPr>
        <w:t xml:space="preserve">Olabuénaga, J. I. R. (2012). </w:t>
      </w:r>
      <w:r>
        <w:rPr>
          <w:i/>
        </w:rPr>
        <w:t>Metodología de la investigación cualitativa</w:t>
      </w:r>
      <w:r>
        <w:t xml:space="preserve"> (Vol. 15). Universidad de Deusto.</w:t>
      </w:r>
    </w:p>
    <w:p w14:paraId="0DD537D3" w14:textId="77777777" w:rsidR="00CC6070" w:rsidRDefault="00A31992">
      <w:pPr>
        <w:pStyle w:val="Bibliografa"/>
      </w:pPr>
      <w:r>
        <w:lastRenderedPageBreak/>
        <w:t>Ruiz Bueno, C., Mas Torelló, O., Tejada Fernández, J. y Navío Gámez, A. (2008). Funciones y escenarios de actuación del profesor universitario. Apunt</w:t>
      </w:r>
      <w:r>
        <w:t xml:space="preserve">es para la definición del perfil basado en competencias. </w:t>
      </w:r>
      <w:r>
        <w:rPr>
          <w:i/>
        </w:rPr>
        <w:t>Revista de la Educación Superior, 37</w:t>
      </w:r>
      <w:r>
        <w:t>(146), 115-132.</w:t>
      </w:r>
    </w:p>
    <w:p w14:paraId="47CB5B97" w14:textId="77777777" w:rsidR="00CC6070" w:rsidRDefault="00A31992">
      <w:pPr>
        <w:pStyle w:val="Bibliografa"/>
      </w:pPr>
      <w:r>
        <w:t xml:space="preserve">Tobón, S. (2008). </w:t>
      </w:r>
      <w:r>
        <w:rPr>
          <w:i/>
        </w:rPr>
        <w:t>La formación basada en competencias en la educación superior: el enfoque complejo</w:t>
      </w:r>
      <w:r>
        <w:t>. Universidad Autónoma de Guadalajara.</w:t>
      </w:r>
    </w:p>
    <w:p w14:paraId="5F8583B3" w14:textId="77777777" w:rsidR="00CC6070" w:rsidRDefault="00A31992">
      <w:pPr>
        <w:pStyle w:val="Bibliografa"/>
      </w:pPr>
      <w:r>
        <w:t xml:space="preserve">Zabalza, </w:t>
      </w:r>
      <w:r>
        <w:t xml:space="preserve">M. Á. (2014). El trabajo por competencias y los equipos docentes. </w:t>
      </w:r>
      <w:r>
        <w:rPr>
          <w:i/>
        </w:rPr>
        <w:t>Cuaderno de Pedagogía Universitaria, 7</w:t>
      </w:r>
      <w:r>
        <w:t>(13), 5-13.</w:t>
      </w:r>
    </w:p>
    <w:sectPr w:rsidR="00CC6070"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30225" w14:textId="77777777" w:rsidR="00A31992" w:rsidRDefault="00A31992" w:rsidP="00EB0247">
      <w:pPr>
        <w:spacing w:after="0" w:line="240" w:lineRule="auto"/>
      </w:pPr>
      <w:r>
        <w:separator/>
      </w:r>
    </w:p>
  </w:endnote>
  <w:endnote w:type="continuationSeparator" w:id="0">
    <w:p w14:paraId="6CFEBBDB" w14:textId="77777777" w:rsidR="00A31992" w:rsidRDefault="00A31992"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3D993" w14:textId="77777777" w:rsidR="00A31992" w:rsidRDefault="00A31992" w:rsidP="00EB0247">
      <w:pPr>
        <w:spacing w:after="0" w:line="240" w:lineRule="auto"/>
      </w:pPr>
      <w:r>
        <w:separator/>
      </w:r>
    </w:p>
  </w:footnote>
  <w:footnote w:type="continuationSeparator" w:id="0">
    <w:p w14:paraId="709389F8" w14:textId="77777777" w:rsidR="00A31992" w:rsidRDefault="00A31992"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2255D"/>
    <w:rsid w:val="000318D0"/>
    <w:rsid w:val="00033E3E"/>
    <w:rsid w:val="00063421"/>
    <w:rsid w:val="00097EEF"/>
    <w:rsid w:val="000C5EDB"/>
    <w:rsid w:val="001348A0"/>
    <w:rsid w:val="00140844"/>
    <w:rsid w:val="00141A82"/>
    <w:rsid w:val="001468AC"/>
    <w:rsid w:val="0015066B"/>
    <w:rsid w:val="00156F2B"/>
    <w:rsid w:val="00182667"/>
    <w:rsid w:val="00185A00"/>
    <w:rsid w:val="0018654D"/>
    <w:rsid w:val="001950D8"/>
    <w:rsid w:val="00197D57"/>
    <w:rsid w:val="001A7AD8"/>
    <w:rsid w:val="001B16BD"/>
    <w:rsid w:val="00242EFB"/>
    <w:rsid w:val="002433EC"/>
    <w:rsid w:val="00254F0F"/>
    <w:rsid w:val="00280126"/>
    <w:rsid w:val="00281564"/>
    <w:rsid w:val="00285B53"/>
    <w:rsid w:val="002A43CD"/>
    <w:rsid w:val="002C5703"/>
    <w:rsid w:val="002D23FB"/>
    <w:rsid w:val="002D268C"/>
    <w:rsid w:val="002F29B4"/>
    <w:rsid w:val="002F3733"/>
    <w:rsid w:val="0031217F"/>
    <w:rsid w:val="003512A0"/>
    <w:rsid w:val="00375999"/>
    <w:rsid w:val="0039591A"/>
    <w:rsid w:val="003C4D9F"/>
    <w:rsid w:val="003E66FB"/>
    <w:rsid w:val="00422CDA"/>
    <w:rsid w:val="004307D4"/>
    <w:rsid w:val="00437ED3"/>
    <w:rsid w:val="0044345A"/>
    <w:rsid w:val="00477173"/>
    <w:rsid w:val="004819D7"/>
    <w:rsid w:val="004842F0"/>
    <w:rsid w:val="00484413"/>
    <w:rsid w:val="0049031D"/>
    <w:rsid w:val="00493A17"/>
    <w:rsid w:val="004C0202"/>
    <w:rsid w:val="004D0180"/>
    <w:rsid w:val="005263F6"/>
    <w:rsid w:val="005335DF"/>
    <w:rsid w:val="005417EB"/>
    <w:rsid w:val="005430EA"/>
    <w:rsid w:val="00584BB4"/>
    <w:rsid w:val="005A3EFB"/>
    <w:rsid w:val="005A43E3"/>
    <w:rsid w:val="005A4AFE"/>
    <w:rsid w:val="005A6174"/>
    <w:rsid w:val="005D0057"/>
    <w:rsid w:val="005F466B"/>
    <w:rsid w:val="006005BF"/>
    <w:rsid w:val="00607EE3"/>
    <w:rsid w:val="006131F7"/>
    <w:rsid w:val="00626659"/>
    <w:rsid w:val="00651F4F"/>
    <w:rsid w:val="00655F7A"/>
    <w:rsid w:val="00675757"/>
    <w:rsid w:val="00680332"/>
    <w:rsid w:val="00681364"/>
    <w:rsid w:val="0068745E"/>
    <w:rsid w:val="006B4593"/>
    <w:rsid w:val="006B7745"/>
    <w:rsid w:val="00714CBD"/>
    <w:rsid w:val="00721EBE"/>
    <w:rsid w:val="00742AC5"/>
    <w:rsid w:val="007701F1"/>
    <w:rsid w:val="0077698A"/>
    <w:rsid w:val="00792960"/>
    <w:rsid w:val="007A0F17"/>
    <w:rsid w:val="007E4E94"/>
    <w:rsid w:val="007F0944"/>
    <w:rsid w:val="00812E87"/>
    <w:rsid w:val="008238DE"/>
    <w:rsid w:val="00863A4D"/>
    <w:rsid w:val="008A4085"/>
    <w:rsid w:val="008A483F"/>
    <w:rsid w:val="008B6A98"/>
    <w:rsid w:val="008C1056"/>
    <w:rsid w:val="008C2B2C"/>
    <w:rsid w:val="008C49F9"/>
    <w:rsid w:val="008F1330"/>
    <w:rsid w:val="008F3F8E"/>
    <w:rsid w:val="0091337D"/>
    <w:rsid w:val="009171C1"/>
    <w:rsid w:val="00920563"/>
    <w:rsid w:val="00927B51"/>
    <w:rsid w:val="0093429F"/>
    <w:rsid w:val="009477E3"/>
    <w:rsid w:val="00962592"/>
    <w:rsid w:val="009847F6"/>
    <w:rsid w:val="009A1598"/>
    <w:rsid w:val="009A336B"/>
    <w:rsid w:val="009A5ED0"/>
    <w:rsid w:val="009C0DFA"/>
    <w:rsid w:val="009C304F"/>
    <w:rsid w:val="009C657C"/>
    <w:rsid w:val="009D0814"/>
    <w:rsid w:val="009D4514"/>
    <w:rsid w:val="009E664A"/>
    <w:rsid w:val="009F5F74"/>
    <w:rsid w:val="00A206F1"/>
    <w:rsid w:val="00A26BEE"/>
    <w:rsid w:val="00A31992"/>
    <w:rsid w:val="00A8553F"/>
    <w:rsid w:val="00AD7E8D"/>
    <w:rsid w:val="00B0717D"/>
    <w:rsid w:val="00B25DED"/>
    <w:rsid w:val="00B57A4E"/>
    <w:rsid w:val="00B60DF4"/>
    <w:rsid w:val="00BA4EA8"/>
    <w:rsid w:val="00BA4FD5"/>
    <w:rsid w:val="00BB38AC"/>
    <w:rsid w:val="00BD7178"/>
    <w:rsid w:val="00BE3D2B"/>
    <w:rsid w:val="00BE5F2C"/>
    <w:rsid w:val="00BF45D1"/>
    <w:rsid w:val="00BF50C0"/>
    <w:rsid w:val="00C21575"/>
    <w:rsid w:val="00C21F8C"/>
    <w:rsid w:val="00C230B6"/>
    <w:rsid w:val="00C302E3"/>
    <w:rsid w:val="00C30BA1"/>
    <w:rsid w:val="00C45F7D"/>
    <w:rsid w:val="00C930F7"/>
    <w:rsid w:val="00CA0400"/>
    <w:rsid w:val="00CC152D"/>
    <w:rsid w:val="00CC6070"/>
    <w:rsid w:val="00CD0091"/>
    <w:rsid w:val="00CE0F4B"/>
    <w:rsid w:val="00D0381D"/>
    <w:rsid w:val="00D05D1F"/>
    <w:rsid w:val="00D36F76"/>
    <w:rsid w:val="00D47BD3"/>
    <w:rsid w:val="00D86CAA"/>
    <w:rsid w:val="00DA0BED"/>
    <w:rsid w:val="00DC3839"/>
    <w:rsid w:val="00DC5E7D"/>
    <w:rsid w:val="00DD2AA9"/>
    <w:rsid w:val="00DE0B74"/>
    <w:rsid w:val="00DF1B76"/>
    <w:rsid w:val="00E04357"/>
    <w:rsid w:val="00E05E1A"/>
    <w:rsid w:val="00E06000"/>
    <w:rsid w:val="00E649D6"/>
    <w:rsid w:val="00E854C7"/>
    <w:rsid w:val="00EB0247"/>
    <w:rsid w:val="00EC01A5"/>
    <w:rsid w:val="00F60611"/>
    <w:rsid w:val="00F6387D"/>
    <w:rsid w:val="00F63B01"/>
    <w:rsid w:val="00F66726"/>
    <w:rsid w:val="00FA51E8"/>
    <w:rsid w:val="00FA7CDE"/>
    <w:rsid w:val="00FB53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4FA6B"/>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2131313801">
      <w:bodyDiv w:val="1"/>
      <w:marLeft w:val="0"/>
      <w:marRight w:val="0"/>
      <w:marTop w:val="0"/>
      <w:marBottom w:val="0"/>
      <w:divBdr>
        <w:top w:val="none" w:sz="0" w:space="0" w:color="auto"/>
        <w:left w:val="none" w:sz="0" w:space="0" w:color="auto"/>
        <w:bottom w:val="none" w:sz="0" w:space="0" w:color="auto"/>
        <w:right w:val="none" w:sz="0" w:space="0" w:color="auto"/>
      </w:divBdr>
      <w:divsChild>
        <w:div w:id="802698921">
          <w:marLeft w:val="0"/>
          <w:marRight w:val="0"/>
          <w:marTop w:val="0"/>
          <w:marBottom w:val="0"/>
          <w:divBdr>
            <w:top w:val="none" w:sz="0" w:space="0" w:color="auto"/>
            <w:left w:val="none" w:sz="0" w:space="0" w:color="auto"/>
            <w:bottom w:val="none" w:sz="0" w:space="0" w:color="auto"/>
            <w:right w:val="none" w:sz="0" w:space="0" w:color="auto"/>
          </w:divBdr>
          <w:divsChild>
            <w:div w:id="71751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CFE62-6244-4F36-A9BA-0DC0B659A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216</TotalTime>
  <Pages>16</Pages>
  <Words>3946</Words>
  <Characters>21709</Characters>
  <Application>Microsoft Office Word</Application>
  <DocSecurity>0</DocSecurity>
  <Lines>180</Lines>
  <Paragraphs>51</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25604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John Eloy Franco Rodriguez</cp:lastModifiedBy>
  <cp:revision>19</cp:revision>
  <cp:lastPrinted>2026-09-02T16:17:00Z</cp:lastPrinted>
  <dcterms:created xsi:type="dcterms:W3CDTF">2026-09-02T15:34:00Z</dcterms:created>
  <dcterms:modified xsi:type="dcterms:W3CDTF">2026-09-02T19:20:00Z</dcterms:modified>
  <cp:category>Categoria</cp:category>
  <cp:contentStatus>Estado</cp:contentStatus>
</cp:coreProperties>
</file>