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788F6" w14:textId="77777777" w:rsidR="00A248FB" w:rsidRDefault="00837EB2">
      <w:pPr>
        <w:pStyle w:val="Captulo"/>
      </w:pPr>
      <w:r>
        <w:t>CAPÍTULO XXX</w:t>
      </w:r>
    </w:p>
    <w:p w14:paraId="025E31B8" w14:textId="77777777" w:rsidR="00A248FB" w:rsidRPr="00F53790" w:rsidRDefault="00837EB2">
      <w:pPr>
        <w:rPr>
          <w:sz w:val="26"/>
          <w:szCs w:val="26"/>
        </w:rPr>
      </w:pPr>
      <w:r w:rsidRPr="00F53790">
        <w:rPr>
          <w:sz w:val="26"/>
          <w:szCs w:val="26"/>
        </w:rPr>
        <w:t>BRUXISMO Y SALUD EMOCIONAL:</w:t>
      </w:r>
    </w:p>
    <w:p w14:paraId="72A60621" w14:textId="77777777" w:rsidR="00A248FB" w:rsidRPr="00F53790" w:rsidRDefault="00837EB2">
      <w:pPr>
        <w:rPr>
          <w:sz w:val="26"/>
          <w:szCs w:val="26"/>
        </w:rPr>
      </w:pPr>
      <w:r w:rsidRPr="00F53790">
        <w:rPr>
          <w:sz w:val="26"/>
          <w:szCs w:val="26"/>
        </w:rPr>
        <w:t>UNA APROXIMACIÓN BIOPSICOSOCIAL</w:t>
      </w:r>
    </w:p>
    <w:p w14:paraId="66461939" w14:textId="77777777" w:rsidR="00A248FB" w:rsidRDefault="00A248FB">
      <w:pPr>
        <w:pStyle w:val="TtCap"/>
      </w:pPr>
    </w:p>
    <w:p w14:paraId="2A428C94" w14:textId="77777777" w:rsidR="00A248FB" w:rsidRDefault="00837EB2">
      <w:pPr>
        <w:pStyle w:val="Adscripcin"/>
      </w:pPr>
      <w:r>
        <w:t>TONY MOSQUERA CHÁVEZ</w:t>
      </w:r>
    </w:p>
    <w:p w14:paraId="5617E0AE" w14:textId="77777777" w:rsidR="00A248FB" w:rsidRDefault="00837EB2">
      <w:pPr>
        <w:pStyle w:val="Adscripcin"/>
      </w:pPr>
      <w:r>
        <w:t>ESTEFANIA OCAMPO POMA</w:t>
      </w:r>
    </w:p>
    <w:p w14:paraId="6D136806" w14:textId="77777777" w:rsidR="00A248FB" w:rsidRDefault="00837EB2">
      <w:pPr>
        <w:pStyle w:val="Adscripcin"/>
      </w:pPr>
      <w:r>
        <w:t>DANIEL RUIZ REY</w:t>
      </w:r>
    </w:p>
    <w:p w14:paraId="1C8A8ED7" w14:textId="77777777" w:rsidR="00A248FB" w:rsidRDefault="00837EB2">
      <w:pPr>
        <w:pStyle w:val="Adscripcin"/>
      </w:pPr>
      <w:r>
        <w:t>Universidad Católica Santiago de Guayaquil</w:t>
      </w:r>
    </w:p>
    <w:p w14:paraId="0A968DDF" w14:textId="77777777" w:rsidR="00A248FB" w:rsidRDefault="00837EB2">
      <w:pPr>
        <w:pStyle w:val="Ttulo1"/>
      </w:pPr>
      <w:r>
        <w:t>1. INTRODUCCIÓN</w:t>
      </w:r>
    </w:p>
    <w:p w14:paraId="4CCD6D97" w14:textId="77777777" w:rsidR="00A248FB" w:rsidRDefault="00837EB2">
      <w:r>
        <w:t xml:space="preserve">El bruxismo, actividad </w:t>
      </w:r>
      <w:proofErr w:type="spellStart"/>
      <w:r>
        <w:t>parafuncional</w:t>
      </w:r>
      <w:proofErr w:type="spellEnd"/>
      <w:r>
        <w:t xml:space="preserve"> de la musculatura mandibular asociada a factores psicológicos y alteraciones del sueño, es un fenómeno biomédico con profundas implicaciones sociales, tecnológicas y epistemológicas. Su clasificación como síndrome refleja la complejidad de su etiología, donde convergen no solo variables clínicas, sino también determinantes sociales: estrés, desigualdades en el acceso a tratamientos odontológicos avanzados y la medicalización de hábitos cotidianos. (Murillo &amp; </w:t>
      </w:r>
      <w:proofErr w:type="spellStart"/>
      <w:r>
        <w:t>Chiyong</w:t>
      </w:r>
      <w:proofErr w:type="spellEnd"/>
      <w:r>
        <w:t>, 2019)</w:t>
      </w:r>
    </w:p>
    <w:p w14:paraId="7FF221ED" w14:textId="77777777" w:rsidR="00A248FB" w:rsidRDefault="00837EB2">
      <w:r>
        <w:t xml:space="preserve">Durante la pandemia de COVID-19 y los periodos de aislamiento se documentó un incremento de problemas de salud física y mental, entre ellos estrés, ansiedad, depresión y alteraciones del sueño. En ese contexto también se difundieron reportes sobre un aumento de consultas y manifestaciones relacionadas con el bruxismo, lo que reforzó el interés por estudiar la relación entre salud emocional, sueño y actividad de los músculos masticatorios (UDEM, 2023; </w:t>
      </w:r>
      <w:proofErr w:type="spellStart"/>
      <w:r>
        <w:t>Wieckiewicz</w:t>
      </w:r>
      <w:proofErr w:type="spellEnd"/>
      <w:r>
        <w:t xml:space="preserve"> et al., 2014). El impacto adverso del entorno, por tanto, constituye un elemento relevante para comprender la experiencia clínica de estos pacientes sin reducir la condición a una causa única.</w:t>
      </w:r>
    </w:p>
    <w:p w14:paraId="070C8CC5" w14:textId="77777777" w:rsidR="00A248FB" w:rsidRDefault="00837EB2">
      <w:r>
        <w:lastRenderedPageBreak/>
        <w:t>Este contexto revela cómo la ciencia y la tecnología enfrentan desafíos para diagnosticar y tratar el bruxismo: desde el desarrollo de dispositivos intraorales hasta dificultades en la formación de profesionales para abordar su dimensión psicosocial.</w:t>
      </w:r>
    </w:p>
    <w:p w14:paraId="078104DD" w14:textId="77777777" w:rsidR="00A248FB" w:rsidRDefault="00837EB2">
      <w:r>
        <w:t>El bruxismo es frecuente en la población general y puede presentarse en diferentes momentos de la vida. Sus posibles consecuencias comprometen distintos componentes del sistema estomatognático, incluidos dientes, periodonto, músculos masticatorios y articulación temporomandibular. Esta diversidad de manifestaciones explica el interés de la rehabilitación oral, la ortodoncia y otras áreas odontológicas por mejorar su identificación, evaluación y manejo (</w:t>
      </w:r>
      <w:proofErr w:type="spellStart"/>
      <w:r>
        <w:t>Hilgenberg-Sydney</w:t>
      </w:r>
      <w:proofErr w:type="spellEnd"/>
      <w:r>
        <w:t xml:space="preserve"> et al., 2022).</w:t>
      </w:r>
    </w:p>
    <w:p w14:paraId="7BA43499" w14:textId="77777777" w:rsidR="00A248FB" w:rsidRDefault="00837EB2">
      <w:r>
        <w:t xml:space="preserve">Existen muchas diferencias entre el bruxismo despierto y el bruxismo del sueño. El bruxismo de vigilia (BV) suele ser una actividad </w:t>
      </w:r>
      <w:proofErr w:type="spellStart"/>
      <w:r>
        <w:t>semivoluntaria</w:t>
      </w:r>
      <w:proofErr w:type="spellEnd"/>
      <w:r>
        <w:t xml:space="preserve"> de apretar los dientes que no produce sonido, y el individuo es consciente de esta condición. Durante el sueño, los episodios de bruxismo pueden ir acompañados del rechinar inconsciente de los dientes, en el que la persona sólo reconocerá esta actividad a través de los informes de su compañero de cama o de </w:t>
      </w:r>
      <w:proofErr w:type="gramStart"/>
      <w:r>
        <w:t>cuarto.(</w:t>
      </w:r>
      <w:proofErr w:type="spellStart"/>
      <w:proofErr w:type="gramEnd"/>
      <w:r>
        <w:t>Lobbezooo</w:t>
      </w:r>
      <w:proofErr w:type="spellEnd"/>
      <w:r>
        <w:t xml:space="preserve"> et al., 2018)</w:t>
      </w:r>
    </w:p>
    <w:p w14:paraId="6582D920" w14:textId="77777777" w:rsidR="00A248FB" w:rsidRDefault="00837EB2">
      <w:r>
        <w:t>En el pasado se sugirió una etiología periférica del bruxismo durante el sueño y la vigilia, en la que las interferencias oclusales podrían estimular y desencadenar movimientos masticatorios no funcionales. Sin embargo, después de algunos años de investigación, fue necesario separar el bruxismo despierto y el bruxismo del sueño como entidades separadas, ya que parecen tener características, etiología y factores asociados diferentes. (</w:t>
      </w:r>
      <w:proofErr w:type="spellStart"/>
      <w:r>
        <w:t>Sierwald</w:t>
      </w:r>
      <w:proofErr w:type="spellEnd"/>
      <w:r>
        <w:t xml:space="preserve"> et al., 2015)</w:t>
      </w:r>
    </w:p>
    <w:p w14:paraId="67D09117" w14:textId="77777777" w:rsidR="00A248FB" w:rsidRDefault="00837EB2">
      <w:r>
        <w:t>Actualmente, la hipótesis más plausible admite un modelo multifactorial para la etiología del bruxismo, en el que aspectos psicosociales y fisiopatológicos interactúan con características morfológico-periféricas.</w:t>
      </w:r>
    </w:p>
    <w:p w14:paraId="475B11D9" w14:textId="77777777" w:rsidR="00A248FB" w:rsidRDefault="00837EB2">
      <w:r>
        <w:t>Según un estudio (</w:t>
      </w:r>
      <w:proofErr w:type="spellStart"/>
      <w:r>
        <w:t>Zieliński</w:t>
      </w:r>
      <w:proofErr w:type="spellEnd"/>
      <w:r>
        <w:t xml:space="preserve"> et al., 2024) que investigó la asociación entre el bruxismo y los trastornos temporomandibulares dolorosos (TTD) en adultos, la presencia de bruxismo de vigilia o bruxismo del sueño </w:t>
      </w:r>
      <w:r>
        <w:lastRenderedPageBreak/>
        <w:t>aumenta el riesgo de desarrollo de dolor, lo que sugiere una posible interacción entre estas condiciones.</w:t>
      </w:r>
    </w:p>
    <w:p w14:paraId="0BC87A4B" w14:textId="77777777" w:rsidR="00A248FB" w:rsidRDefault="00837EB2">
      <w:r>
        <w:t>El bruxismo no solo genera dolor físico, sino que afecta la calidad de vida, la productividad laboral y la autoestima, especialmente en contextos con limitado acceso a tratamientos. Su manejo involucra actores diversos: desde la industria de dispositivos médicos hasta políticas públicas de salud bucal, reflejando la interdependencia entre ciencia, tecnología y sociedad.</w:t>
      </w:r>
    </w:p>
    <w:p w14:paraId="25083529" w14:textId="77777777" w:rsidR="00A248FB" w:rsidRDefault="00837EB2">
      <w:r>
        <w:t>Por tanto, el objetivo de este trabajo es analizar el bruxismo desde un enfoque biopsicosocial y valorar su impacto en la salud pública.</w:t>
      </w:r>
    </w:p>
    <w:p w14:paraId="6FD1A6EA" w14:textId="77777777" w:rsidR="00A248FB" w:rsidRDefault="00837EB2">
      <w:pPr>
        <w:pStyle w:val="Ttulo1"/>
      </w:pPr>
      <w:r>
        <w:t>2. MÉTODOS</w:t>
      </w:r>
    </w:p>
    <w:p w14:paraId="58FD5C83" w14:textId="77777777" w:rsidR="00A248FB" w:rsidRDefault="00837EB2">
      <w:r>
        <w:t>Bajo el enfoque del materialismo dialéctico se utilizaron la revisión bibliográfica y el análisis documental para abordar el bruxismo, junto con la descripción de las referencias bibliográficas y de contenido, así como la extracción y jerarquización de los términos más significativos. Por su parte, la sistematización posibilitó indagar en los factores, las características y la lógica de la condición, además de establecer parámetros para identificar el estado actual de estas características y relaciones y orientar la vía más idónea para abordar el problema investigado y plantear un plan de tratamiento. El método histórico-lógico permitió delimitar las etapas por las que ha transitado el objeto concreto de estudio, identificar tendencias y reconocer las causas históricas que han contribuido a la existencia del problema relacionado con el estado de salud emocional en el contexto ecuatoriano.</w:t>
      </w:r>
    </w:p>
    <w:p w14:paraId="0AD2F106" w14:textId="77777777" w:rsidR="00A248FB" w:rsidRDefault="00837EB2">
      <w:pPr>
        <w:pStyle w:val="Ttulo1"/>
      </w:pPr>
      <w:r>
        <w:t>3. MARCO TEÓRICO</w:t>
      </w:r>
    </w:p>
    <w:p w14:paraId="59752814" w14:textId="77777777" w:rsidR="00A248FB" w:rsidRDefault="00837EB2">
      <w:pPr>
        <w:pStyle w:val="Ttulo2"/>
      </w:pPr>
      <w:r>
        <w:t>3.1. Evolución histórica y epistemológica del bruxismo</w:t>
      </w:r>
    </w:p>
    <w:p w14:paraId="7E8F6A3E" w14:textId="77777777" w:rsidR="00A248FB" w:rsidRDefault="00837EB2">
      <w:r>
        <w:t xml:space="preserve">El término “bruxismo” fue introducido por </w:t>
      </w:r>
      <w:proofErr w:type="spellStart"/>
      <w:r>
        <w:t>Frohman</w:t>
      </w:r>
      <w:proofErr w:type="spellEnd"/>
      <w:r>
        <w:t xml:space="preserve"> en 1931, aunque previamente ya se habían realizado varios intentos por describir este comportamiento. La palabra bruxismo deriva del griego “</w:t>
      </w:r>
      <w:proofErr w:type="spellStart"/>
      <w:r>
        <w:t>brychein</w:t>
      </w:r>
      <w:proofErr w:type="spellEnd"/>
      <w:r>
        <w:t xml:space="preserve">”, que significa “rechinar los dientes”. Esta condición, caracterizada por </w:t>
      </w:r>
      <w:r>
        <w:lastRenderedPageBreak/>
        <w:t xml:space="preserve">el rechinamiento o apretamiento de los dientes, ha sido objeto de atención en la literatura científica desde hace más de un siglo, lo que refleja la persistencia de este comportamiento a lo largo del tiempo y su importancia clínica. (Macedo et al., 2014; </w:t>
      </w:r>
      <w:proofErr w:type="spellStart"/>
      <w:r>
        <w:t>Bulanda</w:t>
      </w:r>
      <w:proofErr w:type="spellEnd"/>
      <w:r>
        <w:t xml:space="preserve"> et al., 2021)</w:t>
      </w:r>
    </w:p>
    <w:p w14:paraId="5EEBCAB3" w14:textId="77777777" w:rsidR="00A248FB" w:rsidRDefault="00837EB2">
      <w:r>
        <w:t xml:space="preserve">Aunque </w:t>
      </w:r>
      <w:proofErr w:type="spellStart"/>
      <w:r>
        <w:t>Frohman</w:t>
      </w:r>
      <w:proofErr w:type="spellEnd"/>
      <w:r>
        <w:t xml:space="preserve"> acuñó el término, ya en 1907 </w:t>
      </w:r>
      <w:proofErr w:type="spellStart"/>
      <w:r>
        <w:t>Pietkiewicz</w:t>
      </w:r>
      <w:proofErr w:type="spellEnd"/>
      <w:r>
        <w:t xml:space="preserve"> lo había denominado “</w:t>
      </w:r>
      <w:proofErr w:type="spellStart"/>
      <w:r>
        <w:t>bruximania</w:t>
      </w:r>
      <w:proofErr w:type="spellEnd"/>
      <w:r>
        <w:t xml:space="preserve">”, indicando que la curiosidad y el interés por este fenómeno ya existían mucho antes de que recibiera su denominación oficial. (Macedo et al., 2014; </w:t>
      </w:r>
      <w:proofErr w:type="spellStart"/>
      <w:r>
        <w:t>Matusz</w:t>
      </w:r>
      <w:proofErr w:type="spellEnd"/>
      <w:r>
        <w:t xml:space="preserve"> et al., 2022)</w:t>
      </w:r>
    </w:p>
    <w:p w14:paraId="16CC30BD" w14:textId="77777777" w:rsidR="00A248FB" w:rsidRDefault="00837EB2">
      <w:r>
        <w:t xml:space="preserve">En la década de 1860, ya se mencionaba este comportamiento en los escritos científicos, y su presencia fue documentada incluso en textos antiguos. Las primeras observaciones clínicas del bruxismo lo identificaron como un hábito inconsistente, generalmente no percibido por el propio paciente hasta que las secuelas, como el desgaste dental o el dolor, se manifestaban de manera significativa. En 1940, </w:t>
      </w:r>
      <w:proofErr w:type="spellStart"/>
      <w:r>
        <w:t>Boyens</w:t>
      </w:r>
      <w:proofErr w:type="spellEnd"/>
      <w:r>
        <w:t xml:space="preserve"> fue uno de los primeros en destacar la prevalencia del bruxismo en la población, subrayando que no se trataba de un hábito raro, sino de una condición que afectaba a una parte considerable de la población en general. (Macedo et al., 2014; </w:t>
      </w:r>
      <w:proofErr w:type="spellStart"/>
      <w:r>
        <w:t>Matusz</w:t>
      </w:r>
      <w:proofErr w:type="spellEnd"/>
      <w:r>
        <w:t xml:space="preserve"> et al., 2022)</w:t>
      </w:r>
    </w:p>
    <w:p w14:paraId="327671DE" w14:textId="77777777" w:rsidR="00A248FB" w:rsidRDefault="00837EB2">
      <w:r>
        <w:t xml:space="preserve">Este hallazgo fue confirmado por </w:t>
      </w:r>
      <w:proofErr w:type="spellStart"/>
      <w:r>
        <w:t>Nadler</w:t>
      </w:r>
      <w:proofErr w:type="spellEnd"/>
      <w:r>
        <w:t xml:space="preserve"> en 1957, quien no solo verificó la frecuencia de la condición, sino que también observó que el bruxismo afecta a personas de diversos grupos etarios, lo que sugería que podía presentarse en diferentes etapas de la vida y no estar restringido a una sola franja de edad. (Macedo et al., 2014; </w:t>
      </w:r>
      <w:proofErr w:type="spellStart"/>
      <w:r>
        <w:t>Matusz</w:t>
      </w:r>
      <w:proofErr w:type="spellEnd"/>
      <w:r>
        <w:t xml:space="preserve"> et al., 2022)</w:t>
      </w:r>
    </w:p>
    <w:p w14:paraId="04FB15C3" w14:textId="77777777" w:rsidR="00A248FB" w:rsidRDefault="00837EB2">
      <w:r>
        <w:t xml:space="preserve">Con el progreso de la investigación en el campo de la odontología y las ciencias del sueño durante el siglo XX, comenzaron a surgir distinciones más detalladas sobre el bruxismo. Miller, en 1950, propuso una diferenciación importante entre el bruxismo diurno y el bruxismo nocturno, subrayando que, aunque ambos implican el mismo tipo de actividad muscular involuntaria, los factores desencadenantes y las manifestaciones pueden variar significativamente según el momento del día en que se produzca. (Macedo et al., 2014; </w:t>
      </w:r>
      <w:proofErr w:type="spellStart"/>
      <w:r>
        <w:t>Matusz</w:t>
      </w:r>
      <w:proofErr w:type="spellEnd"/>
      <w:r>
        <w:t xml:space="preserve"> et al., 2022; </w:t>
      </w:r>
      <w:proofErr w:type="spellStart"/>
      <w:r>
        <w:t>Lobbezooo</w:t>
      </w:r>
      <w:proofErr w:type="spellEnd"/>
      <w:r>
        <w:t xml:space="preserve"> &amp; </w:t>
      </w:r>
      <w:proofErr w:type="spellStart"/>
      <w:r>
        <w:t>Naeije</w:t>
      </w:r>
      <w:proofErr w:type="spellEnd"/>
      <w:r>
        <w:t>, 2001)</w:t>
      </w:r>
    </w:p>
    <w:p w14:paraId="2F7E9196" w14:textId="77777777" w:rsidR="00A248FB" w:rsidRDefault="00837EB2">
      <w:proofErr w:type="spellStart"/>
      <w:r>
        <w:lastRenderedPageBreak/>
        <w:t>Lobbezooo</w:t>
      </w:r>
      <w:proofErr w:type="spellEnd"/>
      <w:r>
        <w:t xml:space="preserve"> y sus colaboradores (</w:t>
      </w:r>
      <w:proofErr w:type="spellStart"/>
      <w:r>
        <w:t>Lobbezooo</w:t>
      </w:r>
      <w:proofErr w:type="spellEnd"/>
      <w:r>
        <w:t xml:space="preserve"> et al., 2018) han reafirmado la importancia de estas distinciones, enfocándose en las manifestaciones del bruxismo tanto durante el sueño como en la vigilia. Los avances en la investigación han revelado que el bruxismo del sueño y el bruxismo en estado de vigilia no solo difieren en cuanto al momento en que ocurren, sino que también en términos de etiología, síntomas y tratamiento. (</w:t>
      </w:r>
      <w:proofErr w:type="spellStart"/>
      <w:r>
        <w:t>Matusz</w:t>
      </w:r>
      <w:proofErr w:type="spellEnd"/>
      <w:r>
        <w:t xml:space="preserve"> et al., 2022; </w:t>
      </w:r>
      <w:proofErr w:type="spellStart"/>
      <w:r>
        <w:t>Lobbezooo</w:t>
      </w:r>
      <w:proofErr w:type="spellEnd"/>
      <w:r>
        <w:t xml:space="preserve"> &amp; </w:t>
      </w:r>
      <w:proofErr w:type="spellStart"/>
      <w:r>
        <w:t>Naeije</w:t>
      </w:r>
      <w:proofErr w:type="spellEnd"/>
      <w:r>
        <w:t>, 2001)</w:t>
      </w:r>
    </w:p>
    <w:p w14:paraId="25A406BA" w14:textId="77777777" w:rsidR="00A248FB" w:rsidRDefault="00837EB2">
      <w:r>
        <w:t xml:space="preserve">A lo largo de los años, el bruxismo ha sido descrito como una </w:t>
      </w:r>
      <w:proofErr w:type="spellStart"/>
      <w:r>
        <w:t>parafunción</w:t>
      </w:r>
      <w:proofErr w:type="spellEnd"/>
      <w:r>
        <w:t xml:space="preserve"> con una etiología compleja y multifactorial, aunque se reconoce como un importante componente psicológico. Un estudio pionero en 1960, realizado por </w:t>
      </w:r>
      <w:proofErr w:type="spellStart"/>
      <w:r>
        <w:t>Every</w:t>
      </w:r>
      <w:proofErr w:type="spellEnd"/>
      <w:r>
        <w:t xml:space="preserve">, propuso una explicación evolutiva del bruxismo, asociándolo con la necesidad de afilar los dientes, como si fueran herramientas o armas. (Macedo et al., 2014; </w:t>
      </w:r>
      <w:proofErr w:type="spellStart"/>
      <w:r>
        <w:t>Matusz</w:t>
      </w:r>
      <w:proofErr w:type="spellEnd"/>
      <w:r>
        <w:t xml:space="preserve"> et al., 2022)</w:t>
      </w:r>
    </w:p>
    <w:p w14:paraId="20A2E23E" w14:textId="77777777" w:rsidR="00A248FB" w:rsidRDefault="00837EB2">
      <w:r>
        <w:t>En 1990, la Academia Americana de Medicina del Sueño clasificó el bruxismo del sueño (SB) como una parasomnia, ya que se trata de un fenómeno físico no deseado que ocurre mayormente durante el sueño. En 1996, Lavigne y su equipo marcaron un hito al iniciar la investigación diagnóstica del bruxismo mediante polisomnografía. (</w:t>
      </w:r>
      <w:proofErr w:type="spellStart"/>
      <w:r>
        <w:t>Bulanda</w:t>
      </w:r>
      <w:proofErr w:type="spellEnd"/>
      <w:r>
        <w:t xml:space="preserve"> et al., 2021; </w:t>
      </w:r>
      <w:proofErr w:type="spellStart"/>
      <w:r>
        <w:t>Matusz</w:t>
      </w:r>
      <w:proofErr w:type="spellEnd"/>
      <w:r>
        <w:t xml:space="preserve"> et al., 2022)</w:t>
      </w:r>
    </w:p>
    <w:p w14:paraId="23CE21BE" w14:textId="77777777" w:rsidR="00A248FB" w:rsidRDefault="00837EB2">
      <w:r>
        <w:t xml:space="preserve">En 2001, </w:t>
      </w:r>
      <w:proofErr w:type="spellStart"/>
      <w:r>
        <w:t>Lobbezooo</w:t>
      </w:r>
      <w:proofErr w:type="spellEnd"/>
      <w:r>
        <w:t xml:space="preserve"> y </w:t>
      </w:r>
      <w:proofErr w:type="spellStart"/>
      <w:r>
        <w:t>Naeije</w:t>
      </w:r>
      <w:proofErr w:type="spellEnd"/>
      <w:r>
        <w:t xml:space="preserve"> (</w:t>
      </w:r>
      <w:proofErr w:type="spellStart"/>
      <w:r>
        <w:t>Lobbezooo</w:t>
      </w:r>
      <w:proofErr w:type="spellEnd"/>
      <w:r>
        <w:t xml:space="preserve"> &amp; </w:t>
      </w:r>
      <w:proofErr w:type="spellStart"/>
      <w:r>
        <w:t>Naeije</w:t>
      </w:r>
      <w:proofErr w:type="spellEnd"/>
      <w:r>
        <w:t>, 2001) propusieron que ciertos neurotransmisores del sistema nervioso central podrían jugar un papel importante en la modulación del bruxismo, sugiriendo que el comportamiento de rechinar o apretar los dientes no solo tiene un origen mecánico o físico, sino también una base neuroquímica. Este enfoque abrió una nueva línea de investigación, buscando identificar los mecanismos precisos por los cuales el cerebro influye en la actividad muscular repetitiva y no deseada de la mandíbula. Las investigaciones posteriores han continuado explorando el papel de neurotransmisores como la dopamina y la serotonina, los cuales podrían estar involucrados en el control de los movimientos mandibulares involucrados que caracterizan el bruxismo. (</w:t>
      </w:r>
      <w:proofErr w:type="spellStart"/>
      <w:r>
        <w:t>Lobbezooo</w:t>
      </w:r>
      <w:proofErr w:type="spellEnd"/>
      <w:r>
        <w:t xml:space="preserve"> et al., 2018; </w:t>
      </w:r>
      <w:proofErr w:type="spellStart"/>
      <w:r>
        <w:t>Bulanda</w:t>
      </w:r>
      <w:proofErr w:type="spellEnd"/>
      <w:r>
        <w:t xml:space="preserve"> et al., 2021; </w:t>
      </w:r>
      <w:proofErr w:type="spellStart"/>
      <w:r>
        <w:t>Matusz</w:t>
      </w:r>
      <w:proofErr w:type="spellEnd"/>
      <w:r>
        <w:t xml:space="preserve"> et al., 2022)</w:t>
      </w:r>
    </w:p>
    <w:p w14:paraId="35F138DC" w14:textId="77777777" w:rsidR="00A248FB" w:rsidRDefault="00837EB2">
      <w:r>
        <w:lastRenderedPageBreak/>
        <w:t>En 2013, un consenso internacional (</w:t>
      </w:r>
      <w:proofErr w:type="spellStart"/>
      <w:r>
        <w:t>Lobbezooo</w:t>
      </w:r>
      <w:proofErr w:type="spellEnd"/>
      <w:r>
        <w:t xml:space="preserve"> et al., 2013) sobre el bruxismo refinó su definición, describiéndolo como una “actividad repetitiva de los músculos de la mandíbula, caracterizada por apretar o rechinar los dientes y/o empujar la mandíbula”. </w:t>
      </w:r>
    </w:p>
    <w:p w14:paraId="021F2AAA" w14:textId="3FBD8DEC" w:rsidR="00A248FB" w:rsidRDefault="00837EB2">
      <w:r>
        <w:t xml:space="preserve">En 2018, </w:t>
      </w:r>
      <w:proofErr w:type="spellStart"/>
      <w:r>
        <w:t>Lobbezoo</w:t>
      </w:r>
      <w:proofErr w:type="spellEnd"/>
      <w:r>
        <w:t xml:space="preserve"> y colaboradores (</w:t>
      </w:r>
      <w:proofErr w:type="spellStart"/>
      <w:r>
        <w:t>Lobbezooo</w:t>
      </w:r>
      <w:proofErr w:type="spellEnd"/>
      <w:r>
        <w:t xml:space="preserve"> et al., 2018) volvieron a revisar las definiciones y enfoques sobre el bruxismo, señalando un punto crucial en la comprensión de esta condición. Subrayaron que, en individuos sanos, el bruxismo no debería considerarse automáticamente como un trastorno, sino más bien como un comportamiento que, en algunos casos, podría ser incluso protector en determinados contextos </w:t>
      </w:r>
      <w:r w:rsidR="00F53790">
        <w:t>clínicos. (</w:t>
      </w:r>
      <w:proofErr w:type="spellStart"/>
      <w:r>
        <w:t>Sierwald</w:t>
      </w:r>
      <w:proofErr w:type="spellEnd"/>
      <w:r>
        <w:t xml:space="preserve"> et al., 2015; </w:t>
      </w:r>
      <w:proofErr w:type="spellStart"/>
      <w:r>
        <w:t>Bulanda</w:t>
      </w:r>
      <w:proofErr w:type="spellEnd"/>
      <w:r>
        <w:t xml:space="preserve"> et al., 2021)</w:t>
      </w:r>
    </w:p>
    <w:p w14:paraId="00B46DF7" w14:textId="77777777" w:rsidR="00A248FB" w:rsidRDefault="00837EB2">
      <w:pPr>
        <w:pStyle w:val="Ttulo2"/>
      </w:pPr>
      <w:r>
        <w:t>3.2. Impacto en la salud pública y desigualdades tecnológicas</w:t>
      </w:r>
    </w:p>
    <w:p w14:paraId="24EB44AC" w14:textId="77777777" w:rsidR="00A248FB" w:rsidRDefault="00837EB2">
      <w:r>
        <w:t xml:space="preserve">El bruxismo trasciende ser únicamente un problema clínico, convirtiéndose en un reto </w:t>
      </w:r>
      <w:proofErr w:type="spellStart"/>
      <w:r>
        <w:t>sociotecnológico</w:t>
      </w:r>
      <w:proofErr w:type="spellEnd"/>
      <w:r>
        <w:t xml:space="preserve"> que se manifiesta bajo diversas circunstancias.</w:t>
      </w:r>
    </w:p>
    <w:p w14:paraId="70B63DD6" w14:textId="77777777" w:rsidR="00A248FB" w:rsidRDefault="00837EB2">
      <w:r>
        <w:t>Existen evidencias (Rodríguez Betancourt et al., 2022; Alcolea Rodríguez et al., 2014; Arias Leyva et al., 2023) de la relación significativa entre el bruxismo y factores psicosociales, como el estrés, la ansiedad, la carga emocional y los entornos de alta presión, ya sean familiares, laborales, académicos o deportivos. Esta interacción refuerza la necesidad de implementar estrategias integrales para manejar el estrés y promover la salud emocional, con el objetivo de prevenir y abordar el impacto del bruxismo en diferentes etapas de la vida y contextos sociales.</w:t>
      </w:r>
    </w:p>
    <w:p w14:paraId="1A6F331E" w14:textId="77777777" w:rsidR="00A248FB" w:rsidRDefault="00837EB2">
      <w:r>
        <w:t>Por otra parte, las desigualdades económicas y las crisis de alcance mundial, como la pandemia de COVID-19, pueden intensificar los factores asociados al bruxismo; sin embargo, su manejo continúa centrado principalmente en soluciones individuales, en lugar de articularse con políticas públicas de prevención y promoción de la salud.</w:t>
      </w:r>
    </w:p>
    <w:p w14:paraId="3708C537" w14:textId="77777777" w:rsidR="00A248FB" w:rsidRDefault="00837EB2">
      <w:proofErr w:type="spellStart"/>
      <w:r>
        <w:t>Cleonares</w:t>
      </w:r>
      <w:proofErr w:type="spellEnd"/>
      <w:r>
        <w:t xml:space="preserve"> Borbor y colaboradores (</w:t>
      </w:r>
      <w:proofErr w:type="spellStart"/>
      <w:r>
        <w:t>Cleonares</w:t>
      </w:r>
      <w:proofErr w:type="spellEnd"/>
      <w:r>
        <w:t xml:space="preserve"> Borbor et al., 2024) señalan que la información sanitaria en línea sobre esta condición no suele ser fácilmente comprensible para el público general, lo que evidencia </w:t>
      </w:r>
      <w:r>
        <w:lastRenderedPageBreak/>
        <w:t>la necesidad de mejorar su accesibilidad. Además, destacan la complejidad del bruxismo y la importancia de un enfoque multidisciplinario para su diagnóstico y tratamiento.</w:t>
      </w:r>
    </w:p>
    <w:p w14:paraId="6682951C" w14:textId="77777777" w:rsidR="00A248FB" w:rsidRDefault="00837EB2">
      <w:r>
        <w:t xml:space="preserve">Determinantes sociales complejos reflejan disparidad en la prevalencia del bruxismo según el sexo. Estudios recientes (Hernández-Reyes et al., 2024; Herrero Solano et al., 2019; </w:t>
      </w:r>
      <w:proofErr w:type="spellStart"/>
      <w:r>
        <w:t>Stefanelli</w:t>
      </w:r>
      <w:proofErr w:type="spellEnd"/>
      <w:r>
        <w:t xml:space="preserve"> et al., 2022) reportan que el bruxismo afecta más a las mujeres, con una prevalencia aproximadamente 60-70% de los casos clínicos reportados. </w:t>
      </w:r>
    </w:p>
    <w:p w14:paraId="3A9F53F9" w14:textId="77777777" w:rsidR="00A248FB" w:rsidRDefault="00837EB2">
      <w:r>
        <w:t>Silva Contreras (Silva Contreras, 2015) encontró, entre individuos de 45 a 59 años diagnosticados con bruxismo, un predominio de mujeres, particularmente en grupos expuestos a responsabilidades laborales y elevados niveles de estrés.</w:t>
      </w:r>
    </w:p>
    <w:p w14:paraId="0D655A84" w14:textId="77777777" w:rsidR="00A248FB" w:rsidRDefault="00837EB2">
      <w:r>
        <w:t xml:space="preserve">Una revisión sistemática y </w:t>
      </w:r>
      <w:proofErr w:type="spellStart"/>
      <w:r>
        <w:t>metanálisis</w:t>
      </w:r>
      <w:proofErr w:type="spellEnd"/>
      <w:r>
        <w:t xml:space="preserve"> (</w:t>
      </w:r>
      <w:proofErr w:type="spellStart"/>
      <w:r>
        <w:t>Zieliński</w:t>
      </w:r>
      <w:proofErr w:type="spellEnd"/>
      <w:r>
        <w:t xml:space="preserve"> et al., 2024) sobre el bruxismo del sueño y de vigilia en poblaciones pediátricas y adultas reveló una notable heterogeneidad en las tasas de prevalencia entre continentes y grupos de edad. Estos resultados sugieren que las diferencias metodológicas, ambientales, culturales y sanitarias deben considerarse al interpretar la frecuencia del bruxismo en distintas poblaciones.</w:t>
      </w:r>
    </w:p>
    <w:p w14:paraId="044E3261" w14:textId="77777777" w:rsidR="00A248FB" w:rsidRDefault="00837EB2">
      <w:r>
        <w:t>Todo lo anterior permite considerar las cargas psicosociales relacionadas con la salud bucal y el bruxismo, especialmente cuando confluyen responsabilidades de cuidado, dobles jornadas laborales y exposición sostenida al estrés. Estas condiciones pueden afectar la calidad de vida relacionada con la salud bucal y deben analizarse sin reducir el problema a explicaciones exclusivamente individuales. (</w:t>
      </w:r>
      <w:proofErr w:type="spellStart"/>
      <w:r>
        <w:t>Sarrazola</w:t>
      </w:r>
      <w:proofErr w:type="spellEnd"/>
      <w:r>
        <w:t>-Moncada et al., 2023)</w:t>
      </w:r>
    </w:p>
    <w:p w14:paraId="46EF5E19" w14:textId="77777777" w:rsidR="00A248FB" w:rsidRDefault="00837EB2">
      <w:r>
        <w:t>Desde una perspectiva crítica, la medicalización del malestar en las mujeres invita a evitar que manifestaciones vinculadas con ansiedad o estrés sean interpretadas de manera aislada de sus determinantes sociales. En consecuencia, el análisis del bruxismo puede beneficiarse de una perspectiva de género que considere simultáneamente factores clínicos, emocionales, laborales y sociales. (del Río-Pedraza, 2022)</w:t>
      </w:r>
    </w:p>
    <w:p w14:paraId="67F9BB06" w14:textId="77777777" w:rsidR="00A248FB" w:rsidRDefault="00837EB2">
      <w:r>
        <w:t xml:space="preserve">Con relación a los costos, el manejo del bruxismo puede implicar consultas, procedimientos diagnósticos, tratamientos y rehabilitación, lo </w:t>
      </w:r>
      <w:r>
        <w:lastRenderedPageBreak/>
        <w:t>que representa una carga económica tanto para los individuos como para los sistemas de salud. (</w:t>
      </w:r>
      <w:proofErr w:type="spellStart"/>
      <w:r>
        <w:t>Trupman</w:t>
      </w:r>
      <w:proofErr w:type="spellEnd"/>
      <w:r>
        <w:t xml:space="preserve"> Hernández et al., 2023)</w:t>
      </w:r>
    </w:p>
    <w:p w14:paraId="7288BC21" w14:textId="77777777" w:rsidR="00A248FB" w:rsidRDefault="00837EB2">
      <w:pPr>
        <w:pStyle w:val="Ttulo2"/>
      </w:pPr>
      <w:r>
        <w:t>3.3. Dimensión emocional y factores psicosociales</w:t>
      </w:r>
    </w:p>
    <w:p w14:paraId="02A62DDC" w14:textId="77777777" w:rsidR="00A248FB" w:rsidRDefault="00837EB2">
      <w:r>
        <w:t>La relación entre bruxismo y salud emocional constituye uno de los elementos centrales para comprender esta actividad desde una perspectiva biopsicosocial. La literatura incluida en esta revisión describe asociaciones entre el bruxismo y variables como estrés, ansiedad, carga emocional y exposición a contextos de elevada exigencia. Estas asociaciones no implican que exista una causa psicológica única ni que todos los individuos con estrés desarrollen bruxismo. Más bien, muestran que la actividad de los músculos masticatorios puede presentarse dentro de una red de factores biológicos, psicológicos y sociales que interactúan de manera dinámica. En este sentido, la valoración clínica debe evitar explicaciones reduccionistas y considerar tanto las características del comportamiento mandibular como el contexto cotidiano en el que aparece. (</w:t>
      </w:r>
      <w:proofErr w:type="spellStart"/>
      <w:r>
        <w:t>Wieckiewicz</w:t>
      </w:r>
      <w:proofErr w:type="spellEnd"/>
      <w:r>
        <w:t xml:space="preserve"> et al., 2014; Rodríguez Betancourt et al., 2022; Alcolea Rodríguez et al., 2014; Arias Leyva et al., 2023)</w:t>
      </w:r>
    </w:p>
    <w:p w14:paraId="3C3A0BBE" w14:textId="4DC866DD" w:rsidR="00A248FB" w:rsidRDefault="00837EB2">
      <w:r>
        <w:t>El estrés adquiere especial importancia en el bruxismo de vigilia, debido a que este puede manifestarse mediante contacto dental repetitivo o sostenido, apretamiento y tensión mandibular durante actividades diurnas. En escenarios académicos, laborales, familiares o deportivos de alta presión, la persona puede mantener la musculatura masticatoria activada sin advertirlo de forma inmediata. La repetición de este patrón puede favorecer cansancio muscular, molestias orofaciales y una mayor percepción de tensión. Por ello, la identificación de situaciones desencadenantes y el reconocimiento consciente de los hábitos mandibulares forman parte de una comprensión más amplia del problema. Los estudios que relacionan bruxismo, ansiedad y factores biosociales respaldan la necesidad de explorar estas variables durante la anamnesis, sin asumir que por sí solas explican toda la condición. (Rodríguez Betancourt et al., 2022; Alcolea Rodríguez et al., 2014; Arias Leyva et al., 2023)</w:t>
      </w:r>
    </w:p>
    <w:p w14:paraId="1C1F1988" w14:textId="702349CC" w:rsidR="00837EB2" w:rsidRDefault="00837EB2"/>
    <w:p w14:paraId="14D31DAF" w14:textId="77777777" w:rsidR="00837EB2" w:rsidRDefault="00837EB2"/>
    <w:p w14:paraId="19E1420F" w14:textId="77777777" w:rsidR="00A248FB" w:rsidRDefault="00837EB2">
      <w:pPr>
        <w:pStyle w:val="Ttulo2"/>
      </w:pPr>
      <w:r>
        <w:lastRenderedPageBreak/>
        <w:t>3.4. Manifestaciones clínicas, calidad de vida y diagnóstico</w:t>
      </w:r>
    </w:p>
    <w:p w14:paraId="71AFEF3F" w14:textId="77777777" w:rsidR="00A248FB" w:rsidRDefault="00837EB2">
      <w:r>
        <w:t>Las consecuencias del bruxismo deben valorarse de acuerdo con su intensidad, frecuencia, duración y coexistencia con otros factores clínicos. El sistema estomatognático integra dientes, periodonto, músculos masticatorios y articulaciones temporomandibulares; por ello, una actividad muscular repetitiva o sostenida puede expresarse de maneras diferentes entre pacientes. El desgaste dental, la fatiga muscular, el dolor orofacial y determinadas molestias temporomandibulares pueden motivar la consulta, aunque su presencia no debe atribuirse automáticamente al bruxismo sin una evaluación clínica adecuada. La asociación descrita entre bruxismo y trastornos temporomandibulares dolorosos refuerza la necesidad de examinar ambas condiciones de forma cuidadosa, diferenciando asociación de causalidad y considerando otros factores que también pueden intervenir en la aparición o mantenimiento del dolor. (</w:t>
      </w:r>
      <w:proofErr w:type="spellStart"/>
      <w:r>
        <w:t>Sierwald</w:t>
      </w:r>
      <w:proofErr w:type="spellEnd"/>
      <w:r>
        <w:t xml:space="preserve"> et al., 2015)</w:t>
      </w:r>
    </w:p>
    <w:p w14:paraId="057A2DC4" w14:textId="77777777" w:rsidR="00A248FB" w:rsidRDefault="00837EB2">
      <w:r>
        <w:t xml:space="preserve">El diagnóstico y la evaluación del bruxismo representan un desafío porque el comportamiento puede ocurrir durante la vigilia o durante el sueño y porque no todos los episodios son percibidos por el individuo. El consenso internacional distingue métodos no instrumentales, como el </w:t>
      </w:r>
      <w:proofErr w:type="spellStart"/>
      <w:r>
        <w:t>autorreporte</w:t>
      </w:r>
      <w:proofErr w:type="spellEnd"/>
      <w:r>
        <w:t xml:space="preserve"> y la inspección clínica, y métodos instrumentales, entre ellos la electromiografía y, para el estudio del bruxismo del sueño, la polisomnografía en contextos específicos. (</w:t>
      </w:r>
      <w:proofErr w:type="spellStart"/>
      <w:r>
        <w:t>Lobbezooo</w:t>
      </w:r>
      <w:proofErr w:type="spellEnd"/>
      <w:r>
        <w:t xml:space="preserve"> et al., 2018) Esta distinción es relevante para la práctica clínica y para la investigación, pues la disponibilidad de tecnología condiciona el grado de precisión con el que puede caracterizarse la actividad muscular. Al mismo tiempo, el acceso desigual a pruebas instrumentales obliga a valorar la aplicabilidad, el costo y la accesibilidad de los procedimientos diagnósticos, especialmente en sistemas sanitarios con recursos limitados.</w:t>
      </w:r>
    </w:p>
    <w:p w14:paraId="3B3A5EA4" w14:textId="77777777" w:rsidR="00A248FB" w:rsidRDefault="00837EB2">
      <w:r>
        <w:t xml:space="preserve">La evolución conceptual del bruxismo también modifica la manera de interpretar el diagnóstico. El consenso de 2018 plantea que, en individuos por lo demás sanos, el bruxismo no debe considerarse automáticamente un trastorno, sino una actividad de los músculos masticatorios que puede actuar como factor de riesgo —y, en determinadas circunstancias, como factor protector— para ciertas consecuencias clínicas. </w:t>
      </w:r>
      <w:r>
        <w:lastRenderedPageBreak/>
        <w:t>(</w:t>
      </w:r>
      <w:proofErr w:type="spellStart"/>
      <w:r>
        <w:t>Lobbezooo</w:t>
      </w:r>
      <w:proofErr w:type="spellEnd"/>
      <w:r>
        <w:t xml:space="preserve"> et al., 2018) Esta perspectiva evita patologizar cualquier episodio de apretamiento o rechinamiento y dirige la atención hacia sus consecuencias, comorbilidades y contexto. En consecuencia, la decisión terapéutica debería sustentarse en una valoración integral del paciente y no únicamente en la presencia referida o registrada de actividad </w:t>
      </w:r>
      <w:proofErr w:type="spellStart"/>
      <w:r>
        <w:t>bruxista</w:t>
      </w:r>
      <w:proofErr w:type="spellEnd"/>
      <w:r>
        <w:t>.</w:t>
      </w:r>
    </w:p>
    <w:p w14:paraId="494D9A63" w14:textId="77777777" w:rsidR="00A248FB" w:rsidRDefault="00837EB2">
      <w:pPr>
        <w:pStyle w:val="Ttulo2"/>
      </w:pPr>
      <w:r>
        <w:t>3.5. Abordaje biopsicosocial y multidisciplinario</w:t>
      </w:r>
    </w:p>
    <w:p w14:paraId="41289584" w14:textId="77777777" w:rsidR="00A248FB" w:rsidRDefault="00837EB2">
      <w:r>
        <w:t>El carácter multifactorial del bruxismo justifica un abordaje multidisciplinario. La odontología cumple una función esencial en la identificación de signos clínicos, la valoración del sistema estomatognático, la protección de estructuras dentarias cuando está indicada y el seguimiento de las consecuencias orales. Sin embargo, cuando coexisten alteraciones del sueño, dolor persistente, ansiedad, estrés significativo u otros problemas emocionales, puede ser necesario integrar profesionales de distintas áreas. La coordinación entre odontología, medicina, psicología y disciplinas vinculadas con el sueño permite orientar la atención hacia las necesidades concretas del paciente y evita que una sola intervención sea presentada como respuesta universal a una condición heterogénea. (</w:t>
      </w:r>
      <w:proofErr w:type="spellStart"/>
      <w:r>
        <w:t>Lobbezooo</w:t>
      </w:r>
      <w:proofErr w:type="spellEnd"/>
      <w:r>
        <w:t xml:space="preserve"> et al., 2018; </w:t>
      </w:r>
      <w:proofErr w:type="spellStart"/>
      <w:r>
        <w:t>Matusz</w:t>
      </w:r>
      <w:proofErr w:type="spellEnd"/>
      <w:r>
        <w:t xml:space="preserve"> et al., 2022; </w:t>
      </w:r>
      <w:proofErr w:type="spellStart"/>
      <w:r>
        <w:t>Cleonares</w:t>
      </w:r>
      <w:proofErr w:type="spellEnd"/>
      <w:r>
        <w:t xml:space="preserve"> Borbor et al., 2024)</w:t>
      </w:r>
    </w:p>
    <w:p w14:paraId="4CFCC2B7" w14:textId="77777777" w:rsidR="00A248FB" w:rsidRDefault="00837EB2">
      <w:r>
        <w:t>En el componente preventivo, la educación sanitaria resulta fundamental. Informar al paciente sobre las diferencias entre bruxismo de vigilia y del sueño, sus posibles factores asociados y sus consecuencias facilita una participación más activa en el cuidado. En el bruxismo de vigilia, reconocer momentos de contacto dental sostenido o tensión mandibular puede contribuir a identificar patrones cotidianos que requieren modificación. De manera complementaria, la promoción de hábitos saludables, el manejo apropiado de factores psicosociales y la atención de problemas del sueño deben formar parte de una estrategia individualizada. La información debe comunicarse con lenguaje comprensible, debido a que la dificultad para interpretar contenidos sanitarios disponibles en línea puede limitar la toma de decisiones informadas y favorecer conceptos erróneos sobre la condición. (</w:t>
      </w:r>
      <w:proofErr w:type="spellStart"/>
      <w:r>
        <w:t>Cleonares</w:t>
      </w:r>
      <w:proofErr w:type="spellEnd"/>
      <w:r>
        <w:t xml:space="preserve"> Borbor et al., 2024)</w:t>
      </w:r>
    </w:p>
    <w:p w14:paraId="17C6D78D" w14:textId="77777777" w:rsidR="00A248FB" w:rsidRDefault="00837EB2">
      <w:r>
        <w:lastRenderedPageBreak/>
        <w:t>El abordaje biopsicosocial también debe considerar las barreras de acceso a la atención. Los costos diagnósticos y terapéuticos, la disponibilidad de profesionales y las diferencias entre sistemas sanitarios pueden condicionar el seguimiento, por lo que la respuesta clínica debe acompañarse de educación y prevención accesibles.</w:t>
      </w:r>
    </w:p>
    <w:p w14:paraId="4247F35F" w14:textId="77777777" w:rsidR="00A248FB" w:rsidRDefault="00837EB2">
      <w:r>
        <w:t xml:space="preserve">Desde la perspectiva de género, es necesario interpretar con prudencia los hallazgos epidemiológicos. Algunos estudios incluidos en la revisión describen una mayor presencia de mujeres en determinadas muestras clínicas y relacionan este resultado con estrés y responsabilidades laborales o sociales. (Hernández-Reyes et al., 2024; Herrero Solano et al., 2019; </w:t>
      </w:r>
      <w:proofErr w:type="spellStart"/>
      <w:r>
        <w:t>Stefanelli</w:t>
      </w:r>
      <w:proofErr w:type="spellEnd"/>
      <w:r>
        <w:t xml:space="preserve"> et al., 2022; Silva Contreras, 2015) Sin embargo, la heterogeneidad observada entre poblaciones y métodos de evaluación impide convertir estos resultados en una regla universal. (</w:t>
      </w:r>
      <w:proofErr w:type="spellStart"/>
      <w:r>
        <w:t>Zieliński</w:t>
      </w:r>
      <w:proofErr w:type="spellEnd"/>
      <w:r>
        <w:t xml:space="preserve"> et al., 2024) El valor del enfoque de género radica en analizar cómo las condiciones de vida, las responsabilidades de cuidado, la exposición al estrés y las oportunidades de acceso a los servicios pueden influir en la experiencia de salud, evitando atribuir las diferencias exclusivamente a características biológicas o psicológicas individuales. (</w:t>
      </w:r>
      <w:proofErr w:type="spellStart"/>
      <w:r>
        <w:t>Sarrazola</w:t>
      </w:r>
      <w:proofErr w:type="spellEnd"/>
      <w:r>
        <w:t>-Moncada et al., 2023; del Río-Pedraza, 2022)</w:t>
      </w:r>
    </w:p>
    <w:p w14:paraId="5D50515C" w14:textId="77777777" w:rsidR="00A248FB" w:rsidRDefault="00837EB2">
      <w:pPr>
        <w:pStyle w:val="Ttulo1"/>
      </w:pPr>
      <w:r>
        <w:t>4. DISCUSIÓN</w:t>
      </w:r>
    </w:p>
    <w:p w14:paraId="6D4E2C0F" w14:textId="77777777" w:rsidR="00A248FB" w:rsidRDefault="00837EB2">
      <w:r>
        <w:t>La revisión realizada permite sostener que el bruxismo debe interpretarse como una actividad compleja cuya relevancia clínica depende de la forma en que se presenta, de sus consecuencias y del contexto del individuo. La evolución de las definiciones internacionales es especialmente significativa: el consenso de 2013 contribuyó a precisar la actividad repetitiva de los músculos mandibulares, mientras que la actualización de 2018 diferenció con mayor claridad el bruxismo del sueño y el de vigilia y propuso evitar su consideración automática como trastorno en personas sanas (</w:t>
      </w:r>
      <w:proofErr w:type="spellStart"/>
      <w:r>
        <w:t>Lobbezoo</w:t>
      </w:r>
      <w:proofErr w:type="spellEnd"/>
      <w:r>
        <w:t xml:space="preserve"> et al., 2013; </w:t>
      </w:r>
      <w:proofErr w:type="spellStart"/>
      <w:r>
        <w:t>Lobbezoo</w:t>
      </w:r>
      <w:proofErr w:type="spellEnd"/>
      <w:r>
        <w:t xml:space="preserve"> et al., 2018). Esta transformación epistemológica obliga a abandonar explicaciones únicas y favorece una valoración basada en riesgo, consecuencias clínicas y condiciones asociadas.</w:t>
      </w:r>
    </w:p>
    <w:p w14:paraId="6AFD1C08" w14:textId="77777777" w:rsidR="00A248FB" w:rsidRDefault="00837EB2">
      <w:r>
        <w:lastRenderedPageBreak/>
        <w:t>Los hallazgos revisados también muestran que la dimensión emocional no debe interpretarse como una explicación exclusiva. Diversos trabajos describen asociaciones entre bruxismo, estrés, ansiedad y factores biosociales (</w:t>
      </w:r>
      <w:proofErr w:type="spellStart"/>
      <w:r>
        <w:t>Wieckiewicz</w:t>
      </w:r>
      <w:proofErr w:type="spellEnd"/>
      <w:r>
        <w:t xml:space="preserve"> et al., 2014; Alcolea Rodríguez et al., 2014; Herrero Solano et al., 2019; Rodríguez Betancourt et al., 2022). Sin embargo, asociación no equivale a causalidad. La utilidad del enfoque biopsicosocial reside precisamente en integrar la experiencia emocional con mecanismos fisiológicos, características del sueño, hábitos de vigilia y condiciones sociales. De esta manera, se evita atribuir al paciente una supuesta causa psicológica universal y se favorece una anamnesis capaz de identificar los factores relevantes en cada caso.</w:t>
      </w:r>
    </w:p>
    <w:p w14:paraId="0B293DFE" w14:textId="77777777" w:rsidR="00A248FB" w:rsidRDefault="00837EB2">
      <w:r>
        <w:t xml:space="preserve">La diferenciación entre bruxismo de vigilia y del sueño tiene implicaciones diagnósticas y terapéuticas. El primero puede relacionarse con patrones de contacto dental, apretamiento o tensión mandibular durante actividades diurnas, mientras que el segundo ocurre durante el sueño y puede requerir métodos específicos de evaluación. El consenso internacional reconoce distintos niveles y métodos de evaluación, desde </w:t>
      </w:r>
      <w:proofErr w:type="spellStart"/>
      <w:r>
        <w:t>autorreportes</w:t>
      </w:r>
      <w:proofErr w:type="spellEnd"/>
      <w:r>
        <w:t xml:space="preserve"> y examen clínico hasta registros instrumentales (</w:t>
      </w:r>
      <w:proofErr w:type="spellStart"/>
      <w:r>
        <w:t>Lobbezoo</w:t>
      </w:r>
      <w:proofErr w:type="spellEnd"/>
      <w:r>
        <w:t xml:space="preserve"> et al., 2018). Esta gradación es importante porque la disponibilidad de tecnología no es homogénea. En contextos con recursos limitados, una práctica responsable debe combinar la mejor evaluación disponible con una interpretación prudente de sus alcances y limitaciones.</w:t>
      </w:r>
    </w:p>
    <w:p w14:paraId="483C0015" w14:textId="77777777" w:rsidR="00A248FB" w:rsidRDefault="00837EB2">
      <w:r>
        <w:t>Otro aspecto relevante es la relación con los trastornos temporomandibulares dolorosos y la calidad de vida. La asociación observada entre bruxismo y dolor temporomandibular exige evitar inferencias simplistas de causalidad, ya que el dolor orofacial es multifactorial (</w:t>
      </w:r>
      <w:proofErr w:type="spellStart"/>
      <w:r>
        <w:t>Sierwald</w:t>
      </w:r>
      <w:proofErr w:type="spellEnd"/>
      <w:r>
        <w:t xml:space="preserve"> et al., 2015). Al mismo tiempo, cuando existen molestias, desgaste, fatiga muscular o preocupación por los síntomas, las repercusiones pueden extenderse a actividades cotidianas y al bienestar percibido. La evidencia sobre calidad de vida relacionada con la salud bucal refuerza la necesidad de valorar resultados centrados en la persona y no únicamente signos dentarios o musculares (</w:t>
      </w:r>
      <w:proofErr w:type="spellStart"/>
      <w:r>
        <w:t>Sarrazola</w:t>
      </w:r>
      <w:proofErr w:type="spellEnd"/>
      <w:r>
        <w:t>-Moncada et al., 2023).</w:t>
      </w:r>
    </w:p>
    <w:p w14:paraId="40DBF20E" w14:textId="77777777" w:rsidR="00A248FB" w:rsidRDefault="00837EB2">
      <w:r>
        <w:t xml:space="preserve">En conjunto, la evidencia revisada respalda un manejo prudente, individualizado y multidisciplinario. Las estrategias terapéuticas descritas </w:t>
      </w:r>
      <w:r>
        <w:lastRenderedPageBreak/>
        <w:t>en la literatura son diversas y deben seleccionarse según el tipo de bruxismo, las consecuencias presentes y las necesidades del paciente (</w:t>
      </w:r>
      <w:proofErr w:type="spellStart"/>
      <w:r>
        <w:t>Matusz</w:t>
      </w:r>
      <w:proofErr w:type="spellEnd"/>
      <w:r>
        <w:t xml:space="preserve"> et al., 2022). La educación sanitaria, la identificación de factores psicosociales relevantes, el seguimiento odontológico y la derivación a otras áreas cuando existen problemas de sueño, dolor persistente o malestar emocional significativo conforman una respuesta más coherente con el modelo biopsicosocial. Desde la salud pública, esta visión debe complementarse con información accesible y medidas de promoción y prevención que reduzcan barreras económicas y tecnológicas (</w:t>
      </w:r>
      <w:proofErr w:type="spellStart"/>
      <w:r>
        <w:t>Cleonares</w:t>
      </w:r>
      <w:proofErr w:type="spellEnd"/>
      <w:r>
        <w:t xml:space="preserve"> Borbor et al., 2024; </w:t>
      </w:r>
      <w:proofErr w:type="spellStart"/>
      <w:r>
        <w:t>Trupman</w:t>
      </w:r>
      <w:proofErr w:type="spellEnd"/>
      <w:r>
        <w:t xml:space="preserve"> Hernández et al., 2023).</w:t>
      </w:r>
    </w:p>
    <w:p w14:paraId="50E1E76A" w14:textId="77777777" w:rsidR="00A248FB" w:rsidRDefault="00837EB2">
      <w:pPr>
        <w:pStyle w:val="Ttulo1"/>
      </w:pPr>
      <w:r>
        <w:t>5. ALTERNATIVAS DE SOLUCIÓN</w:t>
      </w:r>
    </w:p>
    <w:p w14:paraId="0577AFAB" w14:textId="77777777" w:rsidR="00A248FB" w:rsidRDefault="00837EB2" w:rsidP="00837EB2">
      <w:pPr>
        <w:pStyle w:val="Prrafodelista"/>
        <w:numPr>
          <w:ilvl w:val="0"/>
          <w:numId w:val="45"/>
        </w:numPr>
      </w:pPr>
      <w:r>
        <w:t xml:space="preserve">Establecer la integración de las especialidades estomatológicas y médicas ante la valoración de los pacientes con bruxismo para su adecuado diagnóstico, tratamiento, seguimiento y control de los mismos. </w:t>
      </w:r>
    </w:p>
    <w:p w14:paraId="5B9AE4A6" w14:textId="1BD2E272" w:rsidR="00A248FB" w:rsidRDefault="00837EB2" w:rsidP="00837EB2">
      <w:pPr>
        <w:pStyle w:val="Prrafodelista"/>
        <w:numPr>
          <w:ilvl w:val="0"/>
          <w:numId w:val="45"/>
        </w:numPr>
      </w:pPr>
      <w:r>
        <w:t xml:space="preserve">Divulgar en la población el conocimiento sobre el bruxismo y los factores de riesgo de este hábito para funcional. </w:t>
      </w:r>
    </w:p>
    <w:p w14:paraId="6042909D" w14:textId="77777777" w:rsidR="00A248FB" w:rsidRDefault="00837EB2" w:rsidP="00837EB2">
      <w:pPr>
        <w:pStyle w:val="Prrafodelista"/>
        <w:numPr>
          <w:ilvl w:val="0"/>
          <w:numId w:val="45"/>
        </w:numPr>
      </w:pPr>
      <w:r>
        <w:t>Incrementar las acciones de promoción y prevención de la salud para favorecer modos y estilos de vida saludables.</w:t>
      </w:r>
    </w:p>
    <w:p w14:paraId="74B2CED8" w14:textId="77777777" w:rsidR="00A248FB" w:rsidRDefault="00837EB2">
      <w:pPr>
        <w:pStyle w:val="Ttulo1"/>
      </w:pPr>
      <w:r>
        <w:t>6. CONCLUSIONES</w:t>
      </w:r>
    </w:p>
    <w:p w14:paraId="0AB61F52" w14:textId="77777777" w:rsidR="00A248FB" w:rsidRDefault="00837EB2">
      <w:r>
        <w:t>El bruxismo constituye una actividad de los músculos masticatorios de naturaleza multifactorial cuya interpretación requiere diferenciar las manifestaciones de vigilia y del sueño. La evidencia revisada muestra que su comprensión contemporánea supera los modelos exclusivamente periféricos y reconoce la interacción de componentes fisiológicos, psicológicos y sociales. En personas sanas no debe considerarse automáticamente un trastorno; su relevancia depende de las consecuencias clínicas, los factores de riesgo y el contexto individual (</w:t>
      </w:r>
      <w:proofErr w:type="spellStart"/>
      <w:r>
        <w:t>Lobbezoo</w:t>
      </w:r>
      <w:proofErr w:type="spellEnd"/>
      <w:r>
        <w:t xml:space="preserve"> et al., 2018).</w:t>
      </w:r>
    </w:p>
    <w:p w14:paraId="07DC412B" w14:textId="77777777" w:rsidR="00A248FB" w:rsidRDefault="00837EB2">
      <w:r>
        <w:lastRenderedPageBreak/>
        <w:t>La salud emocional ocupa un lugar importante dentro de este marco, dado que diferentes estudios describen asociaciones con estrés, ansiedad, vulnerabilidad y entornos de elevada exigencia. Estas asociaciones deben interpretarse con prudencia y no como una relación causal única. El enfoque biopsicosocial permite integrar dichas variables con el sueño, el dolor, las condiciones de vida y los determinantes sociales, favoreciendo una valoración clínica más completa.</w:t>
      </w:r>
    </w:p>
    <w:p w14:paraId="27BCC0D3" w14:textId="77777777" w:rsidR="00A248FB" w:rsidRDefault="00837EB2">
      <w:r>
        <w:t>Las repercusiones potenciales sobre el sistema estomatognático, el dolor orofacial y la calidad de vida justifican una evaluación individualizada. Al mismo tiempo, las diferencias de acceso a tecnologías diagnósticas, atención especializada y rehabilitación convierten al bruxismo en un asunto relevante para la equidad en salud bucal. La educación sanitaria y la comunicación comprensible son componentes esenciales para mejorar la identificación oportuna y reducir interpretaciones erróneas.</w:t>
      </w:r>
    </w:p>
    <w:p w14:paraId="0F3E2CF5" w14:textId="0445EB10" w:rsidR="00A248FB" w:rsidRDefault="00837EB2">
      <w:r>
        <w:t>Finalmente, se recomienda fortalecer estrategias multidisciplinarias que articulen odontología, medicina, psicología y áreas relacionadas con el sueño cuando las características del caso lo requieran. La promoción de hábitos saludables, la prevención, el seguimiento clínico y la consideración de los determinantes sociales y de género permiten abordar el bruxismo sin reducirlo a sus manifestaciones dentarias y orientan la atención hacia la calidad de vida y las necesidades reales de cada persona.</w:t>
      </w:r>
    </w:p>
    <w:p w14:paraId="09576868" w14:textId="794D1BF8" w:rsidR="00837EB2" w:rsidRDefault="00837EB2"/>
    <w:p w14:paraId="1E36F028" w14:textId="3CA7FA22" w:rsidR="00837EB2" w:rsidRDefault="00837EB2"/>
    <w:p w14:paraId="1333CEC2" w14:textId="458FAB3D" w:rsidR="00837EB2" w:rsidRDefault="00837EB2"/>
    <w:p w14:paraId="33A916EE" w14:textId="78E18525" w:rsidR="00837EB2" w:rsidRDefault="00837EB2"/>
    <w:p w14:paraId="7EBDD0BA" w14:textId="52FD6C2D" w:rsidR="00837EB2" w:rsidRDefault="00837EB2"/>
    <w:p w14:paraId="5F2BD6E2" w14:textId="77777777" w:rsidR="00837EB2" w:rsidRDefault="00837EB2"/>
    <w:p w14:paraId="5F4F5F5C" w14:textId="77777777" w:rsidR="00A248FB" w:rsidRDefault="00837EB2">
      <w:pPr>
        <w:pStyle w:val="Ttulo1"/>
      </w:pPr>
      <w:r>
        <w:lastRenderedPageBreak/>
        <w:t>7. REFERENCIAS</w:t>
      </w:r>
    </w:p>
    <w:p w14:paraId="030A3AA5" w14:textId="77777777" w:rsidR="00A248FB" w:rsidRDefault="00837EB2">
      <w:r>
        <w:t xml:space="preserve">Alcolea Rodríguez, J. R., Herrero Escobar, P., Ramón Jorge, M., Labrada Sol, E. T., Pérez Téllez, M., &amp; Garcés </w:t>
      </w:r>
      <w:proofErr w:type="spellStart"/>
      <w:r>
        <w:t>Llauger</w:t>
      </w:r>
      <w:proofErr w:type="spellEnd"/>
      <w:r>
        <w:t>, D. (2014). Asociación del bruxismo con factores biosociales. CCM, 18(2), 190-202. http://scielo.sld.cu/scielo.php?script=sci_arttext&amp;pid=S1560-43812014000200003&amp;lng=es</w:t>
      </w:r>
    </w:p>
    <w:p w14:paraId="3A7886D6" w14:textId="77777777" w:rsidR="00A248FB" w:rsidRDefault="00837EB2">
      <w:r>
        <w:t>Arias Leyva, D., Suárez, M., &amp; Lora Martínez, R. Y. (2023). Factores de riesgo de bruxismo en pacientes adultos. Didáctica y Educación, 14(1), 365-377. https://revistas.ult.edu.cu/index.php/didascalia/article/view/1589</w:t>
      </w:r>
    </w:p>
    <w:p w14:paraId="3CD990BE" w14:textId="77777777" w:rsidR="00A248FB" w:rsidRDefault="00837EB2">
      <w:proofErr w:type="spellStart"/>
      <w:r>
        <w:t>Bulanda</w:t>
      </w:r>
      <w:proofErr w:type="spellEnd"/>
      <w:r>
        <w:t xml:space="preserve">, S., </w:t>
      </w:r>
      <w:proofErr w:type="spellStart"/>
      <w:r>
        <w:t>Ilczuk-Rypuła</w:t>
      </w:r>
      <w:proofErr w:type="spellEnd"/>
      <w:r>
        <w:t xml:space="preserve">, D., </w:t>
      </w:r>
      <w:proofErr w:type="spellStart"/>
      <w:r>
        <w:t>Nitecka-Buchta</w:t>
      </w:r>
      <w:proofErr w:type="spellEnd"/>
      <w:r>
        <w:t xml:space="preserve">, A., </w:t>
      </w:r>
      <w:proofErr w:type="spellStart"/>
      <w:r>
        <w:t>Nowak</w:t>
      </w:r>
      <w:proofErr w:type="spellEnd"/>
      <w:r>
        <w:t xml:space="preserve">, Z., </w:t>
      </w:r>
      <w:proofErr w:type="spellStart"/>
      <w:r>
        <w:t>Baron</w:t>
      </w:r>
      <w:proofErr w:type="spellEnd"/>
      <w:r>
        <w:t xml:space="preserve">, S., &amp; </w:t>
      </w:r>
      <w:proofErr w:type="spellStart"/>
      <w:r>
        <w:t>Postek-Stefańska</w:t>
      </w:r>
      <w:proofErr w:type="spellEnd"/>
      <w:r>
        <w:t xml:space="preserve">, L. (2021). </w:t>
      </w:r>
      <w:proofErr w:type="spellStart"/>
      <w:r>
        <w:t>Sleep</w:t>
      </w:r>
      <w:proofErr w:type="spellEnd"/>
      <w:r>
        <w:t xml:space="preserve"> </w:t>
      </w:r>
      <w:proofErr w:type="spellStart"/>
      <w:r>
        <w:t>bruxism</w:t>
      </w:r>
      <w:proofErr w:type="spellEnd"/>
      <w:r>
        <w:t xml:space="preserve"> in </w:t>
      </w:r>
      <w:proofErr w:type="spellStart"/>
      <w:r>
        <w:t>children</w:t>
      </w:r>
      <w:proofErr w:type="spellEnd"/>
      <w:r>
        <w:t xml:space="preserve">: </w:t>
      </w:r>
      <w:proofErr w:type="spellStart"/>
      <w:r>
        <w:t>Etiology</w:t>
      </w:r>
      <w:proofErr w:type="spellEnd"/>
      <w:r>
        <w:t xml:space="preserve">, diagnosis, and </w:t>
      </w:r>
      <w:proofErr w:type="spellStart"/>
      <w:r>
        <w:t>treatment</w:t>
      </w:r>
      <w:proofErr w:type="spellEnd"/>
      <w:r>
        <w:t xml:space="preserve">—A </w:t>
      </w:r>
      <w:proofErr w:type="spellStart"/>
      <w:r>
        <w:t>literature</w:t>
      </w:r>
      <w:proofErr w:type="spellEnd"/>
      <w:r>
        <w:t xml:space="preserve"> </w:t>
      </w:r>
      <w:proofErr w:type="spellStart"/>
      <w:r>
        <w:t>review</w:t>
      </w:r>
      <w:proofErr w:type="spellEnd"/>
      <w:r>
        <w:t xml:space="preserve">. International </w:t>
      </w:r>
      <w:proofErr w:type="spellStart"/>
      <w:r>
        <w:t>Journal</w:t>
      </w:r>
      <w:proofErr w:type="spellEnd"/>
      <w:r>
        <w:t xml:space="preserve"> of </w:t>
      </w:r>
      <w:proofErr w:type="spellStart"/>
      <w:r>
        <w:t>Environmental</w:t>
      </w:r>
      <w:proofErr w:type="spellEnd"/>
      <w:r>
        <w:t xml:space="preserve"> </w:t>
      </w:r>
      <w:proofErr w:type="spellStart"/>
      <w:r>
        <w:t>Research</w:t>
      </w:r>
      <w:proofErr w:type="spellEnd"/>
      <w:r>
        <w:t xml:space="preserve"> and </w:t>
      </w:r>
      <w:proofErr w:type="spellStart"/>
      <w:r>
        <w:t>Public</w:t>
      </w:r>
      <w:proofErr w:type="spellEnd"/>
      <w:r>
        <w:t xml:space="preserve"> </w:t>
      </w:r>
      <w:proofErr w:type="spellStart"/>
      <w:r>
        <w:t>Health</w:t>
      </w:r>
      <w:proofErr w:type="spellEnd"/>
      <w:r>
        <w:t>, 18(18), 9544. https://doi.org/10.3390/ijerph18189544</w:t>
      </w:r>
    </w:p>
    <w:p w14:paraId="0192A111" w14:textId="77777777" w:rsidR="00A248FB" w:rsidRDefault="00837EB2">
      <w:proofErr w:type="spellStart"/>
      <w:r>
        <w:t>Cleonares</w:t>
      </w:r>
      <w:proofErr w:type="spellEnd"/>
      <w:r>
        <w:t xml:space="preserve"> Borbor, A. M., Vera Veloz, A. F., &amp; Armijos Moreta, J. F. (2024). Bruxismo y sus consecuencias. Revista Cubana de Investigaciones Biomédicas, 43. https://revibiomedica.sld.cu/index.php/ibi/article/view/3607</w:t>
      </w:r>
    </w:p>
    <w:p w14:paraId="7139CD0F" w14:textId="77777777" w:rsidR="00A248FB" w:rsidRDefault="00837EB2">
      <w:r>
        <w:t>del Río-Pedraza, C. (2022). La medicalización del malestar en la mujer. Una valoración crítica. Revista de la Asociación Española de Neuropsiquiatría, 42(141), 55-73. https://doi.org/10.4321/S0211-57352022000100004</w:t>
      </w:r>
    </w:p>
    <w:p w14:paraId="517CA805" w14:textId="77777777" w:rsidR="00A248FB" w:rsidRDefault="00837EB2">
      <w:r>
        <w:t>Hernández-Reyes, B., Díaz-Gómez, S. M., Lazo-</w:t>
      </w:r>
      <w:proofErr w:type="spellStart"/>
      <w:r>
        <w:t>Nodarse</w:t>
      </w:r>
      <w:proofErr w:type="spellEnd"/>
      <w:r>
        <w:t>, R., Puerto-Pérez, T. V., &amp; Reyes-Obediente, F. M. (2024). Caracterización clínica-epidemiológica del bruxismo en pacientes adultos. Archivo Médico de Camagüey, 28. https://revistaamc.sld.cu/index.php/amc/article/view/9967</w:t>
      </w:r>
    </w:p>
    <w:p w14:paraId="364698AA" w14:textId="77777777" w:rsidR="00A248FB" w:rsidRDefault="00837EB2">
      <w:r>
        <w:t>Herrero Solano, Y., Arias Molina, Y., &amp; Cabrera Hernández, Y. (2019). Vulnerabilidad y nivel de estrés en pacientes con bruxismo. Revista Cubana de Estomatología, 56(3). http://scielo.sld.cu/scielo.php?script=sci_arttext&amp;pid=S0034-75072019000300004&amp;lng=es</w:t>
      </w:r>
    </w:p>
    <w:p w14:paraId="4D5B8B39" w14:textId="77777777" w:rsidR="00A248FB" w:rsidRDefault="00837EB2">
      <w:proofErr w:type="spellStart"/>
      <w:r>
        <w:lastRenderedPageBreak/>
        <w:t>Hilgenberg-Sydney</w:t>
      </w:r>
      <w:proofErr w:type="spellEnd"/>
      <w:r>
        <w:t xml:space="preserve">, P. B., </w:t>
      </w:r>
      <w:proofErr w:type="spellStart"/>
      <w:r>
        <w:t>Lorenzon</w:t>
      </w:r>
      <w:proofErr w:type="spellEnd"/>
      <w:r>
        <w:t xml:space="preserve">, A. L., Pimentel, G., </w:t>
      </w:r>
      <w:proofErr w:type="spellStart"/>
      <w:r>
        <w:t>Petterle</w:t>
      </w:r>
      <w:proofErr w:type="spellEnd"/>
      <w:r>
        <w:t xml:space="preserve">, R. R., &amp; </w:t>
      </w:r>
      <w:proofErr w:type="spellStart"/>
      <w:r>
        <w:t>Bonotto</w:t>
      </w:r>
      <w:proofErr w:type="spellEnd"/>
      <w:r>
        <w:t xml:space="preserve">, D. (2022). Probable </w:t>
      </w:r>
      <w:proofErr w:type="spellStart"/>
      <w:r>
        <w:t>awake</w:t>
      </w:r>
      <w:proofErr w:type="spellEnd"/>
      <w:r>
        <w:t xml:space="preserve"> </w:t>
      </w:r>
      <w:proofErr w:type="spellStart"/>
      <w:r>
        <w:t>bruxism</w:t>
      </w:r>
      <w:proofErr w:type="spellEnd"/>
      <w:r>
        <w:t>—</w:t>
      </w:r>
      <w:proofErr w:type="spellStart"/>
      <w:r>
        <w:t>prevalence</w:t>
      </w:r>
      <w:proofErr w:type="spellEnd"/>
      <w:r>
        <w:t xml:space="preserve"> and </w:t>
      </w:r>
      <w:proofErr w:type="spellStart"/>
      <w:r>
        <w:t>associated</w:t>
      </w:r>
      <w:proofErr w:type="spellEnd"/>
      <w:r>
        <w:t xml:space="preserve"> </w:t>
      </w:r>
      <w:proofErr w:type="spellStart"/>
      <w:r>
        <w:t>factors</w:t>
      </w:r>
      <w:proofErr w:type="spellEnd"/>
      <w:r>
        <w:t xml:space="preserve">: A </w:t>
      </w:r>
      <w:proofErr w:type="spellStart"/>
      <w:r>
        <w:t>cross-sectional</w:t>
      </w:r>
      <w:proofErr w:type="spellEnd"/>
      <w:r>
        <w:t xml:space="preserve"> </w:t>
      </w:r>
      <w:proofErr w:type="spellStart"/>
      <w:r>
        <w:t>study</w:t>
      </w:r>
      <w:proofErr w:type="spellEnd"/>
      <w:r>
        <w:t xml:space="preserve">. Dental </w:t>
      </w:r>
      <w:proofErr w:type="spellStart"/>
      <w:r>
        <w:t>Press</w:t>
      </w:r>
      <w:proofErr w:type="spellEnd"/>
      <w:r>
        <w:t xml:space="preserve"> </w:t>
      </w:r>
      <w:proofErr w:type="spellStart"/>
      <w:r>
        <w:t>Journal</w:t>
      </w:r>
      <w:proofErr w:type="spellEnd"/>
      <w:r>
        <w:t xml:space="preserve"> </w:t>
      </w:r>
      <w:proofErr w:type="spellStart"/>
      <w:r>
        <w:t>of</w:t>
      </w:r>
      <w:proofErr w:type="spellEnd"/>
      <w:r>
        <w:t xml:space="preserve"> </w:t>
      </w:r>
      <w:proofErr w:type="spellStart"/>
      <w:r>
        <w:t>Orthodontics</w:t>
      </w:r>
      <w:proofErr w:type="spellEnd"/>
      <w:r>
        <w:t>, 27(4), e2220298. https://doi.org/10.1590/2177-6709.27.4.e2220298.oar</w:t>
      </w:r>
    </w:p>
    <w:p w14:paraId="4BF8DEE6" w14:textId="77777777" w:rsidR="00A248FB" w:rsidRDefault="00837EB2">
      <w:proofErr w:type="spellStart"/>
      <w:r>
        <w:t>Lobbezoo</w:t>
      </w:r>
      <w:proofErr w:type="spellEnd"/>
      <w:r>
        <w:t xml:space="preserve">, F., </w:t>
      </w:r>
      <w:proofErr w:type="spellStart"/>
      <w:r>
        <w:t>Ahlberg</w:t>
      </w:r>
      <w:proofErr w:type="spellEnd"/>
      <w:r>
        <w:t xml:space="preserve">, J., </w:t>
      </w:r>
      <w:proofErr w:type="spellStart"/>
      <w:r>
        <w:t>Glaros</w:t>
      </w:r>
      <w:proofErr w:type="spellEnd"/>
      <w:r>
        <w:t xml:space="preserve">, A. G., Kato, T., </w:t>
      </w:r>
      <w:proofErr w:type="spellStart"/>
      <w:r>
        <w:t>Koyano</w:t>
      </w:r>
      <w:proofErr w:type="spellEnd"/>
      <w:r>
        <w:t xml:space="preserve">, K., Lavigne, G. J., de </w:t>
      </w:r>
      <w:proofErr w:type="spellStart"/>
      <w:r>
        <w:t>Leeuw</w:t>
      </w:r>
      <w:proofErr w:type="spellEnd"/>
      <w:r>
        <w:t xml:space="preserve">, R., </w:t>
      </w:r>
      <w:proofErr w:type="spellStart"/>
      <w:r>
        <w:t>Manfredini</w:t>
      </w:r>
      <w:proofErr w:type="spellEnd"/>
      <w:r>
        <w:t xml:space="preserve">, D., </w:t>
      </w:r>
      <w:proofErr w:type="spellStart"/>
      <w:r>
        <w:t>Svensson</w:t>
      </w:r>
      <w:proofErr w:type="spellEnd"/>
      <w:r>
        <w:t xml:space="preserve">, P., &amp; </w:t>
      </w:r>
      <w:proofErr w:type="spellStart"/>
      <w:r>
        <w:t>Winocur</w:t>
      </w:r>
      <w:proofErr w:type="spellEnd"/>
      <w:r>
        <w:t xml:space="preserve">, E. (2013). </w:t>
      </w:r>
      <w:proofErr w:type="spellStart"/>
      <w:r>
        <w:t>Bruxism</w:t>
      </w:r>
      <w:proofErr w:type="spellEnd"/>
      <w:r>
        <w:t xml:space="preserve"> </w:t>
      </w:r>
      <w:proofErr w:type="spellStart"/>
      <w:r>
        <w:t>defined</w:t>
      </w:r>
      <w:proofErr w:type="spellEnd"/>
      <w:r>
        <w:t xml:space="preserve"> and </w:t>
      </w:r>
      <w:proofErr w:type="spellStart"/>
      <w:r>
        <w:t>graded</w:t>
      </w:r>
      <w:proofErr w:type="spellEnd"/>
      <w:r>
        <w:t xml:space="preserve">: </w:t>
      </w:r>
      <w:proofErr w:type="spellStart"/>
      <w:r>
        <w:t>An</w:t>
      </w:r>
      <w:proofErr w:type="spellEnd"/>
      <w:r>
        <w:t xml:space="preserve"> </w:t>
      </w:r>
      <w:proofErr w:type="spellStart"/>
      <w:r>
        <w:t>international</w:t>
      </w:r>
      <w:proofErr w:type="spellEnd"/>
      <w:r>
        <w:t xml:space="preserve"> </w:t>
      </w:r>
      <w:proofErr w:type="spellStart"/>
      <w:r>
        <w:t>consensus</w:t>
      </w:r>
      <w:proofErr w:type="spellEnd"/>
      <w:r>
        <w:t xml:space="preserve">. </w:t>
      </w:r>
      <w:proofErr w:type="spellStart"/>
      <w:r>
        <w:t>Journal</w:t>
      </w:r>
      <w:proofErr w:type="spellEnd"/>
      <w:r>
        <w:t xml:space="preserve"> of Oral </w:t>
      </w:r>
      <w:proofErr w:type="spellStart"/>
      <w:r>
        <w:t>Rehabilitation</w:t>
      </w:r>
      <w:proofErr w:type="spellEnd"/>
      <w:r>
        <w:t>, 40(1), 2-4. https://doi.org/10.1111/joor.12011</w:t>
      </w:r>
    </w:p>
    <w:p w14:paraId="258C0B8D" w14:textId="77777777" w:rsidR="00A248FB" w:rsidRDefault="00837EB2">
      <w:proofErr w:type="spellStart"/>
      <w:r>
        <w:t>Lobbezoo</w:t>
      </w:r>
      <w:proofErr w:type="spellEnd"/>
      <w:r>
        <w:t xml:space="preserve">, F., </w:t>
      </w:r>
      <w:proofErr w:type="spellStart"/>
      <w:r>
        <w:t>Ahlberg</w:t>
      </w:r>
      <w:proofErr w:type="spellEnd"/>
      <w:r>
        <w:t xml:space="preserve">, J., Raphael, K. G., </w:t>
      </w:r>
      <w:proofErr w:type="spellStart"/>
      <w:r>
        <w:t>Wetselaar</w:t>
      </w:r>
      <w:proofErr w:type="spellEnd"/>
      <w:r>
        <w:t xml:space="preserve">, P., </w:t>
      </w:r>
      <w:proofErr w:type="spellStart"/>
      <w:r>
        <w:t>Glaros</w:t>
      </w:r>
      <w:proofErr w:type="spellEnd"/>
      <w:r>
        <w:t xml:space="preserve">, A. G., Kato, T., et al. (2018). International </w:t>
      </w:r>
      <w:proofErr w:type="spellStart"/>
      <w:r>
        <w:t>consensus</w:t>
      </w:r>
      <w:proofErr w:type="spellEnd"/>
      <w:r>
        <w:t xml:space="preserve"> </w:t>
      </w:r>
      <w:proofErr w:type="spellStart"/>
      <w:r>
        <w:t>on</w:t>
      </w:r>
      <w:proofErr w:type="spellEnd"/>
      <w:r>
        <w:t xml:space="preserve"> </w:t>
      </w:r>
      <w:proofErr w:type="spellStart"/>
      <w:r>
        <w:t>the</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bruxism</w:t>
      </w:r>
      <w:proofErr w:type="spellEnd"/>
      <w:r>
        <w:t xml:space="preserve">: </w:t>
      </w:r>
      <w:proofErr w:type="spellStart"/>
      <w:r>
        <w:t>Report</w:t>
      </w:r>
      <w:proofErr w:type="spellEnd"/>
      <w:r>
        <w:t xml:space="preserve"> </w:t>
      </w:r>
      <w:proofErr w:type="spellStart"/>
      <w:r>
        <w:t>of</w:t>
      </w:r>
      <w:proofErr w:type="spellEnd"/>
      <w:r>
        <w:t xml:space="preserve"> a </w:t>
      </w:r>
      <w:proofErr w:type="spellStart"/>
      <w:r>
        <w:t>work</w:t>
      </w:r>
      <w:proofErr w:type="spellEnd"/>
      <w:r>
        <w:t xml:space="preserve"> in </w:t>
      </w:r>
      <w:proofErr w:type="spellStart"/>
      <w:r>
        <w:t>progress</w:t>
      </w:r>
      <w:proofErr w:type="spellEnd"/>
      <w:r>
        <w:t xml:space="preserve">. </w:t>
      </w:r>
      <w:proofErr w:type="spellStart"/>
      <w:r>
        <w:t>Journal</w:t>
      </w:r>
      <w:proofErr w:type="spellEnd"/>
      <w:r>
        <w:t xml:space="preserve"> of Oral </w:t>
      </w:r>
      <w:proofErr w:type="spellStart"/>
      <w:r>
        <w:t>Rehabilitation</w:t>
      </w:r>
      <w:proofErr w:type="spellEnd"/>
      <w:r>
        <w:t>, 45(11), 837-844. https://doi.org/10.1111/joor.12663</w:t>
      </w:r>
    </w:p>
    <w:p w14:paraId="08A3EC94" w14:textId="77777777" w:rsidR="00A248FB" w:rsidRDefault="00837EB2">
      <w:proofErr w:type="spellStart"/>
      <w:r>
        <w:t>Lobbezoo</w:t>
      </w:r>
      <w:proofErr w:type="spellEnd"/>
      <w:r>
        <w:t xml:space="preserve">, F., &amp; </w:t>
      </w:r>
      <w:proofErr w:type="spellStart"/>
      <w:r>
        <w:t>Naeije</w:t>
      </w:r>
      <w:proofErr w:type="spellEnd"/>
      <w:r>
        <w:t xml:space="preserve">, M. (2001). </w:t>
      </w:r>
      <w:proofErr w:type="spellStart"/>
      <w:r>
        <w:t>Bruxism</w:t>
      </w:r>
      <w:proofErr w:type="spellEnd"/>
      <w:r>
        <w:t xml:space="preserve"> </w:t>
      </w:r>
      <w:proofErr w:type="spellStart"/>
      <w:r>
        <w:t>is</w:t>
      </w:r>
      <w:proofErr w:type="spellEnd"/>
      <w:r>
        <w:t xml:space="preserve"> </w:t>
      </w:r>
      <w:proofErr w:type="spellStart"/>
      <w:r>
        <w:t>mainly</w:t>
      </w:r>
      <w:proofErr w:type="spellEnd"/>
      <w:r>
        <w:t xml:space="preserve"> </w:t>
      </w:r>
      <w:proofErr w:type="spellStart"/>
      <w:r>
        <w:t>regulated</w:t>
      </w:r>
      <w:proofErr w:type="spellEnd"/>
      <w:r>
        <w:t xml:space="preserve"> </w:t>
      </w:r>
      <w:proofErr w:type="spellStart"/>
      <w:r>
        <w:t>centrally</w:t>
      </w:r>
      <w:proofErr w:type="spellEnd"/>
      <w:r>
        <w:t xml:space="preserve">, </w:t>
      </w:r>
      <w:proofErr w:type="spellStart"/>
      <w:r>
        <w:t>not</w:t>
      </w:r>
      <w:proofErr w:type="spellEnd"/>
      <w:r>
        <w:t xml:space="preserve"> </w:t>
      </w:r>
      <w:proofErr w:type="spellStart"/>
      <w:r>
        <w:t>peripherally</w:t>
      </w:r>
      <w:proofErr w:type="spellEnd"/>
      <w:r>
        <w:t xml:space="preserve">. </w:t>
      </w:r>
      <w:proofErr w:type="spellStart"/>
      <w:r>
        <w:t>Journal</w:t>
      </w:r>
      <w:proofErr w:type="spellEnd"/>
      <w:r>
        <w:t xml:space="preserve"> of Oral </w:t>
      </w:r>
      <w:proofErr w:type="spellStart"/>
      <w:r>
        <w:t>Rehabilitation</w:t>
      </w:r>
      <w:proofErr w:type="spellEnd"/>
      <w:r>
        <w:t>, 28(12), 1085-1091. https://doi.org/10.1046/j.1365-2842.2001.00839.x</w:t>
      </w:r>
    </w:p>
    <w:p w14:paraId="13B7A0C4" w14:textId="77777777" w:rsidR="00A248FB" w:rsidRDefault="00837EB2">
      <w:r>
        <w:t xml:space="preserve">Macedo, C. R., Macedo, E. C., </w:t>
      </w:r>
      <w:proofErr w:type="spellStart"/>
      <w:r>
        <w:t>Torloni</w:t>
      </w:r>
      <w:proofErr w:type="spellEnd"/>
      <w:r>
        <w:t xml:space="preserve">, M. R., Silva, A. B., &amp; Prado, G. F. (2014). Farmacoterapia para el bruxismo del sueño. Cochrane </w:t>
      </w:r>
      <w:proofErr w:type="spellStart"/>
      <w:r>
        <w:t>Database</w:t>
      </w:r>
      <w:proofErr w:type="spellEnd"/>
      <w:r>
        <w:t xml:space="preserve"> </w:t>
      </w:r>
      <w:proofErr w:type="spellStart"/>
      <w:r>
        <w:t>of</w:t>
      </w:r>
      <w:proofErr w:type="spellEnd"/>
      <w:r>
        <w:t xml:space="preserve"> </w:t>
      </w:r>
      <w:proofErr w:type="spellStart"/>
      <w:r>
        <w:t>Systematic</w:t>
      </w:r>
      <w:proofErr w:type="spellEnd"/>
      <w:r>
        <w:t xml:space="preserve"> </w:t>
      </w:r>
      <w:proofErr w:type="spellStart"/>
      <w:r>
        <w:t>Reviews</w:t>
      </w:r>
      <w:proofErr w:type="spellEnd"/>
      <w:r>
        <w:t>, 2014(10), CD005578. https://doi.org/10.1002/14651858.CD005578.pub2</w:t>
      </w:r>
    </w:p>
    <w:p w14:paraId="069F3F1F" w14:textId="77777777" w:rsidR="00A248FB" w:rsidRDefault="00837EB2">
      <w:proofErr w:type="spellStart"/>
      <w:r>
        <w:t>Matusz</w:t>
      </w:r>
      <w:proofErr w:type="spellEnd"/>
      <w:r>
        <w:t xml:space="preserve">, K., </w:t>
      </w:r>
      <w:proofErr w:type="spellStart"/>
      <w:r>
        <w:t>Maciejewska-Szaniec</w:t>
      </w:r>
      <w:proofErr w:type="spellEnd"/>
      <w:r>
        <w:t xml:space="preserve">, Z., </w:t>
      </w:r>
      <w:proofErr w:type="spellStart"/>
      <w:r>
        <w:t>Gredes</w:t>
      </w:r>
      <w:proofErr w:type="spellEnd"/>
      <w:r>
        <w:t xml:space="preserve">, T., </w:t>
      </w:r>
      <w:proofErr w:type="spellStart"/>
      <w:r>
        <w:t>Pobudek-Radzikowska</w:t>
      </w:r>
      <w:proofErr w:type="spellEnd"/>
      <w:r>
        <w:t xml:space="preserve">, M., </w:t>
      </w:r>
      <w:proofErr w:type="spellStart"/>
      <w:r>
        <w:t>Glapiński</w:t>
      </w:r>
      <w:proofErr w:type="spellEnd"/>
      <w:r>
        <w:t xml:space="preserve">, M., </w:t>
      </w:r>
      <w:proofErr w:type="spellStart"/>
      <w:r>
        <w:t>Górna</w:t>
      </w:r>
      <w:proofErr w:type="spellEnd"/>
      <w:r>
        <w:t xml:space="preserve">, N., et al. (2022). </w:t>
      </w:r>
      <w:proofErr w:type="spellStart"/>
      <w:r>
        <w:t>Common</w:t>
      </w:r>
      <w:proofErr w:type="spellEnd"/>
      <w:r>
        <w:t xml:space="preserve"> </w:t>
      </w:r>
      <w:proofErr w:type="spellStart"/>
      <w:r>
        <w:t>therapeutic</w:t>
      </w:r>
      <w:proofErr w:type="spellEnd"/>
      <w:r>
        <w:t xml:space="preserve"> </w:t>
      </w:r>
      <w:proofErr w:type="spellStart"/>
      <w:r>
        <w:t>approaches</w:t>
      </w:r>
      <w:proofErr w:type="spellEnd"/>
      <w:r>
        <w:t xml:space="preserve"> in </w:t>
      </w:r>
      <w:proofErr w:type="spellStart"/>
      <w:r>
        <w:t>sleep</w:t>
      </w:r>
      <w:proofErr w:type="spellEnd"/>
      <w:r>
        <w:t xml:space="preserve"> and </w:t>
      </w:r>
      <w:proofErr w:type="spellStart"/>
      <w:r>
        <w:t>awake</w:t>
      </w:r>
      <w:proofErr w:type="spellEnd"/>
      <w:r>
        <w:t xml:space="preserve"> </w:t>
      </w:r>
      <w:proofErr w:type="spellStart"/>
      <w:r>
        <w:t>bruxism</w:t>
      </w:r>
      <w:proofErr w:type="spellEnd"/>
      <w:r>
        <w:t>—</w:t>
      </w:r>
      <w:proofErr w:type="spellStart"/>
      <w:r>
        <w:t>an</w:t>
      </w:r>
      <w:proofErr w:type="spellEnd"/>
      <w:r>
        <w:t xml:space="preserve"> </w:t>
      </w:r>
      <w:proofErr w:type="spellStart"/>
      <w:r>
        <w:t>overview</w:t>
      </w:r>
      <w:proofErr w:type="spellEnd"/>
      <w:r>
        <w:t xml:space="preserve">. </w:t>
      </w:r>
      <w:proofErr w:type="spellStart"/>
      <w:r>
        <w:t>Neurologia</w:t>
      </w:r>
      <w:proofErr w:type="spellEnd"/>
      <w:r>
        <w:t xml:space="preserve"> i </w:t>
      </w:r>
      <w:proofErr w:type="spellStart"/>
      <w:r>
        <w:t>Neurochirurgia</w:t>
      </w:r>
      <w:proofErr w:type="spellEnd"/>
      <w:r>
        <w:t xml:space="preserve"> </w:t>
      </w:r>
      <w:proofErr w:type="spellStart"/>
      <w:r>
        <w:t>Polska</w:t>
      </w:r>
      <w:proofErr w:type="spellEnd"/>
      <w:r>
        <w:t>, 56(6), 455-463. https://journals.viamedica.pl/neurologia_neurochirurgia_polska/article/view/90495</w:t>
      </w:r>
    </w:p>
    <w:p w14:paraId="2645396B" w14:textId="77777777" w:rsidR="00A248FB" w:rsidRDefault="00837EB2">
      <w:r>
        <w:t xml:space="preserve">Murillo, N. A. E., &amp; </w:t>
      </w:r>
      <w:proofErr w:type="spellStart"/>
      <w:r>
        <w:t>Chiyong</w:t>
      </w:r>
      <w:proofErr w:type="spellEnd"/>
      <w:r>
        <w:t xml:space="preserve">, T. A. E. (2019). </w:t>
      </w:r>
      <w:proofErr w:type="spellStart"/>
      <w:r>
        <w:t>Psychoemotional</w:t>
      </w:r>
      <w:proofErr w:type="spellEnd"/>
      <w:r>
        <w:t xml:space="preserve"> </w:t>
      </w:r>
      <w:proofErr w:type="spellStart"/>
      <w:r>
        <w:t>states</w:t>
      </w:r>
      <w:proofErr w:type="spellEnd"/>
      <w:r>
        <w:t xml:space="preserve"> and </w:t>
      </w:r>
      <w:proofErr w:type="spellStart"/>
      <w:r>
        <w:t>the</w:t>
      </w:r>
      <w:proofErr w:type="spellEnd"/>
      <w:r>
        <w:t xml:space="preserve"> </w:t>
      </w:r>
      <w:proofErr w:type="spellStart"/>
      <w:r>
        <w:t>presence</w:t>
      </w:r>
      <w:proofErr w:type="spellEnd"/>
      <w:r>
        <w:t xml:space="preserve"> </w:t>
      </w:r>
      <w:proofErr w:type="spellStart"/>
      <w:r>
        <w:t>of</w:t>
      </w:r>
      <w:proofErr w:type="spellEnd"/>
      <w:r>
        <w:t xml:space="preserve"> </w:t>
      </w:r>
      <w:proofErr w:type="spellStart"/>
      <w:r>
        <w:t>bruxism</w:t>
      </w:r>
      <w:proofErr w:type="spellEnd"/>
      <w:r>
        <w:t xml:space="preserve"> in Peruvian dental </w:t>
      </w:r>
      <w:proofErr w:type="spellStart"/>
      <w:r>
        <w:t>students</w:t>
      </w:r>
      <w:proofErr w:type="spellEnd"/>
      <w:r>
        <w:t xml:space="preserve">. </w:t>
      </w:r>
      <w:proofErr w:type="spellStart"/>
      <w:r>
        <w:t>Odovtos</w:t>
      </w:r>
      <w:proofErr w:type="spellEnd"/>
      <w:r>
        <w:t xml:space="preserve"> - International </w:t>
      </w:r>
      <w:proofErr w:type="spellStart"/>
      <w:r>
        <w:t>Journal</w:t>
      </w:r>
      <w:proofErr w:type="spellEnd"/>
      <w:r>
        <w:t xml:space="preserve"> </w:t>
      </w:r>
      <w:proofErr w:type="spellStart"/>
      <w:r>
        <w:t>of</w:t>
      </w:r>
      <w:proofErr w:type="spellEnd"/>
      <w:r>
        <w:t xml:space="preserve"> Dental </w:t>
      </w:r>
      <w:proofErr w:type="spellStart"/>
      <w:r>
        <w:t>Sciences</w:t>
      </w:r>
      <w:proofErr w:type="spellEnd"/>
      <w:r>
        <w:t>, 21(3), 111-117. https://www.scielo.sa.cr/scielo.php?pid=S2215-34112019000300111&amp;script=sci_abstract</w:t>
      </w:r>
    </w:p>
    <w:p w14:paraId="48B87757" w14:textId="77777777" w:rsidR="00A248FB" w:rsidRDefault="00837EB2">
      <w:r>
        <w:t xml:space="preserve">Rodríguez Betancourt, M. C., Yero-Mier, I. M., Fernández Rodríguez, C. A., Acosta Cabezas, M., de Castro Yero, J. L., &amp; Fábregas Tejeda, J. R. (2022). Grado de afectación del bruxismo y estado de ansiedad </w:t>
      </w:r>
      <w:r>
        <w:lastRenderedPageBreak/>
        <w:t>durante la pandemia de la COVID-19. Gaceta Médica Espirituana, 24(2). http://scielo.sld.cu/scielo.php?script=sci_arttext&amp;pid=S1608-89212022000200006&amp;lng=es</w:t>
      </w:r>
    </w:p>
    <w:p w14:paraId="67C72AA8" w14:textId="77777777" w:rsidR="00A248FB" w:rsidRDefault="00837EB2">
      <w:proofErr w:type="spellStart"/>
      <w:r>
        <w:t>Sarrazola</w:t>
      </w:r>
      <w:proofErr w:type="spellEnd"/>
      <w:r>
        <w:t xml:space="preserve">-Moncada, A. M., Murillo-Moreno, V., Carballo-Castaño, M. S., Córdoba-Muñoz, V., Vargas, D. M. G., &amp; Fernández, D. M. (2023). Calidad de vida relacionada con la salud bucal y factores asociados en pacientes con bruxismo. RGO - Revista Gaúcha de </w:t>
      </w:r>
      <w:proofErr w:type="spellStart"/>
      <w:r>
        <w:t>Odontologia</w:t>
      </w:r>
      <w:proofErr w:type="spellEnd"/>
      <w:r>
        <w:t>, 71, e20230044. https://doi.org/10.1590/1981-86372023004420210047</w:t>
      </w:r>
    </w:p>
    <w:p w14:paraId="5EBC5801" w14:textId="77777777" w:rsidR="00A248FB" w:rsidRDefault="00837EB2">
      <w:proofErr w:type="spellStart"/>
      <w:r>
        <w:t>Sierwald</w:t>
      </w:r>
      <w:proofErr w:type="spellEnd"/>
      <w:r>
        <w:t xml:space="preserve">, I., John, M. T., </w:t>
      </w:r>
      <w:proofErr w:type="spellStart"/>
      <w:r>
        <w:t>Schierz</w:t>
      </w:r>
      <w:proofErr w:type="spellEnd"/>
      <w:r>
        <w:t xml:space="preserve">, O., Hirsch, C., </w:t>
      </w:r>
      <w:proofErr w:type="spellStart"/>
      <w:r>
        <w:t>Sagheri</w:t>
      </w:r>
      <w:proofErr w:type="spellEnd"/>
      <w:r>
        <w:t xml:space="preserve">, D., </w:t>
      </w:r>
      <w:proofErr w:type="spellStart"/>
      <w:r>
        <w:t>Jost-Brinkmann</w:t>
      </w:r>
      <w:proofErr w:type="spellEnd"/>
      <w:r>
        <w:t xml:space="preserve">, P. G., &amp; </w:t>
      </w:r>
      <w:proofErr w:type="spellStart"/>
      <w:r>
        <w:t>Reissmann</w:t>
      </w:r>
      <w:proofErr w:type="spellEnd"/>
      <w:r>
        <w:t xml:space="preserve">, D. R. (2015). </w:t>
      </w:r>
      <w:proofErr w:type="spellStart"/>
      <w:r>
        <w:t>Association</w:t>
      </w:r>
      <w:proofErr w:type="spellEnd"/>
      <w:r>
        <w:t xml:space="preserve"> </w:t>
      </w:r>
      <w:proofErr w:type="spellStart"/>
      <w:r>
        <w:t>of</w:t>
      </w:r>
      <w:proofErr w:type="spellEnd"/>
      <w:r>
        <w:t xml:space="preserve"> temporomandibular </w:t>
      </w:r>
      <w:proofErr w:type="spellStart"/>
      <w:r>
        <w:t>disorder</w:t>
      </w:r>
      <w:proofErr w:type="spellEnd"/>
      <w:r>
        <w:t xml:space="preserve"> </w:t>
      </w:r>
      <w:proofErr w:type="spellStart"/>
      <w:r>
        <w:t>pain</w:t>
      </w:r>
      <w:proofErr w:type="spellEnd"/>
      <w:r>
        <w:t xml:space="preserve"> </w:t>
      </w:r>
      <w:proofErr w:type="spellStart"/>
      <w:r>
        <w:t>with</w:t>
      </w:r>
      <w:proofErr w:type="spellEnd"/>
      <w:r>
        <w:t xml:space="preserve"> </w:t>
      </w:r>
      <w:proofErr w:type="spellStart"/>
      <w:r>
        <w:t>awake</w:t>
      </w:r>
      <w:proofErr w:type="spellEnd"/>
      <w:r>
        <w:t xml:space="preserve"> and </w:t>
      </w:r>
      <w:proofErr w:type="spellStart"/>
      <w:r>
        <w:t>sleep</w:t>
      </w:r>
      <w:proofErr w:type="spellEnd"/>
      <w:r>
        <w:t xml:space="preserve"> </w:t>
      </w:r>
      <w:proofErr w:type="spellStart"/>
      <w:r>
        <w:t>bruxism</w:t>
      </w:r>
      <w:proofErr w:type="spellEnd"/>
      <w:r>
        <w:t xml:space="preserve"> in </w:t>
      </w:r>
      <w:proofErr w:type="spellStart"/>
      <w:r>
        <w:t>adults</w:t>
      </w:r>
      <w:proofErr w:type="spellEnd"/>
      <w:r>
        <w:t xml:space="preserve">. </w:t>
      </w:r>
      <w:proofErr w:type="spellStart"/>
      <w:r>
        <w:t>Journal</w:t>
      </w:r>
      <w:proofErr w:type="spellEnd"/>
      <w:r>
        <w:t xml:space="preserve"> of Orofacial </w:t>
      </w:r>
      <w:proofErr w:type="spellStart"/>
      <w:r>
        <w:t>Orthopedics</w:t>
      </w:r>
      <w:proofErr w:type="spellEnd"/>
      <w:r>
        <w:t>, 76(4), 305-317. https://doi.org/10.1007/s00056-015-0293-5</w:t>
      </w:r>
    </w:p>
    <w:p w14:paraId="7A890A8E" w14:textId="77777777" w:rsidR="00A248FB" w:rsidRDefault="00837EB2">
      <w:r>
        <w:t>Silva Contreras, A. M. (2015). Bruxismo: su comportamiento en un área de salud. Revista de Ciencias Médicas de Pinar del Río, 19(1), 56-65. http://scielo.sld.cu/scielo.php?script=sci_arttext&amp;pid=S1561-31942015000100009&amp;lng=es</w:t>
      </w:r>
    </w:p>
    <w:p w14:paraId="7666F4E0" w14:textId="77777777" w:rsidR="00A248FB" w:rsidRDefault="00837EB2">
      <w:proofErr w:type="spellStart"/>
      <w:r>
        <w:t>Stefanelli</w:t>
      </w:r>
      <w:proofErr w:type="spellEnd"/>
      <w:r>
        <w:t xml:space="preserve">, M. L., Meléndez </w:t>
      </w:r>
      <w:proofErr w:type="spellStart"/>
      <w:r>
        <w:t>Gallardo</w:t>
      </w:r>
      <w:proofErr w:type="spellEnd"/>
      <w:r>
        <w:t xml:space="preserve">, J., </w:t>
      </w:r>
      <w:proofErr w:type="spellStart"/>
      <w:r>
        <w:t>Kreiner</w:t>
      </w:r>
      <w:proofErr w:type="spellEnd"/>
      <w:r>
        <w:t xml:space="preserve">, F. M., Fernández Rey, L. I., </w:t>
      </w:r>
      <w:proofErr w:type="spellStart"/>
      <w:r>
        <w:t>Scarrone</w:t>
      </w:r>
      <w:proofErr w:type="spellEnd"/>
      <w:r>
        <w:t xml:space="preserve"> </w:t>
      </w:r>
      <w:proofErr w:type="spellStart"/>
      <w:r>
        <w:t>Pessano</w:t>
      </w:r>
      <w:proofErr w:type="spellEnd"/>
      <w:r>
        <w:t xml:space="preserve">, D. L., &amp; </w:t>
      </w:r>
      <w:proofErr w:type="spellStart"/>
      <w:r>
        <w:t>Bentancort</w:t>
      </w:r>
      <w:proofErr w:type="spellEnd"/>
      <w:r>
        <w:t xml:space="preserve">, S. (2022). Bruxismo de la vigilia por </w:t>
      </w:r>
      <w:proofErr w:type="spellStart"/>
      <w:r>
        <w:t>autoreporte</w:t>
      </w:r>
      <w:proofErr w:type="spellEnd"/>
      <w:r>
        <w:t xml:space="preserve"> y factores asociados en estudiantes universitarios de educación física. </w:t>
      </w:r>
      <w:proofErr w:type="spellStart"/>
      <w:r>
        <w:t>Odontoestomatología</w:t>
      </w:r>
      <w:proofErr w:type="spellEnd"/>
      <w:r>
        <w:t>, 24(40), e227. https://doi.org/10.22592/ode2022n40e227</w:t>
      </w:r>
    </w:p>
    <w:p w14:paraId="66CD28FD" w14:textId="77777777" w:rsidR="00A248FB" w:rsidRDefault="00837EB2">
      <w:proofErr w:type="spellStart"/>
      <w:r>
        <w:t>Trupman</w:t>
      </w:r>
      <w:proofErr w:type="spellEnd"/>
      <w:r>
        <w:t xml:space="preserve"> Hernández, Y., González </w:t>
      </w:r>
      <w:proofErr w:type="spellStart"/>
      <w:r>
        <w:t>Esplanger</w:t>
      </w:r>
      <w:proofErr w:type="spellEnd"/>
      <w:r>
        <w:t xml:space="preserve">, L., &amp; Cobas </w:t>
      </w:r>
      <w:proofErr w:type="spellStart"/>
      <w:r>
        <w:t>Pérz</w:t>
      </w:r>
      <w:proofErr w:type="spellEnd"/>
      <w:r>
        <w:t>, N. (2023). Bruxismo: un problema de salud creciente con impacto social. 1er Congreso Internacional de Odontología, Santiago de Cuba, Cuba. https://odontologiagranma.sld.cu/index.php/odontogran/2023/paper/view/31</w:t>
      </w:r>
    </w:p>
    <w:p w14:paraId="67AA563D" w14:textId="77777777" w:rsidR="00A248FB" w:rsidRDefault="00837EB2">
      <w:r>
        <w:t>UDEM. (2023). Bruxismo, un efecto de la pandemia. Universidad de Monterrey. https://www.udem.edu.mx/es/ciencias-de-la-salud/noticia/bruxismo-un-efecto-de-la-pandemia</w:t>
      </w:r>
    </w:p>
    <w:p w14:paraId="0CBB4452" w14:textId="77777777" w:rsidR="00A248FB" w:rsidRDefault="00837EB2">
      <w:proofErr w:type="spellStart"/>
      <w:r>
        <w:lastRenderedPageBreak/>
        <w:t>Wieckiewicz</w:t>
      </w:r>
      <w:proofErr w:type="spellEnd"/>
      <w:r>
        <w:t xml:space="preserve">, M., </w:t>
      </w:r>
      <w:proofErr w:type="spellStart"/>
      <w:r>
        <w:t>Paradowska-Stolarz</w:t>
      </w:r>
      <w:proofErr w:type="spellEnd"/>
      <w:r>
        <w:t xml:space="preserve">, A., &amp; </w:t>
      </w:r>
      <w:proofErr w:type="spellStart"/>
      <w:r>
        <w:t>Wieckiewicz</w:t>
      </w:r>
      <w:proofErr w:type="spellEnd"/>
      <w:r>
        <w:t xml:space="preserve">, W. (2014). </w:t>
      </w:r>
      <w:proofErr w:type="spellStart"/>
      <w:r>
        <w:t>Psychosocial</w:t>
      </w:r>
      <w:proofErr w:type="spellEnd"/>
      <w:r>
        <w:t xml:space="preserve"> </w:t>
      </w:r>
      <w:proofErr w:type="spellStart"/>
      <w:r>
        <w:t>aspects</w:t>
      </w:r>
      <w:proofErr w:type="spellEnd"/>
      <w:r>
        <w:t xml:space="preserve"> </w:t>
      </w:r>
      <w:proofErr w:type="spellStart"/>
      <w:r>
        <w:t>of</w:t>
      </w:r>
      <w:proofErr w:type="spellEnd"/>
      <w:r>
        <w:t xml:space="preserve"> </w:t>
      </w:r>
      <w:proofErr w:type="spellStart"/>
      <w:r>
        <w:t>bruxism</w:t>
      </w:r>
      <w:proofErr w:type="spellEnd"/>
      <w:r>
        <w:t xml:space="preserve">: </w:t>
      </w:r>
      <w:proofErr w:type="spellStart"/>
      <w:r>
        <w:t>The</w:t>
      </w:r>
      <w:proofErr w:type="spellEnd"/>
      <w:r>
        <w:t xml:space="preserve"> </w:t>
      </w:r>
      <w:proofErr w:type="spellStart"/>
      <w:r>
        <w:t>most</w:t>
      </w:r>
      <w:proofErr w:type="spellEnd"/>
      <w:r>
        <w:t xml:space="preserve"> </w:t>
      </w:r>
      <w:proofErr w:type="spellStart"/>
      <w:r>
        <w:t>paramount</w:t>
      </w:r>
      <w:proofErr w:type="spellEnd"/>
      <w:r>
        <w:t xml:space="preserve"> factor </w:t>
      </w:r>
      <w:proofErr w:type="spellStart"/>
      <w:r>
        <w:t>influencing</w:t>
      </w:r>
      <w:proofErr w:type="spellEnd"/>
      <w:r>
        <w:t xml:space="preserve"> </w:t>
      </w:r>
      <w:proofErr w:type="spellStart"/>
      <w:r>
        <w:t>teeth</w:t>
      </w:r>
      <w:proofErr w:type="spellEnd"/>
      <w:r>
        <w:t xml:space="preserve"> </w:t>
      </w:r>
      <w:proofErr w:type="spellStart"/>
      <w:r>
        <w:t>grinding</w:t>
      </w:r>
      <w:proofErr w:type="spellEnd"/>
      <w:r>
        <w:t xml:space="preserve">. </w:t>
      </w:r>
      <w:proofErr w:type="spellStart"/>
      <w:r>
        <w:t>BioMed</w:t>
      </w:r>
      <w:proofErr w:type="spellEnd"/>
      <w:r>
        <w:t xml:space="preserve"> </w:t>
      </w:r>
      <w:proofErr w:type="spellStart"/>
      <w:r>
        <w:t>Research</w:t>
      </w:r>
      <w:proofErr w:type="spellEnd"/>
      <w:r>
        <w:t xml:space="preserve"> International, 2014, 469187. https://doi.org/10.1155/2014/469187</w:t>
      </w:r>
    </w:p>
    <w:p w14:paraId="0738AF52" w14:textId="77777777" w:rsidR="00A248FB" w:rsidRDefault="00837EB2">
      <w:proofErr w:type="spellStart"/>
      <w:r>
        <w:t>Zieliński</w:t>
      </w:r>
      <w:proofErr w:type="spellEnd"/>
      <w:r>
        <w:t xml:space="preserve">, G., </w:t>
      </w:r>
      <w:proofErr w:type="spellStart"/>
      <w:r>
        <w:t>Pająk</w:t>
      </w:r>
      <w:proofErr w:type="spellEnd"/>
      <w:r>
        <w:t xml:space="preserve">, A., &amp; </w:t>
      </w:r>
      <w:proofErr w:type="spellStart"/>
      <w:r>
        <w:t>Wójcicki</w:t>
      </w:r>
      <w:proofErr w:type="spellEnd"/>
      <w:r>
        <w:t xml:space="preserve">, M. (2024). Global </w:t>
      </w:r>
      <w:proofErr w:type="spellStart"/>
      <w:r>
        <w:t>prevalence</w:t>
      </w:r>
      <w:proofErr w:type="spellEnd"/>
      <w:r>
        <w:t xml:space="preserve"> </w:t>
      </w:r>
      <w:proofErr w:type="spellStart"/>
      <w:r>
        <w:t>of</w:t>
      </w:r>
      <w:proofErr w:type="spellEnd"/>
      <w:r>
        <w:t xml:space="preserve"> </w:t>
      </w:r>
      <w:proofErr w:type="spellStart"/>
      <w:r>
        <w:t>sleep</w:t>
      </w:r>
      <w:proofErr w:type="spellEnd"/>
      <w:r>
        <w:t xml:space="preserve"> </w:t>
      </w:r>
      <w:proofErr w:type="spellStart"/>
      <w:r>
        <w:t>bruxism</w:t>
      </w:r>
      <w:proofErr w:type="spellEnd"/>
      <w:r>
        <w:t xml:space="preserve"> and </w:t>
      </w:r>
      <w:proofErr w:type="spellStart"/>
      <w:r>
        <w:t>awake</w:t>
      </w:r>
      <w:proofErr w:type="spellEnd"/>
      <w:r>
        <w:t xml:space="preserve"> </w:t>
      </w:r>
      <w:proofErr w:type="spellStart"/>
      <w:r>
        <w:t>bruxism</w:t>
      </w:r>
      <w:proofErr w:type="spellEnd"/>
      <w:r>
        <w:t xml:space="preserve"> in </w:t>
      </w:r>
      <w:proofErr w:type="spellStart"/>
      <w:r>
        <w:t>pediatric</w:t>
      </w:r>
      <w:proofErr w:type="spellEnd"/>
      <w:r>
        <w:t xml:space="preserve"> and </w:t>
      </w:r>
      <w:proofErr w:type="spellStart"/>
      <w:r>
        <w:t>adult</w:t>
      </w:r>
      <w:proofErr w:type="spellEnd"/>
      <w:r>
        <w:t xml:space="preserve"> </w:t>
      </w:r>
      <w:proofErr w:type="spellStart"/>
      <w:r>
        <w:t>populations</w:t>
      </w:r>
      <w:proofErr w:type="spellEnd"/>
      <w:r>
        <w:t xml:space="preserve">: A </w:t>
      </w:r>
      <w:proofErr w:type="spellStart"/>
      <w:r>
        <w:t>systematic</w:t>
      </w:r>
      <w:proofErr w:type="spellEnd"/>
      <w:r>
        <w:t xml:space="preserve"> </w:t>
      </w:r>
      <w:proofErr w:type="spellStart"/>
      <w:r>
        <w:t>review</w:t>
      </w:r>
      <w:proofErr w:type="spellEnd"/>
      <w:r>
        <w:t xml:space="preserve"> and meta-</w:t>
      </w:r>
      <w:proofErr w:type="spellStart"/>
      <w:r>
        <w:t>analysis</w:t>
      </w:r>
      <w:proofErr w:type="spellEnd"/>
      <w:r>
        <w:t xml:space="preserve">. </w:t>
      </w:r>
      <w:proofErr w:type="spellStart"/>
      <w:r>
        <w:t>Journal</w:t>
      </w:r>
      <w:proofErr w:type="spellEnd"/>
      <w:r>
        <w:t xml:space="preserve"> of </w:t>
      </w:r>
      <w:proofErr w:type="spellStart"/>
      <w:r>
        <w:t>Clinical</w:t>
      </w:r>
      <w:proofErr w:type="spellEnd"/>
      <w:r>
        <w:t xml:space="preserve"> Medicine, 13(14), 4259. https://doi.org/10.3390/jcm13144259</w:t>
      </w:r>
    </w:p>
    <w:sectPr w:rsidR="00A248FB" w:rsidSect="00280126">
      <w:headerReference w:type="even" r:id="rId9"/>
      <w:headerReference w:type="default" r:id="rId10"/>
      <w:footerReference w:type="even" r:id="rId11"/>
      <w:footerReference w:type="default" r:id="rId12"/>
      <w:headerReference w:type="first" r:id="rId13"/>
      <w:footerReference w:type="first" r:id="rId14"/>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B3565" w14:textId="77777777" w:rsidR="001E7681" w:rsidRPr="00411E44" w:rsidRDefault="001E7681" w:rsidP="00EB0247">
      <w:pPr>
        <w:spacing w:after="0" w:line="240" w:lineRule="auto"/>
      </w:pPr>
      <w:r w:rsidRPr="00411E44">
        <w:separator/>
      </w:r>
    </w:p>
  </w:endnote>
  <w:endnote w:type="continuationSeparator" w:id="0">
    <w:p w14:paraId="56B323FB" w14:textId="77777777" w:rsidR="001E7681" w:rsidRPr="00411E44" w:rsidRDefault="001E7681"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0A35"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DF1F"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3423"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A92BD" w14:textId="77777777" w:rsidR="001E7681" w:rsidRPr="00411E44" w:rsidRDefault="001E7681" w:rsidP="00EB0247">
      <w:pPr>
        <w:spacing w:after="0" w:line="240" w:lineRule="auto"/>
      </w:pPr>
      <w:r w:rsidRPr="00411E44">
        <w:separator/>
      </w:r>
    </w:p>
  </w:footnote>
  <w:footnote w:type="continuationSeparator" w:id="0">
    <w:p w14:paraId="3A11ACA8" w14:textId="77777777" w:rsidR="001E7681" w:rsidRPr="00411E44" w:rsidRDefault="001E7681"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7E84"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7C02"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73C3"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19D8"/>
    <w:multiLevelType w:val="hybridMultilevel"/>
    <w:tmpl w:val="6F92A8E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4"/>
  </w:num>
  <w:num w:numId="13">
    <w:abstractNumId w:val="17"/>
  </w:num>
  <w:num w:numId="14">
    <w:abstractNumId w:val="18"/>
  </w:num>
  <w:num w:numId="15">
    <w:abstractNumId w:val="19"/>
  </w:num>
  <w:num w:numId="16">
    <w:abstractNumId w:val="29"/>
  </w:num>
  <w:num w:numId="17">
    <w:abstractNumId w:val="26"/>
  </w:num>
  <w:num w:numId="18">
    <w:abstractNumId w:val="11"/>
  </w:num>
  <w:num w:numId="19">
    <w:abstractNumId w:val="25"/>
  </w:num>
  <w:num w:numId="20">
    <w:abstractNumId w:val="30"/>
  </w:num>
  <w:num w:numId="21">
    <w:abstractNumId w:val="31"/>
  </w:num>
  <w:num w:numId="22">
    <w:abstractNumId w:val="22"/>
  </w:num>
  <w:num w:numId="23">
    <w:abstractNumId w:val="31"/>
    <w:lvlOverride w:ilvl="0">
      <w:startOverride w:val="1"/>
    </w:lvlOverride>
  </w:num>
  <w:num w:numId="24">
    <w:abstractNumId w:val="31"/>
    <w:lvlOverride w:ilvl="0">
      <w:startOverride w:val="1"/>
    </w:lvlOverride>
  </w:num>
  <w:num w:numId="25">
    <w:abstractNumId w:val="13"/>
  </w:num>
  <w:num w:numId="26">
    <w:abstractNumId w:val="32"/>
  </w:num>
  <w:num w:numId="27">
    <w:abstractNumId w:val="20"/>
  </w:num>
  <w:num w:numId="28">
    <w:abstractNumId w:val="21"/>
  </w:num>
  <w:num w:numId="29">
    <w:abstractNumId w:val="23"/>
  </w:num>
  <w:num w:numId="30">
    <w:abstractNumId w:val="16"/>
  </w:num>
  <w:num w:numId="31">
    <w:abstractNumId w:val="24"/>
  </w:num>
  <w:num w:numId="32">
    <w:abstractNumId w:val="15"/>
  </w:num>
  <w:num w:numId="33">
    <w:abstractNumId w:val="27"/>
  </w:num>
  <w:num w:numId="34">
    <w:abstractNumId w:val="28"/>
  </w:num>
  <w:num w:numId="35">
    <w:abstractNumId w:val="33"/>
  </w:num>
  <w:num w:numId="36">
    <w:abstractNumId w:val="31"/>
    <w:lvlOverride w:ilvl="0">
      <w:startOverride w:val="1"/>
    </w:lvlOverride>
  </w:num>
  <w:num w:numId="37">
    <w:abstractNumId w:val="31"/>
    <w:lvlOverride w:ilvl="0">
      <w:startOverride w:val="1"/>
    </w:lvlOverride>
  </w:num>
  <w:num w:numId="38">
    <w:abstractNumId w:val="31"/>
    <w:lvlOverride w:ilvl="0">
      <w:startOverride w:val="1"/>
    </w:lvlOverride>
  </w:num>
  <w:num w:numId="39">
    <w:abstractNumId w:val="33"/>
    <w:lvlOverride w:ilvl="0">
      <w:startOverride w:val="1"/>
    </w:lvlOverride>
  </w:num>
  <w:num w:numId="40">
    <w:abstractNumId w:val="33"/>
    <w:lvlOverride w:ilvl="0">
      <w:startOverride w:val="1"/>
    </w:lvlOverride>
  </w:num>
  <w:num w:numId="41">
    <w:abstractNumId w:val="31"/>
    <w:lvlOverride w:ilvl="0">
      <w:startOverride w:val="1"/>
    </w:lvlOverride>
  </w:num>
  <w:num w:numId="42">
    <w:abstractNumId w:val="33"/>
    <w:lvlOverride w:ilvl="0">
      <w:startOverride w:val="1"/>
    </w:lvlOverride>
  </w:num>
  <w:num w:numId="43">
    <w:abstractNumId w:val="31"/>
    <w:lvlOverride w:ilvl="0">
      <w:startOverride w:val="1"/>
    </w:lvlOverride>
  </w:num>
  <w:num w:numId="44">
    <w:abstractNumId w:val="33"/>
    <w:lvlOverride w:ilvl="0">
      <w:startOverride w:val="1"/>
    </w:lvlOverride>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68CF"/>
    <w:rsid w:val="00012517"/>
    <w:rsid w:val="0003338A"/>
    <w:rsid w:val="00033E3E"/>
    <w:rsid w:val="00041F61"/>
    <w:rsid w:val="00063421"/>
    <w:rsid w:val="00085C3B"/>
    <w:rsid w:val="00097EEF"/>
    <w:rsid w:val="000C5EDB"/>
    <w:rsid w:val="000E7A2C"/>
    <w:rsid w:val="000F093B"/>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321B5F"/>
    <w:rsid w:val="003512A0"/>
    <w:rsid w:val="00375999"/>
    <w:rsid w:val="003813A6"/>
    <w:rsid w:val="00384FEF"/>
    <w:rsid w:val="0039591A"/>
    <w:rsid w:val="003C4D9F"/>
    <w:rsid w:val="003E66FB"/>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4709"/>
    <w:rsid w:val="005335DF"/>
    <w:rsid w:val="005417EB"/>
    <w:rsid w:val="005430EA"/>
    <w:rsid w:val="00544E17"/>
    <w:rsid w:val="00584BB4"/>
    <w:rsid w:val="005A43E3"/>
    <w:rsid w:val="005A4AFE"/>
    <w:rsid w:val="005A6174"/>
    <w:rsid w:val="005B1ED0"/>
    <w:rsid w:val="005B3008"/>
    <w:rsid w:val="005C3F48"/>
    <w:rsid w:val="00607EE3"/>
    <w:rsid w:val="006131F7"/>
    <w:rsid w:val="00626B66"/>
    <w:rsid w:val="00641773"/>
    <w:rsid w:val="006460E7"/>
    <w:rsid w:val="0066570F"/>
    <w:rsid w:val="00675757"/>
    <w:rsid w:val="00680332"/>
    <w:rsid w:val="00681364"/>
    <w:rsid w:val="0068745E"/>
    <w:rsid w:val="006B136A"/>
    <w:rsid w:val="006B2417"/>
    <w:rsid w:val="006B7745"/>
    <w:rsid w:val="006F1629"/>
    <w:rsid w:val="006F3D25"/>
    <w:rsid w:val="00714CBD"/>
    <w:rsid w:val="00721EBE"/>
    <w:rsid w:val="00733DD2"/>
    <w:rsid w:val="00742AC5"/>
    <w:rsid w:val="00760440"/>
    <w:rsid w:val="007701F1"/>
    <w:rsid w:val="00792960"/>
    <w:rsid w:val="007A0F17"/>
    <w:rsid w:val="007E4E94"/>
    <w:rsid w:val="007F0944"/>
    <w:rsid w:val="008051FB"/>
    <w:rsid w:val="00817C99"/>
    <w:rsid w:val="008238DE"/>
    <w:rsid w:val="00837EB2"/>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21D8F"/>
    <w:rsid w:val="00A248FB"/>
    <w:rsid w:val="00A60A80"/>
    <w:rsid w:val="00A8553F"/>
    <w:rsid w:val="00AB4624"/>
    <w:rsid w:val="00AC6ECD"/>
    <w:rsid w:val="00AD2E94"/>
    <w:rsid w:val="00AE03BB"/>
    <w:rsid w:val="00AE1445"/>
    <w:rsid w:val="00AE2655"/>
    <w:rsid w:val="00B06350"/>
    <w:rsid w:val="00B0717D"/>
    <w:rsid w:val="00B177CF"/>
    <w:rsid w:val="00B57A4E"/>
    <w:rsid w:val="00B60DF4"/>
    <w:rsid w:val="00B85785"/>
    <w:rsid w:val="00BA4EA8"/>
    <w:rsid w:val="00BA4FD5"/>
    <w:rsid w:val="00BB38AC"/>
    <w:rsid w:val="00BD7178"/>
    <w:rsid w:val="00BE3D2B"/>
    <w:rsid w:val="00BE5F2C"/>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A0BED"/>
    <w:rsid w:val="00DB0768"/>
    <w:rsid w:val="00DC12C0"/>
    <w:rsid w:val="00DC3839"/>
    <w:rsid w:val="00DC5E7D"/>
    <w:rsid w:val="00DE0B74"/>
    <w:rsid w:val="00DF1B76"/>
    <w:rsid w:val="00E04357"/>
    <w:rsid w:val="00E050FB"/>
    <w:rsid w:val="00E05E1A"/>
    <w:rsid w:val="00E06000"/>
    <w:rsid w:val="00E06521"/>
    <w:rsid w:val="00E13BCF"/>
    <w:rsid w:val="00E14800"/>
    <w:rsid w:val="00E45764"/>
    <w:rsid w:val="00E649D6"/>
    <w:rsid w:val="00EB0247"/>
    <w:rsid w:val="00EC01A5"/>
    <w:rsid w:val="00EC5EC4"/>
    <w:rsid w:val="00F43DE7"/>
    <w:rsid w:val="00F53790"/>
    <w:rsid w:val="00F56856"/>
    <w:rsid w:val="00F60611"/>
    <w:rsid w:val="00F62911"/>
    <w:rsid w:val="00F6387D"/>
    <w:rsid w:val="00F63B01"/>
    <w:rsid w:val="00F64DF3"/>
    <w:rsid w:val="00F66726"/>
    <w:rsid w:val="00F82237"/>
    <w:rsid w:val="00F92DEB"/>
    <w:rsid w:val="00F95E61"/>
    <w:rsid w:val="00FA51E8"/>
    <w:rsid w:val="00FA7CDE"/>
    <w:rsid w:val="00FC482F"/>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C4C16"/>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1</TotalTime>
  <Pages>18</Pages>
  <Words>5256</Words>
  <Characters>28912</Characters>
  <Application>Microsoft Office Word</Application>
  <DocSecurity>0</DocSecurity>
  <Lines>240</Lines>
  <Paragraphs>68</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Capítulo XXX</vt:lpstr>
      <vt:lpstr>    ESTRATEGIAS DE COMUNICACIÓN MULTICANAL EN PYMES TURÍSTICAS DE SANTA ELENA: REDES</vt:lpstr>
      <vt:lpstr>        sandra maldonado lópez</vt:lpstr>
      <vt:lpstr>1. Introducción</vt:lpstr>
      <vt:lpstr>    1.1. justificación de la investigación</vt:lpstr>
      <vt:lpstr>    1.2. marco teórico</vt:lpstr>
      <vt:lpstr>        1.2.1. Comunicación multicanal en el turismo</vt:lpstr>
      <vt:lpstr>        1.2.2. Estrategias digitales para el posicionamiento de pymes turísticas</vt:lpstr>
      <vt:lpstr>2. Objetivos</vt:lpstr>
      <vt:lpstr>    2.1. objetivo general</vt:lpstr>
      <vt:lpstr>    2.2. objetivos específicos</vt:lpstr>
      <vt:lpstr>3. Metodología</vt:lpstr>
      <vt:lpstr>    3.1. tipo y enfoque de investigación</vt:lpstr>
      <vt:lpstr>    3.2. unidad de análisis y muestra</vt:lpstr>
      <vt:lpstr>    3.3. técnicas e instrumentos de recolección de datos</vt:lpstr>
      <vt:lpstr>        3.3.1. Revisión bibliográfica</vt:lpstr>
      <vt:lpstr>        3.3.2. Observación digital</vt:lpstr>
      <vt:lpstr>        3.3.3. Análisis de contenido digital</vt:lpstr>
      <vt:lpstr>    3.4. método de análisis de datos</vt:lpstr>
      <vt:lpstr>4. resultados</vt:lpstr>
      <vt:lpstr>    4.1. canales y medios de comunicación empleados por pymes turísticas de santa el</vt:lpstr>
      <vt:lpstr>    4.2. retos de las pymes de turismo en la implementación de estrategias comunicat</vt:lpstr>
      <vt:lpstr>    4.3. lineamientos generales para reforzar la gestión comunicacional táctica</vt:lpstr>
      <vt:lpstr>5. discusión</vt:lpstr>
      <vt:lpstr>6. conclusiones </vt:lpstr>
      <vt:lpstr>8. Referencias </vt:lpstr>
    </vt:vector>
  </TitlesOfParts>
  <Manager>EGREGIUS</Manager>
  <Company>EG-DYKINSON</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TONY LUIS MOSQUERA CH�VEZ</cp:lastModifiedBy>
  <cp:revision>2</cp:revision>
  <dcterms:created xsi:type="dcterms:W3CDTF">2026-09-04T00:15:00Z</dcterms:created>
  <dcterms:modified xsi:type="dcterms:W3CDTF">2026-09-04T00:15:00Z</dcterms:modified>
  <cp:category>Categoria</cp:category>
  <cp:contentStatus>Estado</cp:contentStatus>
</cp:coreProperties>
</file>