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4B5" w14:textId="6A307BBB" w:rsidR="001348A0" w:rsidRPr="00781998" w:rsidRDefault="001348A0" w:rsidP="001348A0">
      <w:pPr>
        <w:pStyle w:val="Captulo"/>
        <w:rPr>
          <w:color w:val="000000" w:themeColor="text1"/>
        </w:rPr>
      </w:pPr>
      <w:r w:rsidRPr="00781998">
        <w:rPr>
          <w:color w:val="000000" w:themeColor="text1"/>
        </w:rPr>
        <w:t>Capítulo XXX</w:t>
      </w:r>
    </w:p>
    <w:p w14:paraId="53F485B9" w14:textId="5AF3F617" w:rsidR="0015066B" w:rsidRPr="00781998" w:rsidRDefault="0043516E" w:rsidP="0043516E">
      <w:pPr>
        <w:pStyle w:val="TtCap"/>
        <w:rPr>
          <w:color w:val="000000" w:themeColor="text1"/>
        </w:rPr>
      </w:pPr>
      <w:r w:rsidRPr="00781998">
        <w:rPr>
          <w:color w:val="000000" w:themeColor="text1"/>
        </w:rPr>
        <w:t xml:space="preserve">Calidad de atención en hemodiálisis: percepción de pacientes con enfermedad renal crónica en guayaquil- ecuador. </w:t>
      </w:r>
    </w:p>
    <w:p w14:paraId="4645F320" w14:textId="5996A71C" w:rsidR="0015066B" w:rsidRPr="00781998" w:rsidRDefault="0043516E" w:rsidP="0015066B">
      <w:pPr>
        <w:pStyle w:val="Autor"/>
        <w:rPr>
          <w:color w:val="000000" w:themeColor="text1"/>
        </w:rPr>
      </w:pPr>
      <w:r w:rsidRPr="00781998">
        <w:rPr>
          <w:color w:val="000000" w:themeColor="text1"/>
        </w:rPr>
        <w:t xml:space="preserve">Shara </w:t>
      </w:r>
      <w:proofErr w:type="spellStart"/>
      <w:r w:rsidRPr="00781998">
        <w:rPr>
          <w:color w:val="000000" w:themeColor="text1"/>
        </w:rPr>
        <w:t>judith</w:t>
      </w:r>
      <w:proofErr w:type="spellEnd"/>
      <w:r w:rsidRPr="00781998">
        <w:rPr>
          <w:color w:val="000000" w:themeColor="text1"/>
        </w:rPr>
        <w:t xml:space="preserve"> torres palma</w:t>
      </w:r>
    </w:p>
    <w:p w14:paraId="69FA3E26" w14:textId="55EC2A54" w:rsidR="0015066B" w:rsidRPr="00781998" w:rsidRDefault="0043516E" w:rsidP="0015066B">
      <w:pPr>
        <w:pStyle w:val="Adscripcin"/>
        <w:rPr>
          <w:color w:val="000000" w:themeColor="text1"/>
        </w:rPr>
      </w:pPr>
      <w:r w:rsidRPr="00781998">
        <w:rPr>
          <w:color w:val="000000" w:themeColor="text1"/>
        </w:rPr>
        <w:t>Universidad Católica de Santiago de Guayaquil</w:t>
      </w:r>
    </w:p>
    <w:p w14:paraId="6A02D415" w14:textId="6020AED5" w:rsidR="0015066B" w:rsidRDefault="0015066B" w:rsidP="0015066B">
      <w:pPr>
        <w:pStyle w:val="Adscripcin"/>
      </w:pPr>
    </w:p>
    <w:p w14:paraId="749AD144" w14:textId="71A5CF39" w:rsidR="0015066B" w:rsidRPr="004D4CAB" w:rsidRDefault="0015066B" w:rsidP="00E12AC3">
      <w:pPr>
        <w:pStyle w:val="Ttulo1"/>
        <w:numPr>
          <w:ilvl w:val="0"/>
          <w:numId w:val="45"/>
        </w:numPr>
        <w:rPr>
          <w:b/>
          <w:bCs/>
          <w:color w:val="000000" w:themeColor="text1"/>
        </w:rPr>
      </w:pPr>
      <w:r w:rsidRPr="004D4CAB">
        <w:rPr>
          <w:b/>
          <w:bCs/>
          <w:color w:val="000000" w:themeColor="text1"/>
        </w:rPr>
        <w:t>Introducción</w:t>
      </w:r>
      <w:r w:rsidR="009C0DFA" w:rsidRPr="004D4CAB">
        <w:rPr>
          <w:b/>
          <w:bCs/>
          <w:color w:val="000000" w:themeColor="text1"/>
        </w:rPr>
        <w:t xml:space="preserve"> </w:t>
      </w:r>
    </w:p>
    <w:p w14:paraId="77617A82" w14:textId="191A07EA" w:rsidR="00E12AC3" w:rsidRPr="00E457AC" w:rsidRDefault="006A7E9B" w:rsidP="00E12AC3">
      <w:pPr>
        <w:rPr>
          <w:sz w:val="22"/>
        </w:rPr>
      </w:pPr>
      <w:r w:rsidRPr="00E457AC">
        <w:rPr>
          <w:sz w:val="22"/>
        </w:rPr>
        <w:t xml:space="preserve">La enfermedad renal crónica </w:t>
      </w:r>
      <w:r w:rsidR="00457F63" w:rsidRPr="00E457AC">
        <w:rPr>
          <w:sz w:val="22"/>
        </w:rPr>
        <w:t xml:space="preserve">actualmente </w:t>
      </w:r>
      <w:r w:rsidRPr="00E457AC">
        <w:rPr>
          <w:sz w:val="22"/>
        </w:rPr>
        <w:t>representa un</w:t>
      </w:r>
      <w:r w:rsidR="00BE0EEC" w:rsidRPr="00E457AC">
        <w:rPr>
          <w:sz w:val="22"/>
        </w:rPr>
        <w:t>a problemática</w:t>
      </w:r>
      <w:r w:rsidR="002273CB" w:rsidRPr="00E457AC">
        <w:rPr>
          <w:sz w:val="22"/>
        </w:rPr>
        <w:t xml:space="preserve"> de salud pública</w:t>
      </w:r>
      <w:r w:rsidR="00BE0EEC" w:rsidRPr="00E457AC">
        <w:rPr>
          <w:sz w:val="22"/>
        </w:rPr>
        <w:t xml:space="preserve"> a nivel global debido a su naturaleza progresiva, que como lo menciona</w:t>
      </w:r>
      <w:r w:rsidR="008F5C15" w:rsidRPr="00E457AC">
        <w:rPr>
          <w:sz w:val="22"/>
        </w:rPr>
        <w:t>n</w:t>
      </w:r>
      <w:r w:rsidR="00BE0EEC" w:rsidRPr="00E457AC">
        <w:rPr>
          <w:sz w:val="22"/>
        </w:rPr>
        <w:t xml:space="preserve"> </w:t>
      </w:r>
      <w:r w:rsidR="008F5C15" w:rsidRPr="00E457AC">
        <w:rPr>
          <w:sz w:val="22"/>
        </w:rPr>
        <w:t xml:space="preserve">González Rozo et al., (2025) </w:t>
      </w:r>
      <w:r w:rsidR="00D300A4" w:rsidRPr="00E457AC">
        <w:rPr>
          <w:sz w:val="22"/>
        </w:rPr>
        <w:t>desencadena un impacto negativo en la vida de quien la padece y de su núcleo familiar</w:t>
      </w:r>
      <w:r w:rsidR="006F139C" w:rsidRPr="00E457AC">
        <w:rPr>
          <w:sz w:val="22"/>
        </w:rPr>
        <w:t xml:space="preserve"> debido a</w:t>
      </w:r>
      <w:r w:rsidR="00D300A4" w:rsidRPr="00E457AC">
        <w:rPr>
          <w:sz w:val="22"/>
        </w:rPr>
        <w:t xml:space="preserve"> los cambios </w:t>
      </w:r>
      <w:r w:rsidR="001F2974" w:rsidRPr="00E457AC">
        <w:rPr>
          <w:sz w:val="22"/>
        </w:rPr>
        <w:t>de hábitos en su estilo de vida para la correcta adaptación a su tratamiento.</w:t>
      </w:r>
      <w:r w:rsidR="006F5832" w:rsidRPr="00E457AC">
        <w:rPr>
          <w:sz w:val="22"/>
        </w:rPr>
        <w:t xml:space="preserve"> </w:t>
      </w:r>
      <w:r w:rsidR="00A62867" w:rsidRPr="00E457AC">
        <w:rPr>
          <w:sz w:val="22"/>
        </w:rPr>
        <w:t>E</w:t>
      </w:r>
      <w:r w:rsidR="006F5832" w:rsidRPr="00E457AC">
        <w:rPr>
          <w:sz w:val="22"/>
        </w:rPr>
        <w:t xml:space="preserve">n Ecuador, las unidades </w:t>
      </w:r>
      <w:r w:rsidR="00F12489" w:rsidRPr="00E457AC">
        <w:rPr>
          <w:sz w:val="22"/>
        </w:rPr>
        <w:t xml:space="preserve">integrales de hemodiálisis se han </w:t>
      </w:r>
      <w:r w:rsidR="00D819D2" w:rsidRPr="00E457AC">
        <w:rPr>
          <w:sz w:val="22"/>
        </w:rPr>
        <w:t xml:space="preserve">convertido en entornos de alta complejidad en el cual la tecnología debe </w:t>
      </w:r>
      <w:r w:rsidR="00A62867" w:rsidRPr="00E457AC">
        <w:rPr>
          <w:sz w:val="22"/>
        </w:rPr>
        <w:t xml:space="preserve">poseer </w:t>
      </w:r>
      <w:r w:rsidR="00D819D2" w:rsidRPr="00E457AC">
        <w:rPr>
          <w:sz w:val="22"/>
        </w:rPr>
        <w:t>convergencia con la calidez humana</w:t>
      </w:r>
      <w:r w:rsidR="00372414" w:rsidRPr="00E457AC">
        <w:rPr>
          <w:sz w:val="22"/>
        </w:rPr>
        <w:t>. Por tal motivo,</w:t>
      </w:r>
      <w:r w:rsidR="00301E3C" w:rsidRPr="00E457AC">
        <w:rPr>
          <w:sz w:val="22"/>
        </w:rPr>
        <w:t xml:space="preserve"> Casares-Cid et al., (2022)</w:t>
      </w:r>
      <w:r w:rsidR="00372414" w:rsidRPr="00E457AC">
        <w:rPr>
          <w:sz w:val="22"/>
        </w:rPr>
        <w:t xml:space="preserve"> </w:t>
      </w:r>
      <w:r w:rsidR="00085908" w:rsidRPr="00E457AC">
        <w:rPr>
          <w:sz w:val="22"/>
        </w:rPr>
        <w:t xml:space="preserve">señalan que </w:t>
      </w:r>
      <w:r w:rsidR="00372414" w:rsidRPr="00E457AC">
        <w:rPr>
          <w:sz w:val="22"/>
        </w:rPr>
        <w:t xml:space="preserve">la calidad de atención </w:t>
      </w:r>
      <w:r w:rsidR="00CF4B30" w:rsidRPr="00E457AC">
        <w:rPr>
          <w:sz w:val="22"/>
        </w:rPr>
        <w:t xml:space="preserve">en estos servicios no es solo un </w:t>
      </w:r>
      <w:r w:rsidR="006E176A" w:rsidRPr="00E457AC">
        <w:rPr>
          <w:sz w:val="22"/>
        </w:rPr>
        <w:t xml:space="preserve">parámetro de carácter administrativo, sino un </w:t>
      </w:r>
      <w:r w:rsidR="0064676C" w:rsidRPr="00E457AC">
        <w:rPr>
          <w:sz w:val="22"/>
        </w:rPr>
        <w:t>factor determinante para la adherencia al tratamiento prescrito por el especialista en nefrología y la calidad de vid</w:t>
      </w:r>
      <w:r w:rsidR="00510A44" w:rsidRPr="00E457AC">
        <w:rPr>
          <w:sz w:val="22"/>
        </w:rPr>
        <w:t>a de los pacientes renales.</w:t>
      </w:r>
    </w:p>
    <w:p w14:paraId="3DE10C98" w14:textId="28069AC3" w:rsidR="005747D4" w:rsidRPr="00E457AC" w:rsidRDefault="005747D4" w:rsidP="00E12AC3">
      <w:pPr>
        <w:rPr>
          <w:sz w:val="22"/>
        </w:rPr>
      </w:pPr>
      <w:r w:rsidRPr="00E457AC">
        <w:rPr>
          <w:sz w:val="22"/>
        </w:rPr>
        <w:t xml:space="preserve">La presente investigación se fundamenta en la imperante necesidad de superar el paradigma clínico de la </w:t>
      </w:r>
      <w:r w:rsidR="004A3749" w:rsidRPr="00E457AC">
        <w:rPr>
          <w:sz w:val="22"/>
        </w:rPr>
        <w:t>hemodiálisis</w:t>
      </w:r>
      <w:r w:rsidRPr="00E457AC">
        <w:rPr>
          <w:sz w:val="22"/>
        </w:rPr>
        <w:t xml:space="preserve">, </w:t>
      </w:r>
      <w:r w:rsidR="00C65C46" w:rsidRPr="00E457AC">
        <w:rPr>
          <w:sz w:val="22"/>
        </w:rPr>
        <w:t xml:space="preserve">como señala </w:t>
      </w:r>
      <w:r w:rsidR="004A3749" w:rsidRPr="00E457AC">
        <w:rPr>
          <w:sz w:val="22"/>
        </w:rPr>
        <w:t xml:space="preserve">Fernández de </w:t>
      </w:r>
      <w:proofErr w:type="gramStart"/>
      <w:r w:rsidR="004A3749" w:rsidRPr="00D4301F">
        <w:rPr>
          <w:sz w:val="22"/>
        </w:rPr>
        <w:t>Alemán</w:t>
      </w:r>
      <w:proofErr w:type="gramEnd"/>
      <w:r w:rsidR="004A3749" w:rsidRPr="00D4301F">
        <w:rPr>
          <w:sz w:val="22"/>
        </w:rPr>
        <w:t xml:space="preserve"> (2024)</w:t>
      </w:r>
      <w:r w:rsidR="00157CAF" w:rsidRPr="00D4301F">
        <w:rPr>
          <w:sz w:val="22"/>
        </w:rPr>
        <w:t>,</w:t>
      </w:r>
      <w:r w:rsidR="00157CAF" w:rsidRPr="00E457AC">
        <w:rPr>
          <w:sz w:val="22"/>
        </w:rPr>
        <w:t xml:space="preserve"> se debe integrar la eficiencia tecnológica con la esencia humanizada del cuidado de enfermería desde una visión </w:t>
      </w:r>
      <w:proofErr w:type="spellStart"/>
      <w:r w:rsidR="00AE3B5A" w:rsidRPr="00E457AC">
        <w:rPr>
          <w:sz w:val="22"/>
        </w:rPr>
        <w:t>transcompleja</w:t>
      </w:r>
      <w:proofErr w:type="spellEnd"/>
      <w:r w:rsidR="00AE3B5A" w:rsidRPr="00E457AC">
        <w:rPr>
          <w:sz w:val="22"/>
        </w:rPr>
        <w:t>, orientada a la preservación de la vida y de la dignidad del paciente.</w:t>
      </w:r>
    </w:p>
    <w:p w14:paraId="797A900C" w14:textId="48AE1F0F" w:rsidR="00510A44" w:rsidRPr="00E457AC" w:rsidRDefault="00510A44" w:rsidP="00E12AC3">
      <w:pPr>
        <w:rPr>
          <w:sz w:val="22"/>
        </w:rPr>
      </w:pPr>
      <w:r w:rsidRPr="00E457AC">
        <w:rPr>
          <w:sz w:val="22"/>
        </w:rPr>
        <w:t xml:space="preserve">En el estudio presentado por </w:t>
      </w:r>
      <w:r w:rsidR="000C4A28" w:rsidRPr="00E457AC">
        <w:rPr>
          <w:sz w:val="22"/>
        </w:rPr>
        <w:t xml:space="preserve">Sáez Pulgar et al., </w:t>
      </w:r>
      <w:r w:rsidR="008E7713" w:rsidRPr="00E457AC">
        <w:rPr>
          <w:sz w:val="22"/>
        </w:rPr>
        <w:t>(</w:t>
      </w:r>
      <w:r w:rsidR="000C4A28" w:rsidRPr="00E457AC">
        <w:rPr>
          <w:sz w:val="22"/>
        </w:rPr>
        <w:t>2025</w:t>
      </w:r>
      <w:r w:rsidR="008E7713" w:rsidRPr="00E457AC">
        <w:rPr>
          <w:sz w:val="22"/>
        </w:rPr>
        <w:t>)</w:t>
      </w:r>
      <w:r w:rsidR="003E076A" w:rsidRPr="00E457AC">
        <w:rPr>
          <w:sz w:val="22"/>
        </w:rPr>
        <w:t xml:space="preserve"> se enfatiza que actualmente </w:t>
      </w:r>
      <w:r w:rsidR="00493B53" w:rsidRPr="00E457AC">
        <w:rPr>
          <w:sz w:val="22"/>
        </w:rPr>
        <w:t xml:space="preserve">la percepción del usuario </w:t>
      </w:r>
      <w:r w:rsidR="00B225D1" w:rsidRPr="00E457AC">
        <w:rPr>
          <w:sz w:val="22"/>
        </w:rPr>
        <w:t>se ha transformado en un indica</w:t>
      </w:r>
      <w:r w:rsidR="004E17F3" w:rsidRPr="00E457AC">
        <w:rPr>
          <w:sz w:val="22"/>
        </w:rPr>
        <w:t>dor</w:t>
      </w:r>
      <w:r w:rsidR="00B225D1" w:rsidRPr="00E457AC">
        <w:rPr>
          <w:sz w:val="22"/>
        </w:rPr>
        <w:t xml:space="preserve"> </w:t>
      </w:r>
      <w:r w:rsidR="00085908" w:rsidRPr="00E457AC">
        <w:rPr>
          <w:sz w:val="22"/>
        </w:rPr>
        <w:t>crítico</w:t>
      </w:r>
      <w:r w:rsidR="00B225D1" w:rsidRPr="00E457AC">
        <w:rPr>
          <w:sz w:val="22"/>
        </w:rPr>
        <w:t xml:space="preserve"> para la evaluación del desempeño del personal </w:t>
      </w:r>
      <w:r w:rsidR="004E17F3" w:rsidRPr="00E457AC">
        <w:rPr>
          <w:sz w:val="22"/>
        </w:rPr>
        <w:t xml:space="preserve">profesional </w:t>
      </w:r>
      <w:r w:rsidR="00B225D1" w:rsidRPr="00E457AC">
        <w:rPr>
          <w:sz w:val="22"/>
        </w:rPr>
        <w:t>enfermer</w:t>
      </w:r>
      <w:r w:rsidR="004E17F3" w:rsidRPr="00E457AC">
        <w:rPr>
          <w:sz w:val="22"/>
        </w:rPr>
        <w:t>o</w:t>
      </w:r>
      <w:r w:rsidR="00B225D1" w:rsidRPr="00E457AC">
        <w:rPr>
          <w:sz w:val="22"/>
        </w:rPr>
        <w:t xml:space="preserve">. En el área de nefrología, específicamente, </w:t>
      </w:r>
      <w:r w:rsidR="006A072B" w:rsidRPr="00E457AC">
        <w:rPr>
          <w:sz w:val="22"/>
        </w:rPr>
        <w:t>en las salas de hemodiálisis, la humanización del cuidado</w:t>
      </w:r>
      <w:r w:rsidR="002F0711" w:rsidRPr="00E457AC">
        <w:rPr>
          <w:sz w:val="22"/>
        </w:rPr>
        <w:t>,</w:t>
      </w:r>
      <w:r w:rsidR="009521AD" w:rsidRPr="00E457AC">
        <w:rPr>
          <w:sz w:val="22"/>
        </w:rPr>
        <w:t xml:space="preserve"> como indican </w:t>
      </w:r>
      <w:r w:rsidR="00005858" w:rsidRPr="00E457AC">
        <w:rPr>
          <w:sz w:val="22"/>
        </w:rPr>
        <w:t>González et al., (2024</w:t>
      </w:r>
      <w:proofErr w:type="gramStart"/>
      <w:r w:rsidR="00005858" w:rsidRPr="00E457AC">
        <w:rPr>
          <w:sz w:val="22"/>
        </w:rPr>
        <w:t>)</w:t>
      </w:r>
      <w:r w:rsidR="006A072B" w:rsidRPr="00E457AC">
        <w:rPr>
          <w:sz w:val="22"/>
        </w:rPr>
        <w:t xml:space="preserve"> </w:t>
      </w:r>
      <w:r w:rsidR="00005858" w:rsidRPr="00E457AC">
        <w:rPr>
          <w:sz w:val="22"/>
        </w:rPr>
        <w:t xml:space="preserve"> y</w:t>
      </w:r>
      <w:proofErr w:type="gramEnd"/>
      <w:r w:rsidR="00005858" w:rsidRPr="00E457AC">
        <w:rPr>
          <w:sz w:val="22"/>
        </w:rPr>
        <w:t xml:space="preserve"> </w:t>
      </w:r>
      <w:r w:rsidR="00005858" w:rsidRPr="00E457AC">
        <w:rPr>
          <w:sz w:val="22"/>
        </w:rPr>
        <w:lastRenderedPageBreak/>
        <w:t>Vivas y Alvarado (2025)</w:t>
      </w:r>
      <w:r w:rsidR="00586AFB" w:rsidRPr="00E457AC">
        <w:rPr>
          <w:sz w:val="22"/>
        </w:rPr>
        <w:t>,</w:t>
      </w:r>
      <w:r w:rsidR="00005858" w:rsidRPr="00E457AC">
        <w:rPr>
          <w:sz w:val="22"/>
        </w:rPr>
        <w:t xml:space="preserve"> </w:t>
      </w:r>
      <w:r w:rsidR="006A072B" w:rsidRPr="00E457AC">
        <w:rPr>
          <w:sz w:val="22"/>
        </w:rPr>
        <w:t xml:space="preserve">no es un valor añadido, sino una imperante necesidad en la terapéutica brindada; el trato digno y la relación entre enfermero y paciente son fundamentales para la disminución de la vulnerabilidad que experimentan </w:t>
      </w:r>
      <w:r w:rsidR="003F15C6" w:rsidRPr="00E457AC">
        <w:rPr>
          <w:sz w:val="22"/>
        </w:rPr>
        <w:t>relacionada a comorbilidades</w:t>
      </w:r>
      <w:r w:rsidR="00D70962" w:rsidRPr="00E457AC">
        <w:rPr>
          <w:sz w:val="22"/>
        </w:rPr>
        <w:t xml:space="preserve"> y a su grupo etar</w:t>
      </w:r>
      <w:r w:rsidR="009521AD" w:rsidRPr="00E457AC">
        <w:rPr>
          <w:sz w:val="22"/>
        </w:rPr>
        <w:t>i</w:t>
      </w:r>
      <w:r w:rsidR="00D70962" w:rsidRPr="00E457AC">
        <w:rPr>
          <w:sz w:val="22"/>
        </w:rPr>
        <w:t xml:space="preserve">o. </w:t>
      </w:r>
    </w:p>
    <w:p w14:paraId="3EF1149C" w14:textId="42002A07" w:rsidR="00586AFB" w:rsidRPr="00E457AC" w:rsidRDefault="00586AFB" w:rsidP="00E12AC3">
      <w:pPr>
        <w:rPr>
          <w:sz w:val="22"/>
        </w:rPr>
      </w:pPr>
      <w:r w:rsidRPr="00E457AC">
        <w:rPr>
          <w:sz w:val="22"/>
        </w:rPr>
        <w:t xml:space="preserve">A pesar de los avances técnicos, </w:t>
      </w:r>
      <w:r w:rsidR="000C4B1D" w:rsidRPr="00E457AC">
        <w:rPr>
          <w:sz w:val="22"/>
        </w:rPr>
        <w:t>Murguía et al., (2025) indican que p</w:t>
      </w:r>
      <w:r w:rsidR="00A71C4D" w:rsidRPr="00E457AC">
        <w:rPr>
          <w:sz w:val="22"/>
        </w:rPr>
        <w:t>e</w:t>
      </w:r>
      <w:r w:rsidR="009E49DE" w:rsidRPr="00E457AC">
        <w:rPr>
          <w:sz w:val="22"/>
        </w:rPr>
        <w:t>rs</w:t>
      </w:r>
      <w:r w:rsidR="000C4B1D" w:rsidRPr="00E457AC">
        <w:rPr>
          <w:sz w:val="22"/>
        </w:rPr>
        <w:t>isten brechas entre la comunicación enfermero paciente y en la educación sanitaria</w:t>
      </w:r>
      <w:r w:rsidR="006D5921" w:rsidRPr="00E457AC">
        <w:rPr>
          <w:sz w:val="22"/>
        </w:rPr>
        <w:t xml:space="preserve"> referente al autocuidado del usuario con su acceso vascular ya sea catéter venoso central transitorio o permanente, fistula arteriovenosa autóloga, injerto o prótesis, que son consid</w:t>
      </w:r>
      <w:r w:rsidR="0095738D" w:rsidRPr="00E457AC">
        <w:rPr>
          <w:sz w:val="22"/>
        </w:rPr>
        <w:t>erados elementos de vital importancia para la supervivencia del paciente renal.</w:t>
      </w:r>
      <w:r w:rsidR="008C37CA" w:rsidRPr="00E457AC">
        <w:rPr>
          <w:sz w:val="22"/>
        </w:rPr>
        <w:t xml:space="preserve"> En el estudio realizado por </w:t>
      </w:r>
      <w:r w:rsidR="0054031C" w:rsidRPr="00E457AC">
        <w:rPr>
          <w:sz w:val="22"/>
        </w:rPr>
        <w:t>Istrate et al., (2025) se recalca que las vivencias de los pacientes respecto a la competencia técnica y la empatía</w:t>
      </w:r>
      <w:r w:rsidR="00961846" w:rsidRPr="00E457AC">
        <w:rPr>
          <w:sz w:val="22"/>
        </w:rPr>
        <w:t xml:space="preserve"> del personal enfermero influye directamente en su percepción referente a su nivel de satisfacción.</w:t>
      </w:r>
    </w:p>
    <w:p w14:paraId="5D8DC444" w14:textId="15DDC4DE" w:rsidR="00607EE3" w:rsidRPr="004D4CAB" w:rsidRDefault="00607EE3" w:rsidP="00A235F5">
      <w:pPr>
        <w:pStyle w:val="Ttulo1"/>
        <w:numPr>
          <w:ilvl w:val="0"/>
          <w:numId w:val="45"/>
        </w:numPr>
        <w:rPr>
          <w:b/>
          <w:bCs/>
        </w:rPr>
      </w:pPr>
      <w:r w:rsidRPr="004D4CAB">
        <w:rPr>
          <w:b/>
          <w:bCs/>
        </w:rPr>
        <w:t>Objetivos</w:t>
      </w:r>
    </w:p>
    <w:p w14:paraId="7BCD8114" w14:textId="599AED42" w:rsidR="00A235F5" w:rsidRPr="00E457AC" w:rsidRDefault="00A235F5" w:rsidP="00A235F5">
      <w:pPr>
        <w:rPr>
          <w:b/>
          <w:bCs/>
          <w:sz w:val="22"/>
        </w:rPr>
      </w:pPr>
      <w:r w:rsidRPr="00E457AC">
        <w:rPr>
          <w:b/>
          <w:bCs/>
          <w:sz w:val="22"/>
        </w:rPr>
        <w:t>Objetivo general</w:t>
      </w:r>
    </w:p>
    <w:p w14:paraId="609B6749" w14:textId="6FFB3068" w:rsidR="00A235F5" w:rsidRPr="00E457AC" w:rsidRDefault="00A235F5" w:rsidP="00A235F5">
      <w:pPr>
        <w:rPr>
          <w:sz w:val="22"/>
        </w:rPr>
      </w:pPr>
      <w:r w:rsidRPr="00E457AC">
        <w:rPr>
          <w:sz w:val="22"/>
        </w:rPr>
        <w:t xml:space="preserve">Analizar la percepción de los pacientes con </w:t>
      </w:r>
      <w:r w:rsidR="004534D9" w:rsidRPr="00E457AC">
        <w:rPr>
          <w:sz w:val="22"/>
        </w:rPr>
        <w:t>enfermedad renal crónica en tratamiento de sustitución renal trisemanal sobre la calidad de atención recibida por el personal de enfermería en una unidad de hemodiálisis de Guayaquil- Ecuador.</w:t>
      </w:r>
    </w:p>
    <w:p w14:paraId="61B76227" w14:textId="644CC543" w:rsidR="004534D9" w:rsidRPr="00E457AC" w:rsidRDefault="004534D9" w:rsidP="00A235F5">
      <w:pPr>
        <w:rPr>
          <w:b/>
          <w:bCs/>
          <w:sz w:val="22"/>
        </w:rPr>
      </w:pPr>
      <w:r w:rsidRPr="00E457AC">
        <w:rPr>
          <w:b/>
          <w:bCs/>
          <w:sz w:val="22"/>
        </w:rPr>
        <w:t>Objetivos específicos</w:t>
      </w:r>
    </w:p>
    <w:p w14:paraId="3F262F6A" w14:textId="54775C8D" w:rsidR="004534D9" w:rsidRPr="00E457AC" w:rsidRDefault="00342652" w:rsidP="00A235F5">
      <w:pPr>
        <w:rPr>
          <w:sz w:val="22"/>
        </w:rPr>
      </w:pPr>
      <w:r w:rsidRPr="00E457AC">
        <w:rPr>
          <w:sz w:val="22"/>
        </w:rPr>
        <w:t xml:space="preserve">Identificar el nivel de satisfacción de los pacientes </w:t>
      </w:r>
      <w:r w:rsidR="00155966" w:rsidRPr="00E457AC">
        <w:rPr>
          <w:sz w:val="22"/>
        </w:rPr>
        <w:t xml:space="preserve">renales crónicos respecto a la atención del profesional de enfermería, </w:t>
      </w:r>
      <w:r w:rsidR="00E9239F" w:rsidRPr="00E457AC">
        <w:rPr>
          <w:sz w:val="22"/>
        </w:rPr>
        <w:t xml:space="preserve">categorizando la percepción según las dimensiones de fiabilidad, capacidad de respuesta, seguridad y empatía del modelo </w:t>
      </w:r>
      <w:r w:rsidR="00DC11B9" w:rsidRPr="00E457AC">
        <w:rPr>
          <w:sz w:val="22"/>
        </w:rPr>
        <w:t>SERVQUAL adaptado al servicio de nefrología- hemodiálisis.</w:t>
      </w:r>
    </w:p>
    <w:p w14:paraId="188B889F" w14:textId="7EE35A36" w:rsidR="00DC11B9" w:rsidRPr="00E457AC" w:rsidRDefault="00DC11B9" w:rsidP="00A235F5">
      <w:pPr>
        <w:rPr>
          <w:sz w:val="22"/>
        </w:rPr>
      </w:pPr>
      <w:r w:rsidRPr="00E457AC">
        <w:rPr>
          <w:sz w:val="22"/>
        </w:rPr>
        <w:t>Contrastar las áreas de fortaleza</w:t>
      </w:r>
      <w:r w:rsidR="00A14E81" w:rsidRPr="00E457AC">
        <w:rPr>
          <w:sz w:val="22"/>
        </w:rPr>
        <w:t>s</w:t>
      </w:r>
      <w:r w:rsidRPr="00E457AC">
        <w:rPr>
          <w:sz w:val="22"/>
        </w:rPr>
        <w:t xml:space="preserve"> frente a las deficiencias percibidas </w:t>
      </w:r>
      <w:r w:rsidR="00A14E81" w:rsidRPr="00E457AC">
        <w:rPr>
          <w:sz w:val="22"/>
        </w:rPr>
        <w:t>de la unidad de hemodiálisis</w:t>
      </w:r>
      <w:r w:rsidR="00CB3344" w:rsidRPr="00E457AC">
        <w:rPr>
          <w:sz w:val="22"/>
        </w:rPr>
        <w:t>.</w:t>
      </w:r>
    </w:p>
    <w:p w14:paraId="302E11E7" w14:textId="76B5B7D5" w:rsidR="00CB3344" w:rsidRPr="00E457AC" w:rsidRDefault="00CB3344" w:rsidP="00A235F5">
      <w:pPr>
        <w:rPr>
          <w:sz w:val="22"/>
        </w:rPr>
      </w:pPr>
      <w:r w:rsidRPr="00E457AC">
        <w:rPr>
          <w:sz w:val="22"/>
        </w:rPr>
        <w:t>Evaluar la eficacia de la comunicación educativa proporcionada por el personal de enfermería sobre el autocuidado de los accesos vasculares y el régimen nutricional.</w:t>
      </w:r>
    </w:p>
    <w:p w14:paraId="2708A763" w14:textId="3AE7EAD9" w:rsidR="005A43E3" w:rsidRPr="004D4CAB" w:rsidRDefault="005A43E3" w:rsidP="00CB3344">
      <w:pPr>
        <w:pStyle w:val="Ttulo1"/>
        <w:numPr>
          <w:ilvl w:val="0"/>
          <w:numId w:val="45"/>
        </w:numPr>
        <w:rPr>
          <w:b/>
          <w:bCs/>
        </w:rPr>
      </w:pPr>
      <w:r w:rsidRPr="004D4CAB">
        <w:rPr>
          <w:b/>
          <w:bCs/>
        </w:rPr>
        <w:lastRenderedPageBreak/>
        <w:t>Metodología</w:t>
      </w:r>
    </w:p>
    <w:p w14:paraId="079D5C3B" w14:textId="007B63FB" w:rsidR="00CB3344" w:rsidRPr="00E457AC" w:rsidRDefault="00396CAF" w:rsidP="00CB3344">
      <w:pPr>
        <w:rPr>
          <w:sz w:val="22"/>
        </w:rPr>
      </w:pPr>
      <w:r w:rsidRPr="00E457AC">
        <w:rPr>
          <w:sz w:val="22"/>
        </w:rPr>
        <w:t>La presente investigación es de diseño cuantitativo, tr</w:t>
      </w:r>
      <w:r w:rsidR="000F05A7" w:rsidRPr="00E457AC">
        <w:rPr>
          <w:sz w:val="22"/>
        </w:rPr>
        <w:t>ansversal y descriptivo, estructurado en dos fases metodológicas complementarias: una revisión sistemática de la literatura y un componente empírico para la validación de percepción de los pacientes renales en tratamiento de hemodiálisis trisemanal.</w:t>
      </w:r>
    </w:p>
    <w:p w14:paraId="0041C8B9" w14:textId="7BEEDAB5" w:rsidR="009A335C" w:rsidRPr="00E457AC" w:rsidRDefault="009A335C" w:rsidP="00CB3344">
      <w:pPr>
        <w:rPr>
          <w:b/>
          <w:bCs/>
          <w:sz w:val="22"/>
        </w:rPr>
      </w:pPr>
      <w:r w:rsidRPr="00E457AC">
        <w:rPr>
          <w:b/>
          <w:bCs/>
          <w:sz w:val="22"/>
        </w:rPr>
        <w:t xml:space="preserve">Fase </w:t>
      </w:r>
      <w:r w:rsidR="00C90FEB" w:rsidRPr="00E457AC">
        <w:rPr>
          <w:b/>
          <w:bCs/>
          <w:sz w:val="22"/>
        </w:rPr>
        <w:t>I</w:t>
      </w:r>
    </w:p>
    <w:p w14:paraId="09B81AD5" w14:textId="2C3BF297" w:rsidR="00C90FEB" w:rsidRDefault="0043311C" w:rsidP="001B7A93">
      <w:pPr>
        <w:rPr>
          <w:sz w:val="22"/>
          <w:lang w:val="es-EC"/>
        </w:rPr>
      </w:pPr>
      <w:r w:rsidRPr="00E457AC">
        <w:rPr>
          <w:sz w:val="22"/>
          <w:lang w:val="es-EC"/>
        </w:rPr>
        <w:t xml:space="preserve">Para su desarrollo se realizó una revisión sistemática de la literatura </w:t>
      </w:r>
      <w:r w:rsidR="00E32AEC" w:rsidRPr="00E457AC">
        <w:rPr>
          <w:sz w:val="22"/>
          <w:lang w:val="es-EC"/>
        </w:rPr>
        <w:t>de acuerdo con</w:t>
      </w:r>
      <w:r w:rsidRPr="00E457AC">
        <w:rPr>
          <w:sz w:val="22"/>
          <w:lang w:val="es-EC"/>
        </w:rPr>
        <w:t xml:space="preserve"> los criterios de la declaración PRISMA </w:t>
      </w:r>
      <w:r w:rsidR="001B7A93" w:rsidRPr="001B7A93">
        <w:rPr>
          <w:sz w:val="22"/>
          <w:lang w:val="es-EC"/>
        </w:rPr>
        <w:t>(</w:t>
      </w:r>
      <w:proofErr w:type="spellStart"/>
      <w:r w:rsidR="001B7A93" w:rsidRPr="001B7A93">
        <w:rPr>
          <w:sz w:val="22"/>
          <w:lang w:val="es-EC"/>
        </w:rPr>
        <w:t>Preferred</w:t>
      </w:r>
      <w:proofErr w:type="spellEnd"/>
      <w:r w:rsidR="001B7A93">
        <w:rPr>
          <w:sz w:val="22"/>
          <w:lang w:val="es-EC"/>
        </w:rPr>
        <w:t xml:space="preserve"> </w:t>
      </w:r>
      <w:proofErr w:type="spellStart"/>
      <w:r w:rsidR="001B7A93" w:rsidRPr="001B7A93">
        <w:rPr>
          <w:sz w:val="22"/>
          <w:lang w:val="es-EC"/>
        </w:rPr>
        <w:t>Reporting</w:t>
      </w:r>
      <w:proofErr w:type="spellEnd"/>
      <w:r w:rsidR="001B7A93" w:rsidRPr="001B7A93">
        <w:rPr>
          <w:sz w:val="22"/>
          <w:lang w:val="es-EC"/>
        </w:rPr>
        <w:t xml:space="preserve"> </w:t>
      </w:r>
      <w:proofErr w:type="spellStart"/>
      <w:r w:rsidR="001B7A93" w:rsidRPr="001B7A93">
        <w:rPr>
          <w:sz w:val="22"/>
          <w:lang w:val="es-EC"/>
        </w:rPr>
        <w:t>Items</w:t>
      </w:r>
      <w:proofErr w:type="spellEnd"/>
      <w:r w:rsidR="001B7A93" w:rsidRPr="001B7A93">
        <w:rPr>
          <w:sz w:val="22"/>
          <w:lang w:val="es-EC"/>
        </w:rPr>
        <w:t xml:space="preserve"> </w:t>
      </w:r>
      <w:proofErr w:type="spellStart"/>
      <w:r w:rsidR="001B7A93" w:rsidRPr="001B7A93">
        <w:rPr>
          <w:sz w:val="22"/>
          <w:lang w:val="es-EC"/>
        </w:rPr>
        <w:t>for</w:t>
      </w:r>
      <w:proofErr w:type="spellEnd"/>
      <w:r w:rsidR="001B7A93" w:rsidRPr="001B7A93">
        <w:rPr>
          <w:sz w:val="22"/>
          <w:lang w:val="es-EC"/>
        </w:rPr>
        <w:t xml:space="preserve"> </w:t>
      </w:r>
      <w:proofErr w:type="spellStart"/>
      <w:r w:rsidR="001B7A93" w:rsidRPr="001B7A93">
        <w:rPr>
          <w:sz w:val="22"/>
          <w:lang w:val="es-EC"/>
        </w:rPr>
        <w:t>Systematic</w:t>
      </w:r>
      <w:proofErr w:type="spellEnd"/>
      <w:r w:rsidR="001B7A93" w:rsidRPr="001B7A93">
        <w:rPr>
          <w:sz w:val="22"/>
          <w:lang w:val="es-EC"/>
        </w:rPr>
        <w:t xml:space="preserve"> </w:t>
      </w:r>
      <w:proofErr w:type="spellStart"/>
      <w:r w:rsidR="001B7A93" w:rsidRPr="001B7A93">
        <w:rPr>
          <w:sz w:val="22"/>
          <w:lang w:val="es-EC"/>
        </w:rPr>
        <w:t>Reviews</w:t>
      </w:r>
      <w:proofErr w:type="spellEnd"/>
      <w:r w:rsidR="001B7A93" w:rsidRPr="001B7A93">
        <w:rPr>
          <w:sz w:val="22"/>
          <w:lang w:val="es-EC"/>
        </w:rPr>
        <w:t xml:space="preserve"> and Meta-</w:t>
      </w:r>
      <w:proofErr w:type="spellStart"/>
      <w:r w:rsidR="001B7A93" w:rsidRPr="001B7A93">
        <w:rPr>
          <w:sz w:val="22"/>
          <w:lang w:val="es-EC"/>
        </w:rPr>
        <w:t>Analyses</w:t>
      </w:r>
      <w:proofErr w:type="spellEnd"/>
      <w:r w:rsidR="001B7A93" w:rsidRPr="001B7A93">
        <w:rPr>
          <w:sz w:val="22"/>
          <w:lang w:val="es-EC"/>
        </w:rPr>
        <w:t>), la cual proporciona una guía estructurada para la</w:t>
      </w:r>
      <w:r w:rsidR="00B333A2">
        <w:rPr>
          <w:sz w:val="22"/>
          <w:lang w:val="es-EC"/>
        </w:rPr>
        <w:t xml:space="preserve"> </w:t>
      </w:r>
      <w:r w:rsidR="001B7A93" w:rsidRPr="001B7A93">
        <w:rPr>
          <w:sz w:val="22"/>
          <w:lang w:val="es-EC"/>
        </w:rPr>
        <w:t>identificación, selección, evaluación de elegibilidad e inclusión de los estudios analizados (Page et al., 2021).</w:t>
      </w:r>
      <w:r w:rsidR="00B333A2">
        <w:rPr>
          <w:sz w:val="22"/>
          <w:lang w:val="es-EC"/>
        </w:rPr>
        <w:t xml:space="preserve"> </w:t>
      </w:r>
      <w:r w:rsidRPr="00E457AC">
        <w:rPr>
          <w:sz w:val="22"/>
          <w:lang w:val="es-EC"/>
        </w:rPr>
        <w:t xml:space="preserve">La búsqueda se realizó </w:t>
      </w:r>
      <w:r w:rsidR="00E32AEC" w:rsidRPr="00E457AC">
        <w:rPr>
          <w:sz w:val="22"/>
          <w:lang w:val="es-EC"/>
        </w:rPr>
        <w:t xml:space="preserve">en </w:t>
      </w:r>
      <w:proofErr w:type="spellStart"/>
      <w:r w:rsidR="00E32AEC" w:rsidRPr="00E457AC">
        <w:rPr>
          <w:sz w:val="22"/>
          <w:lang w:val="es-EC"/>
        </w:rPr>
        <w:t>Scopus</w:t>
      </w:r>
      <w:proofErr w:type="spellEnd"/>
      <w:r w:rsidRPr="00E457AC">
        <w:rPr>
          <w:sz w:val="22"/>
          <w:lang w:val="es-EC"/>
        </w:rPr>
        <w:t xml:space="preserve">, Scielo, </w:t>
      </w:r>
      <w:proofErr w:type="spellStart"/>
      <w:r w:rsidRPr="00E457AC">
        <w:rPr>
          <w:sz w:val="22"/>
          <w:lang w:val="es-EC"/>
        </w:rPr>
        <w:t>Latindex</w:t>
      </w:r>
      <w:proofErr w:type="spellEnd"/>
      <w:r w:rsidRPr="00E457AC">
        <w:rPr>
          <w:sz w:val="22"/>
          <w:lang w:val="es-EC"/>
        </w:rPr>
        <w:t xml:space="preserve"> y Google Scholar, se emplearon como descriptores, calidad de vida, pacientes renales crónicos, hemodiálisis</w:t>
      </w:r>
      <w:r w:rsidR="00C90FEB" w:rsidRPr="00E457AC">
        <w:rPr>
          <w:sz w:val="22"/>
          <w:lang w:val="es-EC"/>
        </w:rPr>
        <w:t>.</w:t>
      </w:r>
    </w:p>
    <w:p w14:paraId="71406CA2" w14:textId="36E0E353" w:rsidR="00214B7F" w:rsidRPr="00214B7F" w:rsidRDefault="00214B7F" w:rsidP="001B7A93">
      <w:pPr>
        <w:rPr>
          <w:b/>
          <w:bCs/>
          <w:sz w:val="22"/>
          <w:lang w:val="es-EC"/>
        </w:rPr>
      </w:pPr>
      <w:r w:rsidRPr="00214B7F">
        <w:rPr>
          <w:b/>
          <w:bCs/>
          <w:sz w:val="22"/>
          <w:lang w:val="es-EC"/>
        </w:rPr>
        <w:t>Protocolo de búsqueda</w:t>
      </w:r>
    </w:p>
    <w:p w14:paraId="38D3C65B" w14:textId="77777777" w:rsidR="00214B7F" w:rsidRDefault="00214B7F" w:rsidP="001B7A93">
      <w:pPr>
        <w:rPr>
          <w:sz w:val="22"/>
          <w:lang w:val="es-EC"/>
        </w:rPr>
      </w:pPr>
      <w:r>
        <w:rPr>
          <w:sz w:val="22"/>
          <w:lang w:val="es-EC"/>
        </w:rPr>
        <w:t xml:space="preserve">La estrategia de búsqueda bibliográfica se diseñó a partir de uso de operadores booleanos </w:t>
      </w:r>
      <w:r w:rsidRPr="00214B7F">
        <w:rPr>
          <w:sz w:val="22"/>
          <w:lang w:val="es-EC"/>
        </w:rPr>
        <w:t>(AND, OR, NOT)</w:t>
      </w:r>
      <w:r>
        <w:rPr>
          <w:sz w:val="22"/>
          <w:lang w:val="es-EC"/>
        </w:rPr>
        <w:t xml:space="preserve"> combinados con un conjunto estructurado de descriptores y palabras claves en español, inglés y portugués, con el propósito de garantizar la exhaustividad, representatividad y precisión del rastreo. En español, se emplearon: </w:t>
      </w:r>
      <w:r w:rsidRPr="00214B7F">
        <w:rPr>
          <w:sz w:val="22"/>
          <w:lang w:val="es-EC"/>
        </w:rPr>
        <w:t>“estrés térmico” AND “internos de enfermería”</w:t>
      </w:r>
      <w:r>
        <w:rPr>
          <w:sz w:val="22"/>
          <w:lang w:val="es-EC"/>
        </w:rPr>
        <w:t xml:space="preserve">, </w:t>
      </w:r>
      <w:r w:rsidRPr="00214B7F">
        <w:rPr>
          <w:sz w:val="22"/>
          <w:lang w:val="es-EC"/>
        </w:rPr>
        <w:t>“riesgos laborales” AND “estrés laboral”</w:t>
      </w:r>
      <w:r>
        <w:rPr>
          <w:sz w:val="22"/>
          <w:lang w:val="es-EC"/>
        </w:rPr>
        <w:t xml:space="preserve">. En inglés, se utilizaron los términos equivalentes: </w:t>
      </w:r>
      <w:r w:rsidRPr="00214B7F">
        <w:rPr>
          <w:sz w:val="22"/>
          <w:lang w:val="es-EC"/>
        </w:rPr>
        <w:t>“</w:t>
      </w:r>
      <w:proofErr w:type="spellStart"/>
      <w:r w:rsidRPr="00214B7F">
        <w:rPr>
          <w:sz w:val="22"/>
          <w:lang w:val="es-EC"/>
        </w:rPr>
        <w:t>thermal</w:t>
      </w:r>
      <w:proofErr w:type="spellEnd"/>
      <w:r w:rsidRPr="00214B7F">
        <w:rPr>
          <w:sz w:val="22"/>
          <w:lang w:val="es-EC"/>
        </w:rPr>
        <w:t xml:space="preserve"> stress” AND “</w:t>
      </w:r>
      <w:proofErr w:type="spellStart"/>
      <w:r w:rsidRPr="00214B7F">
        <w:rPr>
          <w:sz w:val="22"/>
          <w:lang w:val="es-EC"/>
        </w:rPr>
        <w:t>nursing</w:t>
      </w:r>
      <w:proofErr w:type="spellEnd"/>
      <w:r w:rsidRPr="00214B7F">
        <w:rPr>
          <w:sz w:val="22"/>
          <w:lang w:val="es-EC"/>
        </w:rPr>
        <w:t xml:space="preserve"> </w:t>
      </w:r>
      <w:proofErr w:type="spellStart"/>
      <w:r w:rsidRPr="00214B7F">
        <w:rPr>
          <w:sz w:val="22"/>
          <w:lang w:val="es-EC"/>
        </w:rPr>
        <w:t>interns</w:t>
      </w:r>
      <w:proofErr w:type="spellEnd"/>
      <w:r w:rsidRPr="00214B7F">
        <w:rPr>
          <w:sz w:val="22"/>
          <w:lang w:val="es-EC"/>
        </w:rPr>
        <w:t>”</w:t>
      </w:r>
      <w:r>
        <w:rPr>
          <w:sz w:val="22"/>
          <w:lang w:val="es-EC"/>
        </w:rPr>
        <w:t xml:space="preserve">, </w:t>
      </w:r>
      <w:r w:rsidRPr="00214B7F">
        <w:rPr>
          <w:sz w:val="22"/>
          <w:lang w:val="es-EC"/>
        </w:rPr>
        <w:t>“</w:t>
      </w:r>
      <w:proofErr w:type="spellStart"/>
      <w:r w:rsidRPr="00214B7F">
        <w:rPr>
          <w:sz w:val="22"/>
          <w:lang w:val="es-EC"/>
        </w:rPr>
        <w:t>occupational</w:t>
      </w:r>
      <w:proofErr w:type="spellEnd"/>
      <w:r w:rsidRPr="00214B7F">
        <w:rPr>
          <w:sz w:val="22"/>
          <w:lang w:val="es-EC"/>
        </w:rPr>
        <w:t xml:space="preserve"> </w:t>
      </w:r>
      <w:proofErr w:type="spellStart"/>
      <w:r w:rsidRPr="00214B7F">
        <w:rPr>
          <w:sz w:val="22"/>
          <w:lang w:val="es-EC"/>
        </w:rPr>
        <w:t>risks</w:t>
      </w:r>
      <w:proofErr w:type="spellEnd"/>
      <w:r w:rsidRPr="00214B7F">
        <w:rPr>
          <w:sz w:val="22"/>
          <w:lang w:val="es-EC"/>
        </w:rPr>
        <w:t>” AND “</w:t>
      </w:r>
      <w:proofErr w:type="spellStart"/>
      <w:r w:rsidRPr="00214B7F">
        <w:rPr>
          <w:sz w:val="22"/>
          <w:lang w:val="es-EC"/>
        </w:rPr>
        <w:t>work</w:t>
      </w:r>
      <w:proofErr w:type="spellEnd"/>
      <w:r w:rsidRPr="00214B7F">
        <w:rPr>
          <w:sz w:val="22"/>
          <w:lang w:val="es-EC"/>
        </w:rPr>
        <w:t xml:space="preserve"> stress”</w:t>
      </w:r>
      <w:r>
        <w:rPr>
          <w:sz w:val="22"/>
          <w:lang w:val="es-EC"/>
        </w:rPr>
        <w:t xml:space="preserve">. En portugués, se estructuraron las combinaciones: </w:t>
      </w:r>
      <w:r w:rsidRPr="00214B7F">
        <w:rPr>
          <w:sz w:val="22"/>
          <w:lang w:val="es-EC"/>
        </w:rPr>
        <w:t>“</w:t>
      </w:r>
      <w:proofErr w:type="spellStart"/>
      <w:r w:rsidRPr="00214B7F">
        <w:rPr>
          <w:sz w:val="22"/>
          <w:lang w:val="es-EC"/>
        </w:rPr>
        <w:t>estresse</w:t>
      </w:r>
      <w:proofErr w:type="spellEnd"/>
      <w:r w:rsidRPr="00214B7F">
        <w:rPr>
          <w:sz w:val="22"/>
          <w:lang w:val="es-EC"/>
        </w:rPr>
        <w:t xml:space="preserve"> térmico” AND “</w:t>
      </w:r>
      <w:proofErr w:type="spellStart"/>
      <w:r w:rsidRPr="00214B7F">
        <w:rPr>
          <w:sz w:val="22"/>
          <w:lang w:val="es-EC"/>
        </w:rPr>
        <w:t>estagiários</w:t>
      </w:r>
      <w:proofErr w:type="spellEnd"/>
      <w:r w:rsidRPr="00214B7F">
        <w:rPr>
          <w:sz w:val="22"/>
          <w:lang w:val="es-EC"/>
        </w:rPr>
        <w:t xml:space="preserve"> de </w:t>
      </w:r>
      <w:proofErr w:type="spellStart"/>
      <w:r w:rsidRPr="00214B7F">
        <w:rPr>
          <w:sz w:val="22"/>
          <w:lang w:val="es-EC"/>
        </w:rPr>
        <w:t>enfermagem</w:t>
      </w:r>
      <w:proofErr w:type="spellEnd"/>
      <w:r>
        <w:rPr>
          <w:sz w:val="22"/>
          <w:lang w:val="es-EC"/>
        </w:rPr>
        <w:t xml:space="preserve">”, </w:t>
      </w:r>
      <w:r w:rsidRPr="00214B7F">
        <w:rPr>
          <w:sz w:val="22"/>
          <w:lang w:val="es-EC"/>
        </w:rPr>
        <w:t xml:space="preserve">“riscos </w:t>
      </w:r>
      <w:proofErr w:type="spellStart"/>
      <w:r w:rsidRPr="00214B7F">
        <w:rPr>
          <w:sz w:val="22"/>
          <w:lang w:val="es-EC"/>
        </w:rPr>
        <w:t>ocupacionais</w:t>
      </w:r>
      <w:proofErr w:type="spellEnd"/>
      <w:r w:rsidRPr="00214B7F">
        <w:rPr>
          <w:sz w:val="22"/>
          <w:lang w:val="es-EC"/>
        </w:rPr>
        <w:t>” AND “</w:t>
      </w:r>
      <w:proofErr w:type="spellStart"/>
      <w:r w:rsidRPr="00214B7F">
        <w:rPr>
          <w:sz w:val="22"/>
          <w:lang w:val="es-EC"/>
        </w:rPr>
        <w:t>estresse</w:t>
      </w:r>
      <w:proofErr w:type="spellEnd"/>
      <w:r w:rsidRPr="00214B7F">
        <w:rPr>
          <w:sz w:val="22"/>
          <w:lang w:val="es-EC"/>
        </w:rPr>
        <w:t xml:space="preserve"> no </w:t>
      </w:r>
      <w:proofErr w:type="spellStart"/>
      <w:r w:rsidRPr="00214B7F">
        <w:rPr>
          <w:sz w:val="22"/>
          <w:lang w:val="es-EC"/>
        </w:rPr>
        <w:t>trabalho</w:t>
      </w:r>
      <w:proofErr w:type="spellEnd"/>
      <w:r w:rsidRPr="00214B7F">
        <w:rPr>
          <w:sz w:val="22"/>
          <w:lang w:val="es-EC"/>
        </w:rPr>
        <w:t>”</w:t>
      </w:r>
      <w:r>
        <w:rPr>
          <w:sz w:val="22"/>
          <w:lang w:val="es-EC"/>
        </w:rPr>
        <w:t>.</w:t>
      </w:r>
    </w:p>
    <w:p w14:paraId="28CBB4BF" w14:textId="77777777" w:rsidR="00214B7F" w:rsidRPr="00214B7F" w:rsidRDefault="00214B7F" w:rsidP="001B7A93">
      <w:pPr>
        <w:rPr>
          <w:b/>
          <w:bCs/>
          <w:sz w:val="22"/>
          <w:lang w:val="es-EC"/>
        </w:rPr>
      </w:pPr>
      <w:r w:rsidRPr="00214B7F">
        <w:rPr>
          <w:b/>
          <w:bCs/>
          <w:sz w:val="22"/>
          <w:lang w:val="es-EC"/>
        </w:rPr>
        <w:t>Identificación</w:t>
      </w:r>
    </w:p>
    <w:p w14:paraId="2EF746BB" w14:textId="30939A4E" w:rsidR="00214B7F" w:rsidRDefault="00214B7F" w:rsidP="001B7A93">
      <w:pPr>
        <w:rPr>
          <w:sz w:val="22"/>
          <w:lang w:val="es-EC"/>
        </w:rPr>
      </w:pPr>
      <w:r>
        <w:rPr>
          <w:sz w:val="22"/>
          <w:lang w:val="es-EC"/>
        </w:rPr>
        <w:t xml:space="preserve">Se exploraron los registros vinculados al estrés térmico, el microclima hospitalario y las variables asociadas a la carga o confort térmico en el ámbito asistencial y de práctica preprofesional. Esta búsqueda inicial tuvo el total de 45 artículos potenciales. Posterior a la extracción, se </w:t>
      </w:r>
      <w:r w:rsidR="002A34FB">
        <w:rPr>
          <w:sz w:val="22"/>
          <w:lang w:val="es-EC"/>
        </w:rPr>
        <w:t>procedió a la depuración inicial mediante la detección y eliminación de registros duplicados y documentos no pertinentes.</w:t>
      </w:r>
    </w:p>
    <w:p w14:paraId="1A79F73D" w14:textId="7FC22DAA" w:rsidR="002A34FB" w:rsidRDefault="002A34FB" w:rsidP="001B7A93">
      <w:pPr>
        <w:rPr>
          <w:b/>
          <w:bCs/>
          <w:sz w:val="22"/>
          <w:lang w:val="es-EC"/>
        </w:rPr>
      </w:pPr>
      <w:r w:rsidRPr="002A34FB">
        <w:rPr>
          <w:b/>
          <w:bCs/>
          <w:sz w:val="22"/>
          <w:lang w:val="es-EC"/>
        </w:rPr>
        <w:t>Selección</w:t>
      </w:r>
    </w:p>
    <w:p w14:paraId="6B62BE07" w14:textId="472F3FBD" w:rsidR="002A34FB" w:rsidRDefault="002A34FB" w:rsidP="001B7A93">
      <w:pPr>
        <w:rPr>
          <w:sz w:val="22"/>
          <w:lang w:val="es-EC"/>
        </w:rPr>
      </w:pPr>
      <w:r>
        <w:rPr>
          <w:sz w:val="22"/>
          <w:lang w:val="es-EC"/>
        </w:rPr>
        <w:lastRenderedPageBreak/>
        <w:t>Durante la fase de selección se aplicaron estrictamente los criterios de inclusión y exclusión delimitados en la metodología. En esta etapa se descartaron aquellos documentos que no cumplían con los estándares prefijados, tales como publicaciones anteriores al año 2022, documentos sin disponibilidad de texto completo, resúmenes de congresos o eventos académicos, notas editoriales o cartas al editor, investigaciones enfocadas en otros factores de riesgo ocupacional que no abordaran directamente la carga o el confort térmico laboral.</w:t>
      </w:r>
    </w:p>
    <w:p w14:paraId="5D100979" w14:textId="48FECE55" w:rsidR="002A34FB" w:rsidRPr="002A34FB" w:rsidRDefault="002A34FB" w:rsidP="001B7A93">
      <w:pPr>
        <w:rPr>
          <w:b/>
          <w:bCs/>
          <w:sz w:val="22"/>
          <w:lang w:val="es-EC"/>
        </w:rPr>
      </w:pPr>
      <w:r w:rsidRPr="002A34FB">
        <w:rPr>
          <w:b/>
          <w:bCs/>
          <w:sz w:val="22"/>
          <w:lang w:val="es-EC"/>
        </w:rPr>
        <w:t>Inclusión</w:t>
      </w:r>
    </w:p>
    <w:p w14:paraId="6142107A" w14:textId="1A9A261F" w:rsidR="002A34FB" w:rsidRPr="002A34FB" w:rsidRDefault="002A34FB" w:rsidP="001B7A93">
      <w:pPr>
        <w:rPr>
          <w:sz w:val="22"/>
          <w:lang w:val="es-EC"/>
        </w:rPr>
      </w:pPr>
      <w:r>
        <w:rPr>
          <w:sz w:val="22"/>
          <w:lang w:val="es-EC"/>
        </w:rPr>
        <w:t>Tras el proceso de cribado y evaluación de elegibilidad, se consolidó una muestra definitiva de 27 documentos científicos y cuerpos normativos. Estos estudios constituyeron el corpus documental definitivo del presente trabajo, garantizando un análisis riguroso, coherente y representativo sobre la producción académica reciente en torno al estrés térmico en el personal sanitario en formación.</w:t>
      </w:r>
    </w:p>
    <w:p w14:paraId="2F7EA3CF" w14:textId="36C057E0" w:rsidR="00C90FEB" w:rsidRPr="00E457AC" w:rsidRDefault="00C90FEB" w:rsidP="00CB3344">
      <w:pPr>
        <w:rPr>
          <w:b/>
          <w:bCs/>
          <w:sz w:val="22"/>
          <w:lang w:val="es-EC"/>
        </w:rPr>
      </w:pPr>
      <w:r w:rsidRPr="00E457AC">
        <w:rPr>
          <w:b/>
          <w:bCs/>
          <w:sz w:val="22"/>
          <w:lang w:val="es-EC"/>
        </w:rPr>
        <w:t>Fase II</w:t>
      </w:r>
    </w:p>
    <w:p w14:paraId="2368AA84" w14:textId="20332012" w:rsidR="001867D7" w:rsidRPr="00E457AC" w:rsidRDefault="00217432" w:rsidP="00CB3344">
      <w:pPr>
        <w:rPr>
          <w:sz w:val="22"/>
          <w:lang w:val="es-EC"/>
        </w:rPr>
      </w:pPr>
      <w:r w:rsidRPr="00E457AC">
        <w:rPr>
          <w:sz w:val="22"/>
          <w:lang w:val="es-EC"/>
        </w:rPr>
        <w:t>El estudio empírico se llevó a cabo en una unidad de hemodiálisis de la ciudad de Guayaquil</w:t>
      </w:r>
      <w:r w:rsidR="00227268" w:rsidRPr="00E457AC">
        <w:rPr>
          <w:sz w:val="22"/>
          <w:lang w:val="es-EC"/>
        </w:rPr>
        <w:t>- Ecuador. El universo estuvo constituido por 150 pacientes con diag</w:t>
      </w:r>
      <w:r w:rsidR="006B0FEF">
        <w:rPr>
          <w:sz w:val="22"/>
          <w:lang w:val="es-EC"/>
        </w:rPr>
        <w:t>nó</w:t>
      </w:r>
      <w:r w:rsidR="00227268" w:rsidRPr="00E457AC">
        <w:rPr>
          <w:sz w:val="22"/>
          <w:lang w:val="es-EC"/>
        </w:rPr>
        <w:t>stico m</w:t>
      </w:r>
      <w:r w:rsidR="006B0FEF">
        <w:rPr>
          <w:sz w:val="22"/>
          <w:lang w:val="es-EC"/>
        </w:rPr>
        <w:t>é</w:t>
      </w:r>
      <w:r w:rsidR="00227268" w:rsidRPr="00E457AC">
        <w:rPr>
          <w:sz w:val="22"/>
          <w:lang w:val="es-EC"/>
        </w:rPr>
        <w:t>dico de enfermedad renal crónica</w:t>
      </w:r>
      <w:r w:rsidR="001867D7" w:rsidRPr="00E457AC">
        <w:rPr>
          <w:sz w:val="22"/>
          <w:lang w:val="es-EC"/>
        </w:rPr>
        <w:t>, de los cuales se seleccionó una muestra de 100 pacientes adultos mediante un muestreo no probabilístico por conveniencia.</w:t>
      </w:r>
    </w:p>
    <w:p w14:paraId="6CD2B518" w14:textId="279E89F8" w:rsidR="00774295" w:rsidRPr="00E457AC" w:rsidRDefault="00774295" w:rsidP="00CB3344">
      <w:pPr>
        <w:rPr>
          <w:sz w:val="22"/>
          <w:lang w:val="es-EC"/>
        </w:rPr>
      </w:pPr>
      <w:r w:rsidRPr="00E457AC">
        <w:rPr>
          <w:sz w:val="22"/>
          <w:lang w:val="es-EC"/>
        </w:rPr>
        <w:t>Como criterios de selección se emplearon criterios de inclusión y de exclusión:</w:t>
      </w:r>
    </w:p>
    <w:p w14:paraId="425319B3" w14:textId="5B36670A" w:rsidR="00774295" w:rsidRPr="00E457AC" w:rsidRDefault="00774295" w:rsidP="00CB3344">
      <w:pPr>
        <w:rPr>
          <w:sz w:val="22"/>
          <w:lang w:val="es-EC"/>
        </w:rPr>
      </w:pPr>
      <w:r w:rsidRPr="00E457AC">
        <w:rPr>
          <w:b/>
          <w:bCs/>
          <w:sz w:val="22"/>
          <w:lang w:val="es-EC"/>
        </w:rPr>
        <w:t xml:space="preserve">Criterios de inclusión: </w:t>
      </w:r>
      <w:r w:rsidRPr="00E457AC">
        <w:rPr>
          <w:sz w:val="22"/>
          <w:lang w:val="es-EC"/>
        </w:rPr>
        <w:t>Pacientes con diagn</w:t>
      </w:r>
      <w:r w:rsidR="006B0FEF">
        <w:rPr>
          <w:sz w:val="22"/>
          <w:lang w:val="es-EC"/>
        </w:rPr>
        <w:t>ó</w:t>
      </w:r>
      <w:r w:rsidRPr="00E457AC">
        <w:rPr>
          <w:sz w:val="22"/>
          <w:lang w:val="es-EC"/>
        </w:rPr>
        <w:t>stico m</w:t>
      </w:r>
      <w:r w:rsidR="006B0FEF">
        <w:rPr>
          <w:sz w:val="22"/>
          <w:lang w:val="es-EC"/>
        </w:rPr>
        <w:t>é</w:t>
      </w:r>
      <w:r w:rsidRPr="00E457AC">
        <w:rPr>
          <w:sz w:val="22"/>
          <w:lang w:val="es-EC"/>
        </w:rPr>
        <w:t xml:space="preserve">dico de enfermedad renal crónico </w:t>
      </w:r>
      <w:r w:rsidR="00D9173E" w:rsidRPr="00E457AC">
        <w:rPr>
          <w:sz w:val="22"/>
          <w:lang w:val="es-EC"/>
        </w:rPr>
        <w:t>bajo tratamiento de hemodiálisis en programación trisemanal que aceptaron participar mediante consentimiento informado.</w:t>
      </w:r>
    </w:p>
    <w:p w14:paraId="70BC473E" w14:textId="733892D6" w:rsidR="00D9173E" w:rsidRPr="00E457AC" w:rsidRDefault="00ED4714" w:rsidP="00CB3344">
      <w:pPr>
        <w:rPr>
          <w:sz w:val="22"/>
          <w:lang w:val="es-EC"/>
        </w:rPr>
      </w:pPr>
      <w:r w:rsidRPr="00E457AC">
        <w:rPr>
          <w:b/>
          <w:bCs/>
          <w:sz w:val="22"/>
          <w:lang w:val="es-EC"/>
        </w:rPr>
        <w:t>Criterios de exclusión:</w:t>
      </w:r>
      <w:r w:rsidRPr="00E457AC">
        <w:rPr>
          <w:sz w:val="22"/>
          <w:lang w:val="es-EC"/>
        </w:rPr>
        <w:t xml:space="preserve"> Se excluyeron pacientes en tratamiento de sustitución renal en modalidad de diálisis peritoneal, terapias lentas continuas</w:t>
      </w:r>
      <w:r w:rsidR="00B9131A" w:rsidRPr="00E457AC">
        <w:rPr>
          <w:sz w:val="22"/>
          <w:lang w:val="es-EC"/>
        </w:rPr>
        <w:t>, pacientes con deterioro cognitivo que impidiera la comprensión del instrumento de recolección de datos y usuarios ambulatorios de otros servicios del nosocomio.</w:t>
      </w:r>
    </w:p>
    <w:p w14:paraId="51038A6C" w14:textId="02DE1B3A" w:rsidR="00884175" w:rsidRPr="00E457AC" w:rsidRDefault="00581116" w:rsidP="00CB3344">
      <w:pPr>
        <w:rPr>
          <w:b/>
          <w:bCs/>
          <w:sz w:val="22"/>
          <w:lang w:val="es-EC"/>
        </w:rPr>
      </w:pPr>
      <w:r w:rsidRPr="00E457AC">
        <w:rPr>
          <w:b/>
          <w:bCs/>
          <w:sz w:val="22"/>
          <w:lang w:val="es-EC"/>
        </w:rPr>
        <w:t>Instrumento de recolección y validación de datos</w:t>
      </w:r>
    </w:p>
    <w:p w14:paraId="0425003A" w14:textId="18DB1FD9" w:rsidR="001B2D5B" w:rsidRPr="00E457AC" w:rsidRDefault="009A52F5" w:rsidP="00CB3344">
      <w:pPr>
        <w:rPr>
          <w:sz w:val="22"/>
          <w:lang w:val="es-EC"/>
        </w:rPr>
      </w:pPr>
      <w:r w:rsidRPr="00E457AC">
        <w:rPr>
          <w:sz w:val="22"/>
          <w:lang w:val="es-EC"/>
        </w:rPr>
        <w:lastRenderedPageBreak/>
        <w:t xml:space="preserve">Se empleó una encuesta basada en el modelo SERVQUAL adaptada al servicio de nefrología, </w:t>
      </w:r>
      <w:r w:rsidR="002C578C" w:rsidRPr="00E457AC">
        <w:rPr>
          <w:sz w:val="22"/>
          <w:lang w:val="es-EC"/>
        </w:rPr>
        <w:t xml:space="preserve">mediante la cual se evaluaron las dimensiones de fiabilidad, capacidad de respuesta, seguridad, empatía y elementos tangibles. Para garantizar la solidez </w:t>
      </w:r>
      <w:r w:rsidR="004D4CAB" w:rsidRPr="00E457AC">
        <w:rPr>
          <w:sz w:val="22"/>
          <w:lang w:val="es-EC"/>
        </w:rPr>
        <w:t>de este</w:t>
      </w:r>
      <w:r w:rsidR="003D1159" w:rsidRPr="00E457AC">
        <w:rPr>
          <w:sz w:val="22"/>
          <w:lang w:val="es-EC"/>
        </w:rPr>
        <w:t>, se procedió con la validación estadística</w:t>
      </w:r>
      <w:r w:rsidR="004B17DA" w:rsidRPr="00E457AC">
        <w:rPr>
          <w:sz w:val="22"/>
          <w:lang w:val="es-EC"/>
        </w:rPr>
        <w:t xml:space="preserve"> </w:t>
      </w:r>
      <w:r w:rsidR="001B2D5B" w:rsidRPr="00E457AC">
        <w:rPr>
          <w:sz w:val="22"/>
          <w:lang w:val="es-EC"/>
        </w:rPr>
        <w:t>estructurada en tres fases:</w:t>
      </w:r>
    </w:p>
    <w:p w14:paraId="538A4415" w14:textId="77777777" w:rsidR="00AD5F28" w:rsidRPr="00E457AC" w:rsidRDefault="005A3EB4" w:rsidP="005A3EB4">
      <w:pPr>
        <w:pStyle w:val="Prrafodelista"/>
        <w:numPr>
          <w:ilvl w:val="0"/>
          <w:numId w:val="46"/>
        </w:numPr>
        <w:rPr>
          <w:sz w:val="22"/>
          <w:lang w:val="es-EC"/>
        </w:rPr>
      </w:pPr>
      <w:r w:rsidRPr="00E457AC">
        <w:rPr>
          <w:b/>
          <w:bCs/>
          <w:sz w:val="22"/>
          <w:lang w:val="es-EC"/>
        </w:rPr>
        <w:t>Cálculo de comunalidades:</w:t>
      </w:r>
      <w:r w:rsidRPr="00E457AC">
        <w:rPr>
          <w:sz w:val="22"/>
          <w:lang w:val="es-EC"/>
        </w:rPr>
        <w:t xml:space="preserve"> Se determinó la proporción de la varianza que puede ser atribuida</w:t>
      </w:r>
      <w:r w:rsidR="00282F17" w:rsidRPr="00E457AC">
        <w:rPr>
          <w:sz w:val="22"/>
          <w:lang w:val="es-EC"/>
        </w:rPr>
        <w:t xml:space="preserve"> a cada variable del SERVQUAL, asegurando que los reactivos expliquen adecua</w:t>
      </w:r>
      <w:r w:rsidR="00AD5F28" w:rsidRPr="00E457AC">
        <w:rPr>
          <w:sz w:val="22"/>
          <w:lang w:val="es-EC"/>
        </w:rPr>
        <w:t>damente el fenómeno de la calidad percibida.</w:t>
      </w:r>
    </w:p>
    <w:p w14:paraId="2A79FA03" w14:textId="049379B2" w:rsidR="00A60E20" w:rsidRPr="00E457AC" w:rsidRDefault="00AD5F28" w:rsidP="005A3EB4">
      <w:pPr>
        <w:pStyle w:val="Prrafodelista"/>
        <w:numPr>
          <w:ilvl w:val="0"/>
          <w:numId w:val="46"/>
        </w:numPr>
        <w:rPr>
          <w:sz w:val="22"/>
          <w:lang w:val="es-EC"/>
        </w:rPr>
      </w:pPr>
      <w:r w:rsidRPr="00E457AC">
        <w:rPr>
          <w:b/>
          <w:bCs/>
          <w:sz w:val="22"/>
          <w:lang w:val="es-EC"/>
        </w:rPr>
        <w:t>Adecuación de la muestra:</w:t>
      </w:r>
      <w:r w:rsidRPr="00E457AC">
        <w:rPr>
          <w:sz w:val="22"/>
          <w:lang w:val="es-EC"/>
        </w:rPr>
        <w:t xml:space="preserve"> Se obtuvo el estadístico </w:t>
      </w:r>
      <w:r w:rsidR="00E46ED6" w:rsidRPr="00E457AC">
        <w:rPr>
          <w:sz w:val="22"/>
          <w:lang w:val="es-EC"/>
        </w:rPr>
        <w:t xml:space="preserve">Kaiser-Meyer- </w:t>
      </w:r>
      <w:proofErr w:type="spellStart"/>
      <w:r w:rsidR="00E46ED6" w:rsidRPr="00E457AC">
        <w:rPr>
          <w:sz w:val="22"/>
          <w:lang w:val="es-EC"/>
        </w:rPr>
        <w:t>Olkin</w:t>
      </w:r>
      <w:proofErr w:type="spellEnd"/>
      <w:r w:rsidR="00E46ED6" w:rsidRPr="00E457AC">
        <w:rPr>
          <w:sz w:val="22"/>
          <w:lang w:val="es-EC"/>
        </w:rPr>
        <w:t xml:space="preserve"> (KMO)</w:t>
      </w:r>
      <w:r w:rsidR="001B6EA7" w:rsidRPr="00E457AC">
        <w:rPr>
          <w:sz w:val="22"/>
          <w:lang w:val="es-EC"/>
        </w:rPr>
        <w:t xml:space="preserve">. Los valores obtenidos cercanos a </w:t>
      </w:r>
      <w:r w:rsidR="00D528AF" w:rsidRPr="00E457AC">
        <w:rPr>
          <w:sz w:val="22"/>
          <w:lang w:val="es-EC"/>
        </w:rPr>
        <w:t>1</w:t>
      </w:r>
      <w:r w:rsidR="00A60E20" w:rsidRPr="00E457AC">
        <w:rPr>
          <w:sz w:val="22"/>
          <w:lang w:val="es-EC"/>
        </w:rPr>
        <w:t xml:space="preserve"> confirmaron que los patrones correlacionales son compactos, permitiendo que el análisis factorial proporcione factores diferenciados y confiables.</w:t>
      </w:r>
    </w:p>
    <w:p w14:paraId="5E375A07" w14:textId="5EB3671A" w:rsidR="001B24BF" w:rsidRPr="00E457AC" w:rsidRDefault="00EC2D44" w:rsidP="005A3EB4">
      <w:pPr>
        <w:pStyle w:val="Prrafodelista"/>
        <w:numPr>
          <w:ilvl w:val="0"/>
          <w:numId w:val="46"/>
        </w:numPr>
        <w:rPr>
          <w:sz w:val="22"/>
          <w:lang w:val="es-EC"/>
        </w:rPr>
      </w:pPr>
      <w:r w:rsidRPr="00E457AC">
        <w:rPr>
          <w:b/>
          <w:bCs/>
          <w:sz w:val="22"/>
          <w:lang w:val="es-EC"/>
        </w:rPr>
        <w:t>P</w:t>
      </w:r>
      <w:r w:rsidR="00E46ED6" w:rsidRPr="00E457AC">
        <w:rPr>
          <w:b/>
          <w:bCs/>
          <w:sz w:val="22"/>
          <w:lang w:val="es-EC"/>
        </w:rPr>
        <w:t>rueba de esfericidad de Bartlett</w:t>
      </w:r>
      <w:r w:rsidRPr="00E457AC">
        <w:rPr>
          <w:b/>
          <w:bCs/>
          <w:sz w:val="22"/>
          <w:lang w:val="es-EC"/>
        </w:rPr>
        <w:t>:</w:t>
      </w:r>
      <w:r w:rsidRPr="00E457AC">
        <w:rPr>
          <w:sz w:val="22"/>
          <w:lang w:val="es-EC"/>
        </w:rPr>
        <w:t xml:space="preserve"> </w:t>
      </w:r>
      <w:r w:rsidR="00BC7E2F" w:rsidRPr="00E457AC">
        <w:rPr>
          <w:sz w:val="22"/>
          <w:lang w:val="es-EC"/>
        </w:rPr>
        <w:t>Se emp</w:t>
      </w:r>
      <w:r w:rsidR="000D3BB8">
        <w:rPr>
          <w:sz w:val="22"/>
          <w:lang w:val="es-EC"/>
        </w:rPr>
        <w:t>le</w:t>
      </w:r>
      <w:r w:rsidR="00BC7E2F" w:rsidRPr="00E457AC">
        <w:rPr>
          <w:sz w:val="22"/>
          <w:lang w:val="es-EC"/>
        </w:rPr>
        <w:t xml:space="preserve">ó para verificar que la matriz de correlación </w:t>
      </w:r>
      <w:r w:rsidR="00BF22ED" w:rsidRPr="00E457AC">
        <w:rPr>
          <w:sz w:val="22"/>
          <w:lang w:val="es-EC"/>
        </w:rPr>
        <w:t>fuera significativamente diferente de una matriz de identidad. Al resultar significativa, se confirmó que las correlaciones entre las variables de tangi</w:t>
      </w:r>
      <w:r w:rsidR="00C5022C" w:rsidRPr="00E457AC">
        <w:rPr>
          <w:sz w:val="22"/>
          <w:lang w:val="es-EC"/>
        </w:rPr>
        <w:t>bilidad, fiabilidad, capacidad de respuesta, seguridad y empatía son diferentes de 0, obteniendo la validación de la estructura del cuestionario</w:t>
      </w:r>
      <w:r w:rsidR="001B24BF" w:rsidRPr="00E457AC">
        <w:rPr>
          <w:sz w:val="22"/>
          <w:lang w:val="es-EC"/>
        </w:rPr>
        <w:t>.</w:t>
      </w:r>
    </w:p>
    <w:p w14:paraId="40B09421" w14:textId="2DE905DD" w:rsidR="00B72CC1" w:rsidRPr="00E457AC" w:rsidRDefault="001B24BF" w:rsidP="001B24BF">
      <w:pPr>
        <w:rPr>
          <w:sz w:val="22"/>
          <w:lang w:val="es-EC"/>
        </w:rPr>
      </w:pPr>
      <w:r w:rsidRPr="00E457AC">
        <w:rPr>
          <w:sz w:val="22"/>
          <w:lang w:val="es-EC"/>
        </w:rPr>
        <w:t xml:space="preserve">Este proceso </w:t>
      </w:r>
      <w:r w:rsidR="0087324F" w:rsidRPr="00E457AC">
        <w:rPr>
          <w:sz w:val="22"/>
          <w:lang w:val="es-EC"/>
        </w:rPr>
        <w:t xml:space="preserve">permitió la obtención de un instrumento con cargas factoriales robustas y un Alpha de </w:t>
      </w:r>
      <w:r w:rsidR="006560A1" w:rsidRPr="00E457AC">
        <w:rPr>
          <w:sz w:val="22"/>
          <w:lang w:val="es-EC"/>
        </w:rPr>
        <w:t>Cronbach adecuado, analizando cada variable de manera independiente para identificar su i</w:t>
      </w:r>
      <w:r w:rsidR="002E1BF0">
        <w:rPr>
          <w:sz w:val="22"/>
          <w:lang w:val="es-EC"/>
        </w:rPr>
        <w:t>m</w:t>
      </w:r>
      <w:r w:rsidR="006560A1" w:rsidRPr="00E457AC">
        <w:rPr>
          <w:sz w:val="22"/>
          <w:lang w:val="es-EC"/>
        </w:rPr>
        <w:t>pacto real en la satisfacción del paciente en tratamiento de hemodiálisis bajo programación trisemanal.</w:t>
      </w:r>
    </w:p>
    <w:p w14:paraId="405AF59C" w14:textId="64F8B245" w:rsidR="00227268" w:rsidRPr="00E457AC" w:rsidRDefault="00A444D1" w:rsidP="00CB3344">
      <w:pPr>
        <w:rPr>
          <w:sz w:val="22"/>
          <w:lang w:val="es-EC"/>
        </w:rPr>
      </w:pPr>
      <w:r w:rsidRPr="00E457AC">
        <w:rPr>
          <w:sz w:val="22"/>
          <w:lang w:val="es-EC"/>
        </w:rPr>
        <w:t>Los datos fueron procesados mediante el software estadístico SPSS.</w:t>
      </w:r>
      <w:r w:rsidR="00182AE3">
        <w:rPr>
          <w:sz w:val="22"/>
          <w:lang w:val="es-EC"/>
        </w:rPr>
        <w:t xml:space="preserve"> </w:t>
      </w:r>
      <w:r w:rsidRPr="00E457AC">
        <w:rPr>
          <w:sz w:val="22"/>
          <w:lang w:val="es-EC"/>
        </w:rPr>
        <w:t xml:space="preserve">Se aplicó la regresión lineal múltiple para analizar la influencia de las variables independientes del SERVQUAL sobre la variable dependiente que es la satisfacción del paciente </w:t>
      </w:r>
      <w:r w:rsidR="00E84E36" w:rsidRPr="00E457AC">
        <w:rPr>
          <w:sz w:val="22"/>
          <w:lang w:val="es-EC"/>
        </w:rPr>
        <w:t xml:space="preserve">renal. Se empleó el método hacia atrás para maximizar el valor predictivo de las variables, siguiendo el rigor metodológico de estudios </w:t>
      </w:r>
      <w:r w:rsidR="00732BAE" w:rsidRPr="00E457AC">
        <w:rPr>
          <w:sz w:val="22"/>
          <w:lang w:val="es-EC"/>
        </w:rPr>
        <w:t>previos en gestión hospitalaria (</w:t>
      </w:r>
      <w:r w:rsidR="008B04A8" w:rsidRPr="00E457AC">
        <w:rPr>
          <w:sz w:val="22"/>
          <w:lang w:val="es-EC"/>
        </w:rPr>
        <w:t>De la Garza-Carranza et al., 2024).</w:t>
      </w:r>
      <w:r w:rsidR="00221548" w:rsidRPr="00E457AC">
        <w:rPr>
          <w:sz w:val="22"/>
          <w:lang w:val="es-EC"/>
        </w:rPr>
        <w:t xml:space="preserve"> El estudio se realizó bajo e</w:t>
      </w:r>
      <w:r w:rsidR="0055756A" w:rsidRPr="00E457AC">
        <w:rPr>
          <w:sz w:val="22"/>
          <w:lang w:val="es-EC"/>
        </w:rPr>
        <w:t>stricta confidencialidad, cumpliendo con los principios de bioética y la firma del consentimiento informado.</w:t>
      </w:r>
    </w:p>
    <w:p w14:paraId="1760C026" w14:textId="50EB35B6" w:rsidR="004307D4" w:rsidRPr="004D4CAB" w:rsidRDefault="004307D4" w:rsidP="008A5C25">
      <w:pPr>
        <w:pStyle w:val="Ttulo1"/>
        <w:numPr>
          <w:ilvl w:val="0"/>
          <w:numId w:val="45"/>
        </w:numPr>
        <w:rPr>
          <w:b/>
          <w:bCs/>
        </w:rPr>
      </w:pPr>
      <w:r w:rsidRPr="004D4CAB">
        <w:rPr>
          <w:b/>
          <w:bCs/>
        </w:rPr>
        <w:lastRenderedPageBreak/>
        <w:t>resultados</w:t>
      </w:r>
    </w:p>
    <w:p w14:paraId="75CCE7F2" w14:textId="50246FFA" w:rsidR="008A5C25" w:rsidRPr="00E457AC" w:rsidRDefault="00D3054D" w:rsidP="008A5C25">
      <w:pPr>
        <w:rPr>
          <w:rFonts w:cs="Times New Roman"/>
          <w:sz w:val="22"/>
        </w:rPr>
      </w:pPr>
      <w:r w:rsidRPr="00E457AC">
        <w:rPr>
          <w:rFonts w:cs="Times New Roman"/>
          <w:sz w:val="22"/>
        </w:rPr>
        <w:t>A continuación, se presenta en la Ta</w:t>
      </w:r>
      <w:r w:rsidR="0060398A" w:rsidRPr="00E457AC">
        <w:rPr>
          <w:rFonts w:cs="Times New Roman"/>
          <w:sz w:val="22"/>
        </w:rPr>
        <w:t xml:space="preserve">bla 1 los datos descriptivos y sociodemográficos de la muestra de 100 pacientes </w:t>
      </w:r>
      <w:r w:rsidR="00DE66EA" w:rsidRPr="00E457AC">
        <w:rPr>
          <w:rFonts w:cs="Times New Roman"/>
          <w:sz w:val="22"/>
        </w:rPr>
        <w:t xml:space="preserve">(N= 100) </w:t>
      </w:r>
      <w:r w:rsidR="0060398A" w:rsidRPr="00E457AC">
        <w:rPr>
          <w:rFonts w:cs="Times New Roman"/>
          <w:sz w:val="22"/>
        </w:rPr>
        <w:t>con diagnóstico médico de enfermedad renal crónica bajo tratamiento de sustitución renal en modalidad hemodiálisis trisemanal</w:t>
      </w:r>
      <w:r w:rsidR="00DE66EA" w:rsidRPr="00E457AC">
        <w:rPr>
          <w:rFonts w:cs="Times New Roman"/>
          <w:sz w:val="22"/>
        </w:rPr>
        <w:t xml:space="preserve"> </w:t>
      </w:r>
      <w:r w:rsidR="0030779E" w:rsidRPr="00E457AC">
        <w:rPr>
          <w:rFonts w:cs="Times New Roman"/>
          <w:sz w:val="22"/>
        </w:rPr>
        <w:t xml:space="preserve">de la unidad hospitalaria seleccionada en Guayaquil- Ecuador. Se encuestaron porcentajes equitativos con relación al género (50% femenino y 50% masculino). La edad predominante correspondió a adultos mayores de </w:t>
      </w:r>
      <w:r w:rsidR="009B45B6" w:rsidRPr="00E457AC">
        <w:rPr>
          <w:rFonts w:cs="Times New Roman"/>
          <w:sz w:val="22"/>
        </w:rPr>
        <w:t>6</w:t>
      </w:r>
      <w:r w:rsidR="00A55F6D" w:rsidRPr="00E457AC">
        <w:rPr>
          <w:rFonts w:cs="Times New Roman"/>
          <w:sz w:val="22"/>
        </w:rPr>
        <w:t>5</w:t>
      </w:r>
      <w:r w:rsidR="009B45B6" w:rsidRPr="00E457AC">
        <w:rPr>
          <w:rFonts w:cs="Times New Roman"/>
          <w:sz w:val="22"/>
        </w:rPr>
        <w:t xml:space="preserve"> años (50%)</w:t>
      </w:r>
      <w:r w:rsidR="00A55F6D" w:rsidRPr="00E457AC">
        <w:rPr>
          <w:rFonts w:cs="Times New Roman"/>
          <w:sz w:val="22"/>
        </w:rPr>
        <w:t xml:space="preserve">, seguidos por el grupo etario de </w:t>
      </w:r>
      <w:r w:rsidR="00A555E5">
        <w:rPr>
          <w:rFonts w:cs="Times New Roman"/>
          <w:sz w:val="22"/>
        </w:rPr>
        <w:t>5</w:t>
      </w:r>
      <w:r w:rsidR="009A0282" w:rsidRPr="00E457AC">
        <w:rPr>
          <w:rFonts w:cs="Times New Roman"/>
          <w:sz w:val="22"/>
        </w:rPr>
        <w:t>7</w:t>
      </w:r>
      <w:r w:rsidR="00A55F6D" w:rsidRPr="00E457AC">
        <w:rPr>
          <w:rFonts w:cs="Times New Roman"/>
          <w:sz w:val="22"/>
        </w:rPr>
        <w:t xml:space="preserve"> a 64 años</w:t>
      </w:r>
      <w:r w:rsidR="00111BF5" w:rsidRPr="00E457AC">
        <w:rPr>
          <w:rFonts w:cs="Times New Roman"/>
          <w:sz w:val="22"/>
        </w:rPr>
        <w:t xml:space="preserve"> (35%). En cuanto a la escolaridad, el nivel secundario fue el de mayor frecuencia (5</w:t>
      </w:r>
      <w:r w:rsidR="009A0282" w:rsidRPr="00E457AC">
        <w:rPr>
          <w:rFonts w:cs="Times New Roman"/>
          <w:sz w:val="22"/>
        </w:rPr>
        <w:t>0</w:t>
      </w:r>
      <w:r w:rsidR="00111BF5" w:rsidRPr="00E457AC">
        <w:rPr>
          <w:rFonts w:cs="Times New Roman"/>
          <w:sz w:val="22"/>
        </w:rPr>
        <w:t>%)</w:t>
      </w:r>
      <w:r w:rsidR="00937E6D" w:rsidRPr="00E457AC">
        <w:rPr>
          <w:rFonts w:cs="Times New Roman"/>
          <w:sz w:val="22"/>
        </w:rPr>
        <w:t xml:space="preserve">, mientras que en la variable de ocupación destacó el perfil de </w:t>
      </w:r>
      <w:r w:rsidR="008579A3" w:rsidRPr="00E457AC">
        <w:rPr>
          <w:rFonts w:cs="Times New Roman"/>
          <w:sz w:val="22"/>
        </w:rPr>
        <w:t xml:space="preserve">ama de casa </w:t>
      </w:r>
      <w:r w:rsidR="00937E6D" w:rsidRPr="00E457AC">
        <w:rPr>
          <w:rFonts w:cs="Times New Roman"/>
          <w:sz w:val="22"/>
        </w:rPr>
        <w:t>(</w:t>
      </w:r>
      <w:r w:rsidR="008579A3" w:rsidRPr="00E457AC">
        <w:rPr>
          <w:rFonts w:cs="Times New Roman"/>
          <w:sz w:val="22"/>
        </w:rPr>
        <w:t>5</w:t>
      </w:r>
      <w:r w:rsidR="00937E6D" w:rsidRPr="00E457AC">
        <w:rPr>
          <w:rFonts w:cs="Times New Roman"/>
          <w:sz w:val="22"/>
        </w:rPr>
        <w:t xml:space="preserve">0%) y </w:t>
      </w:r>
      <w:r w:rsidR="008579A3" w:rsidRPr="00E457AC">
        <w:rPr>
          <w:rFonts w:cs="Times New Roman"/>
          <w:sz w:val="22"/>
        </w:rPr>
        <w:t xml:space="preserve">desempleado </w:t>
      </w:r>
      <w:r w:rsidR="00630E2E" w:rsidRPr="00E457AC">
        <w:rPr>
          <w:rFonts w:cs="Times New Roman"/>
          <w:sz w:val="22"/>
        </w:rPr>
        <w:t>(</w:t>
      </w:r>
      <w:r w:rsidR="008579A3" w:rsidRPr="00E457AC">
        <w:rPr>
          <w:rFonts w:cs="Times New Roman"/>
          <w:sz w:val="22"/>
        </w:rPr>
        <w:t>45%</w:t>
      </w:r>
      <w:r w:rsidR="00630E2E" w:rsidRPr="00E457AC">
        <w:rPr>
          <w:rFonts w:cs="Times New Roman"/>
          <w:sz w:val="22"/>
        </w:rPr>
        <w:t>).</w:t>
      </w:r>
    </w:p>
    <w:tbl>
      <w:tblPr>
        <w:tblW w:w="6140" w:type="dxa"/>
        <w:tblCellMar>
          <w:left w:w="70" w:type="dxa"/>
          <w:right w:w="70" w:type="dxa"/>
        </w:tblCellMar>
        <w:tblLook w:val="04A0" w:firstRow="1" w:lastRow="0" w:firstColumn="1" w:lastColumn="0" w:noHBand="0" w:noVBand="1"/>
      </w:tblPr>
      <w:tblGrid>
        <w:gridCol w:w="1277"/>
        <w:gridCol w:w="2476"/>
        <w:gridCol w:w="1209"/>
        <w:gridCol w:w="1178"/>
      </w:tblGrid>
      <w:tr w:rsidR="009A0282" w:rsidRPr="00E457AC" w14:paraId="55DE24B9" w14:textId="77777777" w:rsidTr="00B32A1F">
        <w:trPr>
          <w:trHeight w:val="288"/>
        </w:trPr>
        <w:tc>
          <w:tcPr>
            <w:tcW w:w="4962" w:type="dxa"/>
            <w:gridSpan w:val="3"/>
            <w:tcBorders>
              <w:top w:val="nil"/>
              <w:left w:val="nil"/>
              <w:bottom w:val="nil"/>
              <w:right w:val="nil"/>
            </w:tcBorders>
            <w:noWrap/>
            <w:vAlign w:val="bottom"/>
            <w:hideMark/>
          </w:tcPr>
          <w:p w14:paraId="448D6008" w14:textId="77777777" w:rsidR="009A0282" w:rsidRPr="00E457AC" w:rsidRDefault="009A0282" w:rsidP="009A0282">
            <w:pPr>
              <w:spacing w:before="0" w:after="0" w:line="240" w:lineRule="auto"/>
              <w:jc w:val="left"/>
              <w:rPr>
                <w:rFonts w:eastAsia="Times New Roman" w:cs="Times New Roman"/>
                <w:color w:val="000000"/>
                <w:spacing w:val="0"/>
                <w:sz w:val="22"/>
                <w:lang w:val="es-EC" w:eastAsia="es-EC"/>
                <w14:numForm w14:val="default"/>
              </w:rPr>
            </w:pPr>
            <w:r w:rsidRPr="00E457AC">
              <w:rPr>
                <w:rFonts w:eastAsia="Times New Roman" w:cs="Times New Roman"/>
                <w:b/>
                <w:bCs/>
                <w:color w:val="000000"/>
                <w:spacing w:val="0"/>
                <w:sz w:val="22"/>
                <w:lang w:val="es-EC" w:eastAsia="es-EC"/>
                <w14:numForm w14:val="default"/>
              </w:rPr>
              <w:t>Tabla 1.</w:t>
            </w:r>
            <w:r w:rsidRPr="00E457AC">
              <w:rPr>
                <w:rFonts w:eastAsia="Times New Roman" w:cs="Times New Roman"/>
                <w:color w:val="000000"/>
                <w:spacing w:val="0"/>
                <w:sz w:val="22"/>
                <w:lang w:val="es-EC" w:eastAsia="es-EC"/>
                <w14:numForm w14:val="default"/>
              </w:rPr>
              <w:t xml:space="preserve"> Datos demográficos de la muestra</w:t>
            </w:r>
          </w:p>
        </w:tc>
        <w:tc>
          <w:tcPr>
            <w:tcW w:w="1178" w:type="dxa"/>
            <w:tcBorders>
              <w:top w:val="nil"/>
              <w:left w:val="nil"/>
              <w:bottom w:val="nil"/>
              <w:right w:val="nil"/>
            </w:tcBorders>
            <w:noWrap/>
            <w:vAlign w:val="bottom"/>
            <w:hideMark/>
          </w:tcPr>
          <w:p w14:paraId="7EA9DF08" w14:textId="77777777" w:rsidR="009A0282" w:rsidRPr="00E457AC" w:rsidRDefault="009A0282" w:rsidP="009A0282">
            <w:pPr>
              <w:spacing w:before="0" w:after="0" w:line="240" w:lineRule="auto"/>
              <w:jc w:val="left"/>
              <w:rPr>
                <w:rFonts w:eastAsia="Times New Roman" w:cs="Times New Roman"/>
                <w:color w:val="000000"/>
                <w:spacing w:val="0"/>
                <w:sz w:val="22"/>
                <w:lang w:val="es-EC" w:eastAsia="es-EC"/>
                <w14:numForm w14:val="default"/>
              </w:rPr>
            </w:pPr>
          </w:p>
        </w:tc>
      </w:tr>
      <w:tr w:rsidR="009A0282" w:rsidRPr="00E457AC" w14:paraId="58CCD200" w14:textId="77777777" w:rsidTr="00B32A1F">
        <w:trPr>
          <w:trHeight w:val="288"/>
        </w:trPr>
        <w:tc>
          <w:tcPr>
            <w:tcW w:w="1277" w:type="dxa"/>
            <w:tcBorders>
              <w:top w:val="nil"/>
              <w:left w:val="nil"/>
              <w:bottom w:val="nil"/>
              <w:right w:val="nil"/>
            </w:tcBorders>
            <w:noWrap/>
            <w:vAlign w:val="bottom"/>
            <w:hideMark/>
          </w:tcPr>
          <w:p w14:paraId="4633BFEC" w14:textId="77777777" w:rsidR="009A0282" w:rsidRPr="00E457AC" w:rsidRDefault="009A0282" w:rsidP="009A0282">
            <w:pPr>
              <w:spacing w:before="0" w:after="0" w:line="240" w:lineRule="auto"/>
              <w:jc w:val="left"/>
              <w:rPr>
                <w:rFonts w:eastAsia="Times New Roman" w:cs="Times New Roman"/>
                <w:spacing w:val="0"/>
                <w:sz w:val="22"/>
                <w:lang w:val="es-EC" w:eastAsia="es-EC"/>
                <w14:numForm w14:val="default"/>
              </w:rPr>
            </w:pPr>
          </w:p>
        </w:tc>
        <w:tc>
          <w:tcPr>
            <w:tcW w:w="2476" w:type="dxa"/>
            <w:tcBorders>
              <w:top w:val="nil"/>
              <w:left w:val="nil"/>
              <w:bottom w:val="nil"/>
              <w:right w:val="nil"/>
            </w:tcBorders>
            <w:noWrap/>
            <w:vAlign w:val="bottom"/>
            <w:hideMark/>
          </w:tcPr>
          <w:p w14:paraId="4A569E18" w14:textId="77777777" w:rsidR="009A0282" w:rsidRPr="00E457AC" w:rsidRDefault="009A0282" w:rsidP="009A0282">
            <w:pPr>
              <w:spacing w:before="0" w:after="0" w:line="240" w:lineRule="auto"/>
              <w:jc w:val="left"/>
              <w:rPr>
                <w:rFonts w:eastAsia="Times New Roman" w:cs="Times New Roman"/>
                <w:spacing w:val="0"/>
                <w:sz w:val="22"/>
                <w:lang w:val="es-EC" w:eastAsia="es-EC"/>
                <w14:numForm w14:val="default"/>
              </w:rPr>
            </w:pPr>
          </w:p>
        </w:tc>
        <w:tc>
          <w:tcPr>
            <w:tcW w:w="1209" w:type="dxa"/>
            <w:tcBorders>
              <w:top w:val="nil"/>
              <w:left w:val="nil"/>
              <w:bottom w:val="nil"/>
              <w:right w:val="nil"/>
            </w:tcBorders>
            <w:noWrap/>
            <w:vAlign w:val="bottom"/>
            <w:hideMark/>
          </w:tcPr>
          <w:p w14:paraId="77FBE4FE" w14:textId="77777777" w:rsidR="009A0282" w:rsidRPr="00E457AC" w:rsidRDefault="009A0282" w:rsidP="009A0282">
            <w:pPr>
              <w:spacing w:before="0" w:after="0" w:line="240" w:lineRule="auto"/>
              <w:jc w:val="left"/>
              <w:rPr>
                <w:rFonts w:eastAsia="Times New Roman" w:cs="Times New Roman"/>
                <w:spacing w:val="0"/>
                <w:sz w:val="22"/>
                <w:lang w:val="es-EC" w:eastAsia="es-EC"/>
                <w14:numForm w14:val="default"/>
              </w:rPr>
            </w:pPr>
          </w:p>
        </w:tc>
        <w:tc>
          <w:tcPr>
            <w:tcW w:w="1178" w:type="dxa"/>
            <w:tcBorders>
              <w:top w:val="nil"/>
              <w:left w:val="nil"/>
              <w:bottom w:val="nil"/>
              <w:right w:val="nil"/>
            </w:tcBorders>
            <w:noWrap/>
            <w:vAlign w:val="bottom"/>
            <w:hideMark/>
          </w:tcPr>
          <w:p w14:paraId="158CE228" w14:textId="77777777" w:rsidR="009A0282" w:rsidRPr="00E457AC" w:rsidRDefault="009A0282" w:rsidP="009A0282">
            <w:pPr>
              <w:spacing w:before="0" w:after="0" w:line="240" w:lineRule="auto"/>
              <w:jc w:val="left"/>
              <w:rPr>
                <w:rFonts w:eastAsia="Times New Roman" w:cs="Times New Roman"/>
                <w:spacing w:val="0"/>
                <w:sz w:val="22"/>
                <w:lang w:val="es-EC" w:eastAsia="es-EC"/>
                <w14:numForm w14:val="default"/>
              </w:rPr>
            </w:pPr>
          </w:p>
        </w:tc>
      </w:tr>
      <w:tr w:rsidR="009A0282" w:rsidRPr="00705F6F" w14:paraId="4417335F" w14:textId="77777777" w:rsidTr="00B32A1F">
        <w:trPr>
          <w:trHeight w:val="288"/>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44A1300D"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r w:rsidRPr="00705F6F">
              <w:rPr>
                <w:rFonts w:ascii="Arial Narrow" w:eastAsia="Times New Roman" w:hAnsi="Arial Narrow" w:cs="Times New Roman"/>
                <w:b/>
                <w:bCs/>
                <w:color w:val="000000"/>
                <w:spacing w:val="0"/>
                <w:sz w:val="22"/>
                <w:lang w:val="es-EC" w:eastAsia="es-EC"/>
                <w14:numForm w14:val="default"/>
              </w:rPr>
              <w:t>Variable</w:t>
            </w:r>
          </w:p>
        </w:tc>
        <w:tc>
          <w:tcPr>
            <w:tcW w:w="2476" w:type="dxa"/>
            <w:tcBorders>
              <w:top w:val="single" w:sz="4" w:space="0" w:color="auto"/>
              <w:left w:val="nil"/>
              <w:bottom w:val="single" w:sz="4" w:space="0" w:color="auto"/>
              <w:right w:val="single" w:sz="4" w:space="0" w:color="auto"/>
            </w:tcBorders>
            <w:noWrap/>
            <w:vAlign w:val="bottom"/>
            <w:hideMark/>
          </w:tcPr>
          <w:p w14:paraId="76BD4BB2"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r w:rsidRPr="00705F6F">
              <w:rPr>
                <w:rFonts w:ascii="Arial Narrow" w:eastAsia="Times New Roman" w:hAnsi="Arial Narrow" w:cs="Times New Roman"/>
                <w:b/>
                <w:bCs/>
                <w:color w:val="000000"/>
                <w:spacing w:val="0"/>
                <w:sz w:val="22"/>
                <w:lang w:val="es-EC" w:eastAsia="es-EC"/>
                <w14:numForm w14:val="default"/>
              </w:rPr>
              <w:t>Categoría</w:t>
            </w:r>
          </w:p>
        </w:tc>
        <w:tc>
          <w:tcPr>
            <w:tcW w:w="1209" w:type="dxa"/>
            <w:tcBorders>
              <w:top w:val="single" w:sz="4" w:space="0" w:color="auto"/>
              <w:left w:val="nil"/>
              <w:bottom w:val="single" w:sz="4" w:space="0" w:color="auto"/>
              <w:right w:val="single" w:sz="4" w:space="0" w:color="auto"/>
            </w:tcBorders>
            <w:noWrap/>
            <w:vAlign w:val="bottom"/>
            <w:hideMark/>
          </w:tcPr>
          <w:p w14:paraId="570DD7DC"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r w:rsidRPr="00705F6F">
              <w:rPr>
                <w:rFonts w:ascii="Arial Narrow" w:eastAsia="Times New Roman" w:hAnsi="Arial Narrow" w:cs="Times New Roman"/>
                <w:b/>
                <w:bCs/>
                <w:color w:val="000000"/>
                <w:spacing w:val="0"/>
                <w:sz w:val="22"/>
                <w:lang w:val="es-EC" w:eastAsia="es-EC"/>
                <w14:numForm w14:val="default"/>
              </w:rPr>
              <w:t>Número (n)</w:t>
            </w:r>
          </w:p>
        </w:tc>
        <w:tc>
          <w:tcPr>
            <w:tcW w:w="1178" w:type="dxa"/>
            <w:tcBorders>
              <w:top w:val="single" w:sz="4" w:space="0" w:color="auto"/>
              <w:left w:val="nil"/>
              <w:bottom w:val="single" w:sz="4" w:space="0" w:color="auto"/>
              <w:right w:val="single" w:sz="4" w:space="0" w:color="auto"/>
            </w:tcBorders>
            <w:noWrap/>
            <w:vAlign w:val="bottom"/>
            <w:hideMark/>
          </w:tcPr>
          <w:p w14:paraId="491EF7DA"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r w:rsidRPr="00705F6F">
              <w:rPr>
                <w:rFonts w:ascii="Arial Narrow" w:eastAsia="Times New Roman" w:hAnsi="Arial Narrow" w:cs="Times New Roman"/>
                <w:b/>
                <w:bCs/>
                <w:color w:val="000000"/>
                <w:spacing w:val="0"/>
                <w:sz w:val="22"/>
                <w:lang w:val="es-EC" w:eastAsia="es-EC"/>
                <w14:numForm w14:val="default"/>
              </w:rPr>
              <w:t>Porcentaje</w:t>
            </w:r>
          </w:p>
        </w:tc>
      </w:tr>
      <w:tr w:rsidR="009A0282" w:rsidRPr="00705F6F" w14:paraId="7D84AE25" w14:textId="77777777" w:rsidTr="00B32A1F">
        <w:trPr>
          <w:trHeight w:val="288"/>
        </w:trPr>
        <w:tc>
          <w:tcPr>
            <w:tcW w:w="1277" w:type="dxa"/>
            <w:vMerge w:val="restart"/>
            <w:tcBorders>
              <w:top w:val="nil"/>
              <w:left w:val="single" w:sz="4" w:space="0" w:color="auto"/>
              <w:bottom w:val="single" w:sz="4" w:space="0" w:color="000000"/>
              <w:right w:val="single" w:sz="4" w:space="0" w:color="auto"/>
            </w:tcBorders>
            <w:vAlign w:val="center"/>
            <w:hideMark/>
          </w:tcPr>
          <w:p w14:paraId="491AA0CC"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r w:rsidRPr="00705F6F">
              <w:rPr>
                <w:rFonts w:ascii="Arial Narrow" w:eastAsia="Times New Roman" w:hAnsi="Arial Narrow" w:cs="Times New Roman"/>
                <w:b/>
                <w:bCs/>
                <w:color w:val="000000"/>
                <w:spacing w:val="0"/>
                <w:sz w:val="22"/>
                <w:lang w:val="es-EC" w:eastAsia="es-EC"/>
                <w14:numForm w14:val="default"/>
              </w:rPr>
              <w:t>Género</w:t>
            </w:r>
          </w:p>
        </w:tc>
        <w:tc>
          <w:tcPr>
            <w:tcW w:w="2476" w:type="dxa"/>
            <w:tcBorders>
              <w:top w:val="nil"/>
              <w:left w:val="nil"/>
              <w:bottom w:val="single" w:sz="4" w:space="0" w:color="auto"/>
              <w:right w:val="single" w:sz="4" w:space="0" w:color="auto"/>
            </w:tcBorders>
            <w:noWrap/>
            <w:vAlign w:val="bottom"/>
            <w:hideMark/>
          </w:tcPr>
          <w:p w14:paraId="1D97916C"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Femenino</w:t>
            </w:r>
          </w:p>
        </w:tc>
        <w:tc>
          <w:tcPr>
            <w:tcW w:w="1209" w:type="dxa"/>
            <w:tcBorders>
              <w:top w:val="nil"/>
              <w:left w:val="nil"/>
              <w:bottom w:val="single" w:sz="4" w:space="0" w:color="auto"/>
              <w:right w:val="single" w:sz="4" w:space="0" w:color="auto"/>
            </w:tcBorders>
            <w:noWrap/>
            <w:vAlign w:val="bottom"/>
            <w:hideMark/>
          </w:tcPr>
          <w:p w14:paraId="5AB29182"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50</w:t>
            </w:r>
          </w:p>
        </w:tc>
        <w:tc>
          <w:tcPr>
            <w:tcW w:w="1178" w:type="dxa"/>
            <w:tcBorders>
              <w:top w:val="nil"/>
              <w:left w:val="nil"/>
              <w:bottom w:val="single" w:sz="4" w:space="0" w:color="auto"/>
              <w:right w:val="single" w:sz="4" w:space="0" w:color="auto"/>
            </w:tcBorders>
            <w:noWrap/>
            <w:vAlign w:val="bottom"/>
            <w:hideMark/>
          </w:tcPr>
          <w:p w14:paraId="0F8507B0"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50%</w:t>
            </w:r>
          </w:p>
        </w:tc>
      </w:tr>
      <w:tr w:rsidR="009A0282" w:rsidRPr="00705F6F" w14:paraId="6F67577D" w14:textId="77777777" w:rsidTr="00B32A1F">
        <w:trPr>
          <w:trHeight w:val="288"/>
        </w:trPr>
        <w:tc>
          <w:tcPr>
            <w:tcW w:w="1277" w:type="dxa"/>
            <w:vMerge/>
            <w:tcBorders>
              <w:top w:val="nil"/>
              <w:left w:val="single" w:sz="4" w:space="0" w:color="auto"/>
              <w:bottom w:val="single" w:sz="4" w:space="0" w:color="000000"/>
              <w:right w:val="single" w:sz="4" w:space="0" w:color="auto"/>
            </w:tcBorders>
            <w:vAlign w:val="center"/>
            <w:hideMark/>
          </w:tcPr>
          <w:p w14:paraId="6619BF05"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p>
        </w:tc>
        <w:tc>
          <w:tcPr>
            <w:tcW w:w="2476" w:type="dxa"/>
            <w:tcBorders>
              <w:top w:val="nil"/>
              <w:left w:val="nil"/>
              <w:bottom w:val="single" w:sz="4" w:space="0" w:color="auto"/>
              <w:right w:val="single" w:sz="4" w:space="0" w:color="auto"/>
            </w:tcBorders>
            <w:noWrap/>
            <w:vAlign w:val="bottom"/>
            <w:hideMark/>
          </w:tcPr>
          <w:p w14:paraId="04C20D25" w14:textId="13A8C668"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Ma</w:t>
            </w:r>
            <w:r w:rsidR="00091E49">
              <w:rPr>
                <w:rFonts w:ascii="Arial Narrow" w:eastAsia="Times New Roman" w:hAnsi="Arial Narrow" w:cs="Times New Roman"/>
                <w:color w:val="000000"/>
                <w:spacing w:val="0"/>
                <w:sz w:val="22"/>
                <w:lang w:val="es-EC" w:eastAsia="es-EC"/>
                <w14:numForm w14:val="default"/>
              </w:rPr>
              <w:t>s</w:t>
            </w:r>
            <w:r w:rsidRPr="00705F6F">
              <w:rPr>
                <w:rFonts w:ascii="Arial Narrow" w:eastAsia="Times New Roman" w:hAnsi="Arial Narrow" w:cs="Times New Roman"/>
                <w:color w:val="000000"/>
                <w:spacing w:val="0"/>
                <w:sz w:val="22"/>
                <w:lang w:val="es-EC" w:eastAsia="es-EC"/>
                <w14:numForm w14:val="default"/>
              </w:rPr>
              <w:t>culino</w:t>
            </w:r>
          </w:p>
        </w:tc>
        <w:tc>
          <w:tcPr>
            <w:tcW w:w="1209" w:type="dxa"/>
            <w:tcBorders>
              <w:top w:val="nil"/>
              <w:left w:val="nil"/>
              <w:bottom w:val="single" w:sz="4" w:space="0" w:color="auto"/>
              <w:right w:val="single" w:sz="4" w:space="0" w:color="auto"/>
            </w:tcBorders>
            <w:noWrap/>
            <w:vAlign w:val="bottom"/>
            <w:hideMark/>
          </w:tcPr>
          <w:p w14:paraId="237EEE41"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50</w:t>
            </w:r>
          </w:p>
        </w:tc>
        <w:tc>
          <w:tcPr>
            <w:tcW w:w="1178" w:type="dxa"/>
            <w:tcBorders>
              <w:top w:val="nil"/>
              <w:left w:val="nil"/>
              <w:bottom w:val="single" w:sz="4" w:space="0" w:color="auto"/>
              <w:right w:val="single" w:sz="4" w:space="0" w:color="auto"/>
            </w:tcBorders>
            <w:noWrap/>
            <w:vAlign w:val="bottom"/>
            <w:hideMark/>
          </w:tcPr>
          <w:p w14:paraId="5786F4BA"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50%</w:t>
            </w:r>
          </w:p>
        </w:tc>
      </w:tr>
      <w:tr w:rsidR="009A0282" w:rsidRPr="00705F6F" w14:paraId="3AC235CE" w14:textId="77777777" w:rsidTr="00B32A1F">
        <w:trPr>
          <w:trHeight w:val="288"/>
        </w:trPr>
        <w:tc>
          <w:tcPr>
            <w:tcW w:w="1277" w:type="dxa"/>
            <w:vMerge w:val="restart"/>
            <w:tcBorders>
              <w:top w:val="nil"/>
              <w:left w:val="single" w:sz="4" w:space="0" w:color="auto"/>
              <w:bottom w:val="single" w:sz="4" w:space="0" w:color="000000"/>
              <w:right w:val="single" w:sz="4" w:space="0" w:color="auto"/>
            </w:tcBorders>
            <w:noWrap/>
            <w:vAlign w:val="center"/>
            <w:hideMark/>
          </w:tcPr>
          <w:p w14:paraId="6A944108"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r w:rsidRPr="00705F6F">
              <w:rPr>
                <w:rFonts w:ascii="Arial Narrow" w:eastAsia="Times New Roman" w:hAnsi="Arial Narrow" w:cs="Times New Roman"/>
                <w:b/>
                <w:bCs/>
                <w:color w:val="000000"/>
                <w:spacing w:val="0"/>
                <w:sz w:val="22"/>
                <w:lang w:val="es-EC" w:eastAsia="es-EC"/>
                <w14:numForm w14:val="default"/>
              </w:rPr>
              <w:t>Edad</w:t>
            </w:r>
          </w:p>
        </w:tc>
        <w:tc>
          <w:tcPr>
            <w:tcW w:w="2476" w:type="dxa"/>
            <w:tcBorders>
              <w:top w:val="nil"/>
              <w:left w:val="nil"/>
              <w:bottom w:val="single" w:sz="4" w:space="0" w:color="auto"/>
              <w:right w:val="single" w:sz="4" w:space="0" w:color="auto"/>
            </w:tcBorders>
            <w:noWrap/>
            <w:vAlign w:val="bottom"/>
            <w:hideMark/>
          </w:tcPr>
          <w:p w14:paraId="548FBC07"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35-45 años</w:t>
            </w:r>
          </w:p>
        </w:tc>
        <w:tc>
          <w:tcPr>
            <w:tcW w:w="1209" w:type="dxa"/>
            <w:tcBorders>
              <w:top w:val="nil"/>
              <w:left w:val="nil"/>
              <w:bottom w:val="single" w:sz="4" w:space="0" w:color="auto"/>
              <w:right w:val="single" w:sz="4" w:space="0" w:color="auto"/>
            </w:tcBorders>
            <w:noWrap/>
            <w:vAlign w:val="bottom"/>
            <w:hideMark/>
          </w:tcPr>
          <w:p w14:paraId="292D3681"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4</w:t>
            </w:r>
          </w:p>
        </w:tc>
        <w:tc>
          <w:tcPr>
            <w:tcW w:w="1178" w:type="dxa"/>
            <w:tcBorders>
              <w:top w:val="nil"/>
              <w:left w:val="nil"/>
              <w:bottom w:val="single" w:sz="4" w:space="0" w:color="auto"/>
              <w:right w:val="single" w:sz="4" w:space="0" w:color="auto"/>
            </w:tcBorders>
            <w:noWrap/>
            <w:vAlign w:val="bottom"/>
            <w:hideMark/>
          </w:tcPr>
          <w:p w14:paraId="4690C429"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4%</w:t>
            </w:r>
          </w:p>
        </w:tc>
      </w:tr>
      <w:tr w:rsidR="009A0282" w:rsidRPr="00705F6F" w14:paraId="308FB438" w14:textId="77777777" w:rsidTr="00B32A1F">
        <w:trPr>
          <w:trHeight w:val="288"/>
        </w:trPr>
        <w:tc>
          <w:tcPr>
            <w:tcW w:w="1277" w:type="dxa"/>
            <w:vMerge/>
            <w:tcBorders>
              <w:top w:val="nil"/>
              <w:left w:val="single" w:sz="4" w:space="0" w:color="auto"/>
              <w:bottom w:val="single" w:sz="4" w:space="0" w:color="000000"/>
              <w:right w:val="single" w:sz="4" w:space="0" w:color="auto"/>
            </w:tcBorders>
            <w:vAlign w:val="center"/>
            <w:hideMark/>
          </w:tcPr>
          <w:p w14:paraId="479702AB"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p>
        </w:tc>
        <w:tc>
          <w:tcPr>
            <w:tcW w:w="2476" w:type="dxa"/>
            <w:tcBorders>
              <w:top w:val="nil"/>
              <w:left w:val="nil"/>
              <w:bottom w:val="single" w:sz="4" w:space="0" w:color="auto"/>
              <w:right w:val="single" w:sz="4" w:space="0" w:color="auto"/>
            </w:tcBorders>
            <w:noWrap/>
            <w:vAlign w:val="bottom"/>
            <w:hideMark/>
          </w:tcPr>
          <w:p w14:paraId="074E2401"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46-56 años</w:t>
            </w:r>
          </w:p>
        </w:tc>
        <w:tc>
          <w:tcPr>
            <w:tcW w:w="1209" w:type="dxa"/>
            <w:tcBorders>
              <w:top w:val="nil"/>
              <w:left w:val="nil"/>
              <w:bottom w:val="single" w:sz="4" w:space="0" w:color="auto"/>
              <w:right w:val="single" w:sz="4" w:space="0" w:color="auto"/>
            </w:tcBorders>
            <w:noWrap/>
            <w:vAlign w:val="bottom"/>
            <w:hideMark/>
          </w:tcPr>
          <w:p w14:paraId="5BC7F196"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11</w:t>
            </w:r>
          </w:p>
        </w:tc>
        <w:tc>
          <w:tcPr>
            <w:tcW w:w="1178" w:type="dxa"/>
            <w:tcBorders>
              <w:top w:val="nil"/>
              <w:left w:val="nil"/>
              <w:bottom w:val="single" w:sz="4" w:space="0" w:color="auto"/>
              <w:right w:val="single" w:sz="4" w:space="0" w:color="auto"/>
            </w:tcBorders>
            <w:noWrap/>
            <w:vAlign w:val="bottom"/>
            <w:hideMark/>
          </w:tcPr>
          <w:p w14:paraId="208BDC50"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11%</w:t>
            </w:r>
          </w:p>
        </w:tc>
      </w:tr>
      <w:tr w:rsidR="009A0282" w:rsidRPr="00705F6F" w14:paraId="174BCF33" w14:textId="77777777" w:rsidTr="00B32A1F">
        <w:trPr>
          <w:trHeight w:val="288"/>
        </w:trPr>
        <w:tc>
          <w:tcPr>
            <w:tcW w:w="1277" w:type="dxa"/>
            <w:vMerge/>
            <w:tcBorders>
              <w:top w:val="nil"/>
              <w:left w:val="single" w:sz="4" w:space="0" w:color="auto"/>
              <w:bottom w:val="single" w:sz="4" w:space="0" w:color="000000"/>
              <w:right w:val="single" w:sz="4" w:space="0" w:color="auto"/>
            </w:tcBorders>
            <w:vAlign w:val="center"/>
            <w:hideMark/>
          </w:tcPr>
          <w:p w14:paraId="140182F1"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p>
        </w:tc>
        <w:tc>
          <w:tcPr>
            <w:tcW w:w="2476" w:type="dxa"/>
            <w:tcBorders>
              <w:top w:val="nil"/>
              <w:left w:val="nil"/>
              <w:bottom w:val="single" w:sz="4" w:space="0" w:color="auto"/>
              <w:right w:val="single" w:sz="4" w:space="0" w:color="auto"/>
            </w:tcBorders>
            <w:noWrap/>
            <w:vAlign w:val="bottom"/>
            <w:hideMark/>
          </w:tcPr>
          <w:p w14:paraId="19090CAD"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57-64 años</w:t>
            </w:r>
          </w:p>
        </w:tc>
        <w:tc>
          <w:tcPr>
            <w:tcW w:w="1209" w:type="dxa"/>
            <w:tcBorders>
              <w:top w:val="nil"/>
              <w:left w:val="nil"/>
              <w:bottom w:val="single" w:sz="4" w:space="0" w:color="auto"/>
              <w:right w:val="single" w:sz="4" w:space="0" w:color="auto"/>
            </w:tcBorders>
            <w:noWrap/>
            <w:vAlign w:val="bottom"/>
            <w:hideMark/>
          </w:tcPr>
          <w:p w14:paraId="0B381A60"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35</w:t>
            </w:r>
          </w:p>
        </w:tc>
        <w:tc>
          <w:tcPr>
            <w:tcW w:w="1178" w:type="dxa"/>
            <w:tcBorders>
              <w:top w:val="nil"/>
              <w:left w:val="nil"/>
              <w:bottom w:val="single" w:sz="4" w:space="0" w:color="auto"/>
              <w:right w:val="single" w:sz="4" w:space="0" w:color="auto"/>
            </w:tcBorders>
            <w:noWrap/>
            <w:vAlign w:val="bottom"/>
            <w:hideMark/>
          </w:tcPr>
          <w:p w14:paraId="025879F8"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35%</w:t>
            </w:r>
          </w:p>
        </w:tc>
      </w:tr>
      <w:tr w:rsidR="009A0282" w:rsidRPr="00705F6F" w14:paraId="08F789A2" w14:textId="77777777" w:rsidTr="00B32A1F">
        <w:trPr>
          <w:trHeight w:val="288"/>
        </w:trPr>
        <w:tc>
          <w:tcPr>
            <w:tcW w:w="1277" w:type="dxa"/>
            <w:vMerge/>
            <w:tcBorders>
              <w:top w:val="nil"/>
              <w:left w:val="single" w:sz="4" w:space="0" w:color="auto"/>
              <w:bottom w:val="single" w:sz="4" w:space="0" w:color="000000"/>
              <w:right w:val="single" w:sz="4" w:space="0" w:color="auto"/>
            </w:tcBorders>
            <w:vAlign w:val="center"/>
            <w:hideMark/>
          </w:tcPr>
          <w:p w14:paraId="5258A288"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p>
        </w:tc>
        <w:tc>
          <w:tcPr>
            <w:tcW w:w="2476" w:type="dxa"/>
            <w:tcBorders>
              <w:top w:val="nil"/>
              <w:left w:val="nil"/>
              <w:bottom w:val="single" w:sz="4" w:space="0" w:color="auto"/>
              <w:right w:val="single" w:sz="4" w:space="0" w:color="auto"/>
            </w:tcBorders>
            <w:noWrap/>
            <w:vAlign w:val="bottom"/>
            <w:hideMark/>
          </w:tcPr>
          <w:p w14:paraId="2D60256E"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Más de 65 años</w:t>
            </w:r>
          </w:p>
        </w:tc>
        <w:tc>
          <w:tcPr>
            <w:tcW w:w="1209" w:type="dxa"/>
            <w:tcBorders>
              <w:top w:val="nil"/>
              <w:left w:val="nil"/>
              <w:bottom w:val="single" w:sz="4" w:space="0" w:color="auto"/>
              <w:right w:val="single" w:sz="4" w:space="0" w:color="auto"/>
            </w:tcBorders>
            <w:noWrap/>
            <w:vAlign w:val="bottom"/>
            <w:hideMark/>
          </w:tcPr>
          <w:p w14:paraId="5C88C79F"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50</w:t>
            </w:r>
          </w:p>
        </w:tc>
        <w:tc>
          <w:tcPr>
            <w:tcW w:w="1178" w:type="dxa"/>
            <w:tcBorders>
              <w:top w:val="nil"/>
              <w:left w:val="nil"/>
              <w:bottom w:val="single" w:sz="4" w:space="0" w:color="auto"/>
              <w:right w:val="single" w:sz="4" w:space="0" w:color="auto"/>
            </w:tcBorders>
            <w:noWrap/>
            <w:vAlign w:val="bottom"/>
            <w:hideMark/>
          </w:tcPr>
          <w:p w14:paraId="065F16BA"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50%</w:t>
            </w:r>
          </w:p>
        </w:tc>
      </w:tr>
      <w:tr w:rsidR="009A0282" w:rsidRPr="00705F6F" w14:paraId="1BB10D40" w14:textId="77777777" w:rsidTr="00B32A1F">
        <w:trPr>
          <w:trHeight w:val="288"/>
        </w:trPr>
        <w:tc>
          <w:tcPr>
            <w:tcW w:w="1277" w:type="dxa"/>
            <w:vMerge w:val="restart"/>
            <w:tcBorders>
              <w:top w:val="nil"/>
              <w:left w:val="single" w:sz="4" w:space="0" w:color="auto"/>
              <w:bottom w:val="single" w:sz="4" w:space="0" w:color="000000"/>
              <w:right w:val="single" w:sz="4" w:space="0" w:color="auto"/>
            </w:tcBorders>
            <w:noWrap/>
            <w:vAlign w:val="center"/>
            <w:hideMark/>
          </w:tcPr>
          <w:p w14:paraId="1B67B7D6"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r w:rsidRPr="00705F6F">
              <w:rPr>
                <w:rFonts w:ascii="Arial Narrow" w:eastAsia="Times New Roman" w:hAnsi="Arial Narrow" w:cs="Times New Roman"/>
                <w:b/>
                <w:bCs/>
                <w:color w:val="000000"/>
                <w:spacing w:val="0"/>
                <w:sz w:val="22"/>
                <w:lang w:val="es-EC" w:eastAsia="es-EC"/>
                <w14:numForm w14:val="default"/>
              </w:rPr>
              <w:t>Escolaridad</w:t>
            </w:r>
          </w:p>
        </w:tc>
        <w:tc>
          <w:tcPr>
            <w:tcW w:w="2476" w:type="dxa"/>
            <w:tcBorders>
              <w:top w:val="nil"/>
              <w:left w:val="nil"/>
              <w:bottom w:val="single" w:sz="4" w:space="0" w:color="auto"/>
              <w:right w:val="single" w:sz="4" w:space="0" w:color="auto"/>
            </w:tcBorders>
            <w:noWrap/>
            <w:vAlign w:val="bottom"/>
            <w:hideMark/>
          </w:tcPr>
          <w:p w14:paraId="7504581E"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Sin instrucción</w:t>
            </w:r>
          </w:p>
        </w:tc>
        <w:tc>
          <w:tcPr>
            <w:tcW w:w="1209" w:type="dxa"/>
            <w:tcBorders>
              <w:top w:val="nil"/>
              <w:left w:val="nil"/>
              <w:bottom w:val="single" w:sz="4" w:space="0" w:color="auto"/>
              <w:right w:val="single" w:sz="4" w:space="0" w:color="auto"/>
            </w:tcBorders>
            <w:noWrap/>
            <w:vAlign w:val="bottom"/>
            <w:hideMark/>
          </w:tcPr>
          <w:p w14:paraId="42B56CC3"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16</w:t>
            </w:r>
          </w:p>
        </w:tc>
        <w:tc>
          <w:tcPr>
            <w:tcW w:w="1178" w:type="dxa"/>
            <w:tcBorders>
              <w:top w:val="nil"/>
              <w:left w:val="nil"/>
              <w:bottom w:val="single" w:sz="4" w:space="0" w:color="auto"/>
              <w:right w:val="single" w:sz="4" w:space="0" w:color="auto"/>
            </w:tcBorders>
            <w:noWrap/>
            <w:vAlign w:val="bottom"/>
            <w:hideMark/>
          </w:tcPr>
          <w:p w14:paraId="451A440A"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16%</w:t>
            </w:r>
          </w:p>
        </w:tc>
      </w:tr>
      <w:tr w:rsidR="009A0282" w:rsidRPr="00705F6F" w14:paraId="6AC2553C" w14:textId="77777777" w:rsidTr="00B32A1F">
        <w:trPr>
          <w:trHeight w:val="288"/>
        </w:trPr>
        <w:tc>
          <w:tcPr>
            <w:tcW w:w="1277" w:type="dxa"/>
            <w:vMerge/>
            <w:tcBorders>
              <w:top w:val="nil"/>
              <w:left w:val="single" w:sz="4" w:space="0" w:color="auto"/>
              <w:bottom w:val="single" w:sz="4" w:space="0" w:color="000000"/>
              <w:right w:val="single" w:sz="4" w:space="0" w:color="auto"/>
            </w:tcBorders>
            <w:vAlign w:val="center"/>
            <w:hideMark/>
          </w:tcPr>
          <w:p w14:paraId="72560D04"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p>
        </w:tc>
        <w:tc>
          <w:tcPr>
            <w:tcW w:w="2476" w:type="dxa"/>
            <w:tcBorders>
              <w:top w:val="nil"/>
              <w:left w:val="nil"/>
              <w:bottom w:val="single" w:sz="4" w:space="0" w:color="auto"/>
              <w:right w:val="single" w:sz="4" w:space="0" w:color="auto"/>
            </w:tcBorders>
            <w:noWrap/>
            <w:vAlign w:val="bottom"/>
            <w:hideMark/>
          </w:tcPr>
          <w:p w14:paraId="6A3E3834"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Primaria</w:t>
            </w:r>
          </w:p>
        </w:tc>
        <w:tc>
          <w:tcPr>
            <w:tcW w:w="1209" w:type="dxa"/>
            <w:tcBorders>
              <w:top w:val="nil"/>
              <w:left w:val="nil"/>
              <w:bottom w:val="single" w:sz="4" w:space="0" w:color="auto"/>
              <w:right w:val="single" w:sz="4" w:space="0" w:color="auto"/>
            </w:tcBorders>
            <w:noWrap/>
            <w:vAlign w:val="bottom"/>
            <w:hideMark/>
          </w:tcPr>
          <w:p w14:paraId="6FFF1681"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31</w:t>
            </w:r>
          </w:p>
        </w:tc>
        <w:tc>
          <w:tcPr>
            <w:tcW w:w="1178" w:type="dxa"/>
            <w:tcBorders>
              <w:top w:val="nil"/>
              <w:left w:val="nil"/>
              <w:bottom w:val="single" w:sz="4" w:space="0" w:color="auto"/>
              <w:right w:val="single" w:sz="4" w:space="0" w:color="auto"/>
            </w:tcBorders>
            <w:noWrap/>
            <w:vAlign w:val="bottom"/>
            <w:hideMark/>
          </w:tcPr>
          <w:p w14:paraId="280F371E"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31%</w:t>
            </w:r>
          </w:p>
        </w:tc>
      </w:tr>
      <w:tr w:rsidR="009A0282" w:rsidRPr="00705F6F" w14:paraId="7835811A" w14:textId="77777777" w:rsidTr="00B32A1F">
        <w:trPr>
          <w:trHeight w:val="288"/>
        </w:trPr>
        <w:tc>
          <w:tcPr>
            <w:tcW w:w="1277" w:type="dxa"/>
            <w:vMerge/>
            <w:tcBorders>
              <w:top w:val="nil"/>
              <w:left w:val="single" w:sz="4" w:space="0" w:color="auto"/>
              <w:bottom w:val="single" w:sz="4" w:space="0" w:color="000000"/>
              <w:right w:val="single" w:sz="4" w:space="0" w:color="auto"/>
            </w:tcBorders>
            <w:vAlign w:val="center"/>
            <w:hideMark/>
          </w:tcPr>
          <w:p w14:paraId="3C4CC8BF"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p>
        </w:tc>
        <w:tc>
          <w:tcPr>
            <w:tcW w:w="2476" w:type="dxa"/>
            <w:tcBorders>
              <w:top w:val="nil"/>
              <w:left w:val="nil"/>
              <w:bottom w:val="single" w:sz="4" w:space="0" w:color="auto"/>
              <w:right w:val="single" w:sz="4" w:space="0" w:color="auto"/>
            </w:tcBorders>
            <w:noWrap/>
            <w:vAlign w:val="bottom"/>
            <w:hideMark/>
          </w:tcPr>
          <w:p w14:paraId="68BE1B14"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Secundaria</w:t>
            </w:r>
          </w:p>
        </w:tc>
        <w:tc>
          <w:tcPr>
            <w:tcW w:w="1209" w:type="dxa"/>
            <w:tcBorders>
              <w:top w:val="nil"/>
              <w:left w:val="nil"/>
              <w:bottom w:val="single" w:sz="4" w:space="0" w:color="auto"/>
              <w:right w:val="single" w:sz="4" w:space="0" w:color="auto"/>
            </w:tcBorders>
            <w:noWrap/>
            <w:vAlign w:val="bottom"/>
            <w:hideMark/>
          </w:tcPr>
          <w:p w14:paraId="6021CA58"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50</w:t>
            </w:r>
          </w:p>
        </w:tc>
        <w:tc>
          <w:tcPr>
            <w:tcW w:w="1178" w:type="dxa"/>
            <w:tcBorders>
              <w:top w:val="nil"/>
              <w:left w:val="nil"/>
              <w:bottom w:val="single" w:sz="4" w:space="0" w:color="auto"/>
              <w:right w:val="single" w:sz="4" w:space="0" w:color="auto"/>
            </w:tcBorders>
            <w:noWrap/>
            <w:vAlign w:val="bottom"/>
            <w:hideMark/>
          </w:tcPr>
          <w:p w14:paraId="0B5C8A62"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50%</w:t>
            </w:r>
          </w:p>
        </w:tc>
      </w:tr>
      <w:tr w:rsidR="009A0282" w:rsidRPr="00705F6F" w14:paraId="025B4EC3" w14:textId="77777777" w:rsidTr="00B32A1F">
        <w:trPr>
          <w:trHeight w:val="288"/>
        </w:trPr>
        <w:tc>
          <w:tcPr>
            <w:tcW w:w="1277" w:type="dxa"/>
            <w:vMerge/>
            <w:tcBorders>
              <w:top w:val="nil"/>
              <w:left w:val="single" w:sz="4" w:space="0" w:color="auto"/>
              <w:bottom w:val="single" w:sz="4" w:space="0" w:color="000000"/>
              <w:right w:val="single" w:sz="4" w:space="0" w:color="auto"/>
            </w:tcBorders>
            <w:vAlign w:val="center"/>
            <w:hideMark/>
          </w:tcPr>
          <w:p w14:paraId="37A6C8CB"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p>
        </w:tc>
        <w:tc>
          <w:tcPr>
            <w:tcW w:w="2476" w:type="dxa"/>
            <w:tcBorders>
              <w:top w:val="nil"/>
              <w:left w:val="nil"/>
              <w:bottom w:val="single" w:sz="4" w:space="0" w:color="auto"/>
              <w:right w:val="single" w:sz="4" w:space="0" w:color="auto"/>
            </w:tcBorders>
            <w:noWrap/>
            <w:vAlign w:val="bottom"/>
            <w:hideMark/>
          </w:tcPr>
          <w:p w14:paraId="1471E173"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Superior</w:t>
            </w:r>
          </w:p>
        </w:tc>
        <w:tc>
          <w:tcPr>
            <w:tcW w:w="1209" w:type="dxa"/>
            <w:tcBorders>
              <w:top w:val="nil"/>
              <w:left w:val="nil"/>
              <w:bottom w:val="single" w:sz="4" w:space="0" w:color="auto"/>
              <w:right w:val="single" w:sz="4" w:space="0" w:color="auto"/>
            </w:tcBorders>
            <w:noWrap/>
            <w:vAlign w:val="bottom"/>
            <w:hideMark/>
          </w:tcPr>
          <w:p w14:paraId="6FE2BA1D"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3</w:t>
            </w:r>
          </w:p>
        </w:tc>
        <w:tc>
          <w:tcPr>
            <w:tcW w:w="1178" w:type="dxa"/>
            <w:tcBorders>
              <w:top w:val="nil"/>
              <w:left w:val="nil"/>
              <w:bottom w:val="single" w:sz="4" w:space="0" w:color="auto"/>
              <w:right w:val="single" w:sz="4" w:space="0" w:color="auto"/>
            </w:tcBorders>
            <w:noWrap/>
            <w:vAlign w:val="bottom"/>
            <w:hideMark/>
          </w:tcPr>
          <w:p w14:paraId="680AD35C"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3%</w:t>
            </w:r>
          </w:p>
        </w:tc>
      </w:tr>
      <w:tr w:rsidR="009A0282" w:rsidRPr="00705F6F" w14:paraId="3B9322A3" w14:textId="77777777" w:rsidTr="00B32A1F">
        <w:trPr>
          <w:trHeight w:val="288"/>
        </w:trPr>
        <w:tc>
          <w:tcPr>
            <w:tcW w:w="1277" w:type="dxa"/>
            <w:vMerge w:val="restart"/>
            <w:tcBorders>
              <w:top w:val="nil"/>
              <w:left w:val="single" w:sz="4" w:space="0" w:color="auto"/>
              <w:bottom w:val="single" w:sz="4" w:space="0" w:color="000000"/>
              <w:right w:val="single" w:sz="4" w:space="0" w:color="auto"/>
            </w:tcBorders>
            <w:noWrap/>
            <w:vAlign w:val="center"/>
            <w:hideMark/>
          </w:tcPr>
          <w:p w14:paraId="03E93642"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r w:rsidRPr="00705F6F">
              <w:rPr>
                <w:rFonts w:ascii="Arial Narrow" w:eastAsia="Times New Roman" w:hAnsi="Arial Narrow" w:cs="Times New Roman"/>
                <w:b/>
                <w:bCs/>
                <w:color w:val="000000"/>
                <w:spacing w:val="0"/>
                <w:sz w:val="22"/>
                <w:lang w:val="es-EC" w:eastAsia="es-EC"/>
                <w14:numForm w14:val="default"/>
              </w:rPr>
              <w:t>Ocupación</w:t>
            </w:r>
          </w:p>
        </w:tc>
        <w:tc>
          <w:tcPr>
            <w:tcW w:w="2476" w:type="dxa"/>
            <w:tcBorders>
              <w:top w:val="nil"/>
              <w:left w:val="nil"/>
              <w:bottom w:val="single" w:sz="4" w:space="0" w:color="auto"/>
              <w:right w:val="single" w:sz="4" w:space="0" w:color="auto"/>
            </w:tcBorders>
            <w:noWrap/>
            <w:vAlign w:val="bottom"/>
            <w:hideMark/>
          </w:tcPr>
          <w:p w14:paraId="24D323EC"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Trabajador independiente</w:t>
            </w:r>
          </w:p>
        </w:tc>
        <w:tc>
          <w:tcPr>
            <w:tcW w:w="1209" w:type="dxa"/>
            <w:tcBorders>
              <w:top w:val="nil"/>
              <w:left w:val="nil"/>
              <w:bottom w:val="single" w:sz="4" w:space="0" w:color="auto"/>
              <w:right w:val="single" w:sz="4" w:space="0" w:color="auto"/>
            </w:tcBorders>
            <w:noWrap/>
            <w:vAlign w:val="bottom"/>
            <w:hideMark/>
          </w:tcPr>
          <w:p w14:paraId="5315EA11"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w:t>
            </w:r>
          </w:p>
        </w:tc>
        <w:tc>
          <w:tcPr>
            <w:tcW w:w="1178" w:type="dxa"/>
            <w:tcBorders>
              <w:top w:val="nil"/>
              <w:left w:val="nil"/>
              <w:bottom w:val="single" w:sz="4" w:space="0" w:color="auto"/>
              <w:right w:val="single" w:sz="4" w:space="0" w:color="auto"/>
            </w:tcBorders>
            <w:noWrap/>
            <w:vAlign w:val="bottom"/>
            <w:hideMark/>
          </w:tcPr>
          <w:p w14:paraId="0AC17ADD" w14:textId="0F8E897E" w:rsidR="009A0282" w:rsidRPr="00705F6F" w:rsidRDefault="004621AC"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Pr>
                <w:rFonts w:ascii="Arial Narrow" w:eastAsia="Times New Roman" w:hAnsi="Arial Narrow" w:cs="Times New Roman"/>
                <w:color w:val="000000"/>
                <w:spacing w:val="0"/>
                <w:sz w:val="22"/>
                <w:lang w:val="es-EC" w:eastAsia="es-EC"/>
                <w14:numForm w14:val="default"/>
              </w:rPr>
              <w:t>5</w:t>
            </w:r>
            <w:r w:rsidR="009A0282" w:rsidRPr="00705F6F">
              <w:rPr>
                <w:rFonts w:ascii="Arial Narrow" w:eastAsia="Times New Roman" w:hAnsi="Arial Narrow" w:cs="Times New Roman"/>
                <w:color w:val="000000"/>
                <w:spacing w:val="0"/>
                <w:sz w:val="22"/>
                <w:lang w:val="es-EC" w:eastAsia="es-EC"/>
                <w14:numForm w14:val="default"/>
              </w:rPr>
              <w:t>%</w:t>
            </w:r>
          </w:p>
        </w:tc>
      </w:tr>
      <w:tr w:rsidR="009A0282" w:rsidRPr="00705F6F" w14:paraId="266358F0" w14:textId="77777777" w:rsidTr="00B32A1F">
        <w:trPr>
          <w:trHeight w:val="288"/>
        </w:trPr>
        <w:tc>
          <w:tcPr>
            <w:tcW w:w="1277" w:type="dxa"/>
            <w:vMerge/>
            <w:tcBorders>
              <w:top w:val="nil"/>
              <w:left w:val="single" w:sz="4" w:space="0" w:color="auto"/>
              <w:bottom w:val="single" w:sz="4" w:space="0" w:color="000000"/>
              <w:right w:val="single" w:sz="4" w:space="0" w:color="auto"/>
            </w:tcBorders>
            <w:vAlign w:val="center"/>
            <w:hideMark/>
          </w:tcPr>
          <w:p w14:paraId="16A4A374"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p>
        </w:tc>
        <w:tc>
          <w:tcPr>
            <w:tcW w:w="2476" w:type="dxa"/>
            <w:tcBorders>
              <w:top w:val="nil"/>
              <w:left w:val="nil"/>
              <w:bottom w:val="single" w:sz="4" w:space="0" w:color="auto"/>
              <w:right w:val="single" w:sz="4" w:space="0" w:color="auto"/>
            </w:tcBorders>
            <w:noWrap/>
            <w:vAlign w:val="bottom"/>
            <w:hideMark/>
          </w:tcPr>
          <w:p w14:paraId="451F639F"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Desempleado</w:t>
            </w:r>
          </w:p>
        </w:tc>
        <w:tc>
          <w:tcPr>
            <w:tcW w:w="1209" w:type="dxa"/>
            <w:tcBorders>
              <w:top w:val="nil"/>
              <w:left w:val="nil"/>
              <w:bottom w:val="single" w:sz="4" w:space="0" w:color="auto"/>
              <w:right w:val="single" w:sz="4" w:space="0" w:color="auto"/>
            </w:tcBorders>
            <w:noWrap/>
            <w:vAlign w:val="bottom"/>
            <w:hideMark/>
          </w:tcPr>
          <w:p w14:paraId="603D935E"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45</w:t>
            </w:r>
          </w:p>
        </w:tc>
        <w:tc>
          <w:tcPr>
            <w:tcW w:w="1178" w:type="dxa"/>
            <w:tcBorders>
              <w:top w:val="nil"/>
              <w:left w:val="nil"/>
              <w:bottom w:val="single" w:sz="4" w:space="0" w:color="auto"/>
              <w:right w:val="single" w:sz="4" w:space="0" w:color="auto"/>
            </w:tcBorders>
            <w:noWrap/>
            <w:vAlign w:val="bottom"/>
            <w:hideMark/>
          </w:tcPr>
          <w:p w14:paraId="354B575D"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45%</w:t>
            </w:r>
          </w:p>
        </w:tc>
      </w:tr>
      <w:tr w:rsidR="009A0282" w:rsidRPr="00705F6F" w14:paraId="4BB4D7B9" w14:textId="77777777" w:rsidTr="00B32A1F">
        <w:trPr>
          <w:trHeight w:val="288"/>
        </w:trPr>
        <w:tc>
          <w:tcPr>
            <w:tcW w:w="1277" w:type="dxa"/>
            <w:vMerge/>
            <w:tcBorders>
              <w:top w:val="nil"/>
              <w:left w:val="single" w:sz="4" w:space="0" w:color="auto"/>
              <w:bottom w:val="single" w:sz="4" w:space="0" w:color="000000"/>
              <w:right w:val="single" w:sz="4" w:space="0" w:color="auto"/>
            </w:tcBorders>
            <w:vAlign w:val="center"/>
            <w:hideMark/>
          </w:tcPr>
          <w:p w14:paraId="4C57B3F9" w14:textId="77777777" w:rsidR="009A0282" w:rsidRPr="00705F6F" w:rsidRDefault="009A0282" w:rsidP="009A0282">
            <w:pPr>
              <w:spacing w:before="0" w:after="0" w:line="240" w:lineRule="auto"/>
              <w:jc w:val="left"/>
              <w:rPr>
                <w:rFonts w:ascii="Arial Narrow" w:eastAsia="Times New Roman" w:hAnsi="Arial Narrow" w:cs="Times New Roman"/>
                <w:b/>
                <w:bCs/>
                <w:color w:val="000000"/>
                <w:spacing w:val="0"/>
                <w:sz w:val="22"/>
                <w:lang w:val="es-EC" w:eastAsia="es-EC"/>
                <w14:numForm w14:val="default"/>
              </w:rPr>
            </w:pPr>
          </w:p>
        </w:tc>
        <w:tc>
          <w:tcPr>
            <w:tcW w:w="2476" w:type="dxa"/>
            <w:tcBorders>
              <w:top w:val="nil"/>
              <w:left w:val="nil"/>
              <w:bottom w:val="single" w:sz="4" w:space="0" w:color="auto"/>
              <w:right w:val="single" w:sz="4" w:space="0" w:color="auto"/>
            </w:tcBorders>
            <w:noWrap/>
            <w:vAlign w:val="bottom"/>
            <w:hideMark/>
          </w:tcPr>
          <w:p w14:paraId="5BA0278E" w14:textId="77777777" w:rsidR="009A0282" w:rsidRPr="00705F6F" w:rsidRDefault="009A0282" w:rsidP="009A0282">
            <w:pPr>
              <w:spacing w:before="0" w:after="0" w:line="240" w:lineRule="auto"/>
              <w:jc w:val="lef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Ama de casa</w:t>
            </w:r>
          </w:p>
        </w:tc>
        <w:tc>
          <w:tcPr>
            <w:tcW w:w="1209" w:type="dxa"/>
            <w:tcBorders>
              <w:top w:val="nil"/>
              <w:left w:val="nil"/>
              <w:bottom w:val="single" w:sz="4" w:space="0" w:color="auto"/>
              <w:right w:val="single" w:sz="4" w:space="0" w:color="auto"/>
            </w:tcBorders>
            <w:noWrap/>
            <w:vAlign w:val="bottom"/>
            <w:hideMark/>
          </w:tcPr>
          <w:p w14:paraId="2A1A5318"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50</w:t>
            </w:r>
          </w:p>
        </w:tc>
        <w:tc>
          <w:tcPr>
            <w:tcW w:w="1178" w:type="dxa"/>
            <w:tcBorders>
              <w:top w:val="nil"/>
              <w:left w:val="nil"/>
              <w:bottom w:val="single" w:sz="4" w:space="0" w:color="auto"/>
              <w:right w:val="single" w:sz="4" w:space="0" w:color="auto"/>
            </w:tcBorders>
            <w:noWrap/>
            <w:vAlign w:val="bottom"/>
            <w:hideMark/>
          </w:tcPr>
          <w:p w14:paraId="4EF297C2" w14:textId="77777777" w:rsidR="009A0282" w:rsidRPr="00705F6F" w:rsidRDefault="009A0282" w:rsidP="009A0282">
            <w:pPr>
              <w:spacing w:before="0" w:after="0" w:line="240" w:lineRule="auto"/>
              <w:jc w:val="right"/>
              <w:rPr>
                <w:rFonts w:ascii="Arial Narrow" w:eastAsia="Times New Roman" w:hAnsi="Arial Narrow" w:cs="Times New Roman"/>
                <w:color w:val="000000"/>
                <w:spacing w:val="0"/>
                <w:sz w:val="22"/>
                <w:lang w:val="es-EC" w:eastAsia="es-EC"/>
                <w14:numForm w14:val="default"/>
              </w:rPr>
            </w:pPr>
            <w:r w:rsidRPr="00705F6F">
              <w:rPr>
                <w:rFonts w:ascii="Arial Narrow" w:eastAsia="Times New Roman" w:hAnsi="Arial Narrow" w:cs="Times New Roman"/>
                <w:color w:val="000000"/>
                <w:spacing w:val="0"/>
                <w:sz w:val="22"/>
                <w:lang w:val="es-EC" w:eastAsia="es-EC"/>
                <w14:numForm w14:val="default"/>
              </w:rPr>
              <w:t>50%</w:t>
            </w:r>
          </w:p>
        </w:tc>
      </w:tr>
    </w:tbl>
    <w:p w14:paraId="1507B3AB" w14:textId="1A90E2A4" w:rsidR="009A0282" w:rsidRPr="00E457AC" w:rsidRDefault="003655AC" w:rsidP="008A5C25">
      <w:pPr>
        <w:rPr>
          <w:sz w:val="22"/>
        </w:rPr>
      </w:pPr>
      <w:r w:rsidRPr="00E457AC">
        <w:rPr>
          <w:b/>
          <w:bCs/>
          <w:sz w:val="22"/>
        </w:rPr>
        <w:t>Fuente:</w:t>
      </w:r>
      <w:r w:rsidRPr="00E457AC">
        <w:rPr>
          <w:sz w:val="22"/>
        </w:rPr>
        <w:t xml:space="preserve"> Elaboración propia.</w:t>
      </w:r>
    </w:p>
    <w:p w14:paraId="3C4F66B1" w14:textId="4B2ABDFA" w:rsidR="00EB4790" w:rsidRPr="00E457AC" w:rsidRDefault="00435966" w:rsidP="008A5C25">
      <w:pPr>
        <w:rPr>
          <w:sz w:val="22"/>
        </w:rPr>
      </w:pPr>
      <w:r w:rsidRPr="00E457AC">
        <w:rPr>
          <w:sz w:val="22"/>
        </w:rPr>
        <w:t xml:space="preserve">A continuación, en la Tabla 2, se muestra </w:t>
      </w:r>
      <w:r w:rsidR="00914058" w:rsidRPr="00E457AC">
        <w:rPr>
          <w:sz w:val="22"/>
        </w:rPr>
        <w:t xml:space="preserve">el instrumento adaptado al servicio de nefrología </w:t>
      </w:r>
      <w:r w:rsidR="004B61E5" w:rsidRPr="00E457AC">
        <w:rPr>
          <w:sz w:val="22"/>
        </w:rPr>
        <w:t xml:space="preserve">que cuenta con un cuestionario sólido y confiable. Las comunalidades en su mayoría </w:t>
      </w:r>
      <w:r w:rsidR="0021107C" w:rsidRPr="00E457AC">
        <w:rPr>
          <w:sz w:val="22"/>
        </w:rPr>
        <w:t xml:space="preserve">superan el umbral estándar de 060, lo que significa que el factor latente explica de forma óptima la variabilidad </w:t>
      </w:r>
      <w:r w:rsidR="00753444" w:rsidRPr="00E457AC">
        <w:rPr>
          <w:sz w:val="22"/>
        </w:rPr>
        <w:t xml:space="preserve">de las respuestas de los pacientes renales. </w:t>
      </w:r>
      <w:r w:rsidR="00EB4790" w:rsidRPr="00E457AC">
        <w:rPr>
          <w:sz w:val="22"/>
        </w:rPr>
        <w:t xml:space="preserve">Los índices de KMO </w:t>
      </w:r>
      <w:r w:rsidR="004E3780" w:rsidRPr="00E457AC">
        <w:rPr>
          <w:sz w:val="22"/>
        </w:rPr>
        <w:t>se sitúan en rangos óptimos entre 0.745 y 0.841</w:t>
      </w:r>
      <w:r w:rsidR="00EB4790" w:rsidRPr="00E457AC">
        <w:rPr>
          <w:sz w:val="22"/>
        </w:rPr>
        <w:t xml:space="preserve"> y la alta significan</w:t>
      </w:r>
      <w:r w:rsidR="009B7FD0" w:rsidRPr="00E457AC">
        <w:rPr>
          <w:sz w:val="22"/>
        </w:rPr>
        <w:t xml:space="preserve">cia de la prueba de </w:t>
      </w:r>
      <w:r w:rsidR="009B7FD0" w:rsidRPr="00E457AC">
        <w:rPr>
          <w:sz w:val="22"/>
        </w:rPr>
        <w:lastRenderedPageBreak/>
        <w:t>esfericidad de Bartlett p&lt; 0</w:t>
      </w:r>
      <w:r w:rsidR="004E3780" w:rsidRPr="00E457AC">
        <w:rPr>
          <w:sz w:val="22"/>
        </w:rPr>
        <w:t>.001</w:t>
      </w:r>
      <w:r w:rsidR="009B7FD0" w:rsidRPr="00E457AC">
        <w:rPr>
          <w:sz w:val="22"/>
        </w:rPr>
        <w:t xml:space="preserve"> validan de manera concluyente que las correlaciones entre las variables son significativamente diferentes de cero, permitiendo el </w:t>
      </w:r>
      <w:r w:rsidR="0028730E" w:rsidRPr="00E457AC">
        <w:rPr>
          <w:sz w:val="22"/>
        </w:rPr>
        <w:t>análisis de cada constructo de forma independiente.</w:t>
      </w:r>
    </w:p>
    <w:p w14:paraId="1D699B59" w14:textId="62B7D64F" w:rsidR="0028730E" w:rsidRPr="00E457AC" w:rsidRDefault="0028730E" w:rsidP="008A5C25">
      <w:pPr>
        <w:rPr>
          <w:sz w:val="22"/>
        </w:rPr>
      </w:pPr>
      <w:r w:rsidRPr="00E457AC">
        <w:rPr>
          <w:sz w:val="22"/>
        </w:rPr>
        <w:t xml:space="preserve">Metodológicamente, la distribución de los reactivos y sus respuestas respectivas de cargas factoriales </w:t>
      </w:r>
      <w:r w:rsidR="005B6A2A" w:rsidRPr="00E457AC">
        <w:rPr>
          <w:sz w:val="22"/>
        </w:rPr>
        <w:t xml:space="preserve">fundamentan de manera estadística el comportamiento de la satisfacción de usuarios. El 83% de los pacientes percibieron la calidad de la atención como buena, un </w:t>
      </w:r>
      <w:r w:rsidR="00E457AC" w:rsidRPr="00E457AC">
        <w:rPr>
          <w:sz w:val="22"/>
        </w:rPr>
        <w:t>hallazgo respaldado</w:t>
      </w:r>
      <w:r w:rsidR="005B6A2A" w:rsidRPr="00E457AC">
        <w:rPr>
          <w:sz w:val="22"/>
        </w:rPr>
        <w:t xml:space="preserve"> por las cargas factoriales en los ítems de empatía donde </w:t>
      </w:r>
      <w:r w:rsidR="00A41E9C" w:rsidRPr="00E457AC">
        <w:rPr>
          <w:sz w:val="22"/>
        </w:rPr>
        <w:t>la comprensión de necesidades y el cuidado personalizado alcanzan cargas numéricas de 0.8</w:t>
      </w:r>
      <w:r w:rsidR="004E3780" w:rsidRPr="00E457AC">
        <w:rPr>
          <w:sz w:val="22"/>
        </w:rPr>
        <w:t>54</w:t>
      </w:r>
      <w:r w:rsidR="00A41E9C" w:rsidRPr="00E457AC">
        <w:rPr>
          <w:sz w:val="22"/>
        </w:rPr>
        <w:t xml:space="preserve"> y </w:t>
      </w:r>
      <w:r w:rsidR="00E457AC" w:rsidRPr="00E457AC">
        <w:rPr>
          <w:sz w:val="22"/>
        </w:rPr>
        <w:t>0.832;</w:t>
      </w:r>
      <w:r w:rsidR="00A41E9C" w:rsidRPr="00E457AC">
        <w:rPr>
          <w:sz w:val="22"/>
        </w:rPr>
        <w:t xml:space="preserve"> e</w:t>
      </w:r>
      <w:r w:rsidR="004E3780" w:rsidRPr="00E457AC">
        <w:rPr>
          <w:sz w:val="22"/>
        </w:rPr>
        <w:t>n el</w:t>
      </w:r>
      <w:r w:rsidR="00A41E9C" w:rsidRPr="00E457AC">
        <w:rPr>
          <w:sz w:val="22"/>
        </w:rPr>
        <w:t xml:space="preserve"> ítem de seguridad la competencia técnica </w:t>
      </w:r>
      <w:r w:rsidR="00A31694" w:rsidRPr="00E457AC">
        <w:rPr>
          <w:sz w:val="22"/>
        </w:rPr>
        <w:t xml:space="preserve">y </w:t>
      </w:r>
      <w:r w:rsidR="00DA5BD7" w:rsidRPr="00E457AC">
        <w:rPr>
          <w:sz w:val="22"/>
        </w:rPr>
        <w:t>pericia del personal reporta</w:t>
      </w:r>
      <w:r w:rsidR="00681E52" w:rsidRPr="00E457AC">
        <w:rPr>
          <w:sz w:val="22"/>
        </w:rPr>
        <w:t xml:space="preserve">n </w:t>
      </w:r>
      <w:r w:rsidR="00DA5BD7" w:rsidRPr="00E457AC">
        <w:rPr>
          <w:sz w:val="22"/>
        </w:rPr>
        <w:t>carga</w:t>
      </w:r>
      <w:r w:rsidR="00681E52" w:rsidRPr="00E457AC">
        <w:rPr>
          <w:sz w:val="22"/>
        </w:rPr>
        <w:t>s</w:t>
      </w:r>
      <w:r w:rsidR="00DA5BD7" w:rsidRPr="00E457AC">
        <w:rPr>
          <w:sz w:val="22"/>
        </w:rPr>
        <w:t xml:space="preserve"> de 0.8</w:t>
      </w:r>
      <w:r w:rsidR="00681E52" w:rsidRPr="00E457AC">
        <w:rPr>
          <w:sz w:val="22"/>
        </w:rPr>
        <w:t>65 y 0.841.</w:t>
      </w:r>
      <w:r w:rsidR="00DA5BD7" w:rsidRPr="00E457AC">
        <w:rPr>
          <w:sz w:val="22"/>
        </w:rPr>
        <w:t xml:space="preserve"> Estos indicadores matemáticos confirman que la población de estudio realiza énfasis y valora de manera </w:t>
      </w:r>
      <w:r w:rsidR="00B039F4" w:rsidRPr="00E457AC">
        <w:rPr>
          <w:sz w:val="22"/>
        </w:rPr>
        <w:t>positiva la competencia técnica y el cuidado humanizado proporcionado por el profesional de enfermería</w:t>
      </w:r>
      <w:r w:rsidR="00FE177E" w:rsidRPr="00E457AC">
        <w:rPr>
          <w:sz w:val="22"/>
        </w:rPr>
        <w:t xml:space="preserve"> durante el tratamiento de hemodiálisis.</w:t>
      </w:r>
    </w:p>
    <w:p w14:paraId="41281A51" w14:textId="530FAB57" w:rsidR="00FE177E" w:rsidRPr="00E457AC" w:rsidRDefault="00FE177E" w:rsidP="008A5C25">
      <w:pPr>
        <w:rPr>
          <w:sz w:val="22"/>
        </w:rPr>
      </w:pPr>
      <w:r w:rsidRPr="00E457AC">
        <w:rPr>
          <w:sz w:val="22"/>
        </w:rPr>
        <w:t xml:space="preserve">En el instrumento se </w:t>
      </w:r>
      <w:r w:rsidR="005C146D" w:rsidRPr="00E457AC">
        <w:rPr>
          <w:sz w:val="22"/>
        </w:rPr>
        <w:t>aísla</w:t>
      </w:r>
      <w:r w:rsidRPr="00E457AC">
        <w:rPr>
          <w:sz w:val="22"/>
        </w:rPr>
        <w:t xml:space="preserve"> </w:t>
      </w:r>
      <w:r w:rsidR="00CE23FC" w:rsidRPr="00E457AC">
        <w:rPr>
          <w:sz w:val="22"/>
        </w:rPr>
        <w:t>de manera matemática las áreas vulnerables que explican las razones por el que el 17% de la muestra restante indicó una percepción regular. Al</w:t>
      </w:r>
      <w:r w:rsidR="005C146D" w:rsidRPr="00E457AC">
        <w:rPr>
          <w:sz w:val="22"/>
        </w:rPr>
        <w:t xml:space="preserve"> analizar de manera independiente las dimensiones, se observa que los reactivo con menos carga marginal pertenecen a aspectos logísticos y formativos; específicamente, en la dimensión de capacidad de respuesta</w:t>
      </w:r>
      <w:r w:rsidR="003C7426" w:rsidRPr="00E457AC">
        <w:rPr>
          <w:sz w:val="22"/>
        </w:rPr>
        <w:t>, el reactivo ligado a la gestión de los tiempos de espera reporta una carga baja de 0.6</w:t>
      </w:r>
      <w:r w:rsidR="00681E52" w:rsidRPr="00E457AC">
        <w:rPr>
          <w:sz w:val="22"/>
        </w:rPr>
        <w:t>12</w:t>
      </w:r>
      <w:r w:rsidR="003C7426" w:rsidRPr="00E457AC">
        <w:rPr>
          <w:sz w:val="22"/>
        </w:rPr>
        <w:t>, lo que traduce numéricamente las inconformidades de los usuarios respecto al tiempo de espera prolongado entre turnos de conexión.</w:t>
      </w:r>
    </w:p>
    <w:p w14:paraId="3EF264AC" w14:textId="25957EB2" w:rsidR="004F4342" w:rsidRPr="00E457AC" w:rsidRDefault="00CC65AA" w:rsidP="008A5C25">
      <w:pPr>
        <w:rPr>
          <w:sz w:val="22"/>
        </w:rPr>
      </w:pPr>
      <w:r w:rsidRPr="00E457AC">
        <w:rPr>
          <w:sz w:val="22"/>
        </w:rPr>
        <w:t>La dimensión de seguridad</w:t>
      </w:r>
      <w:r w:rsidR="00681E52" w:rsidRPr="00E457AC">
        <w:rPr>
          <w:sz w:val="22"/>
        </w:rPr>
        <w:t xml:space="preserve">, el reactivo enfocado a la </w:t>
      </w:r>
      <w:r w:rsidR="0053384A" w:rsidRPr="00E457AC">
        <w:rPr>
          <w:sz w:val="22"/>
        </w:rPr>
        <w:t xml:space="preserve">comunicación asertiva sobre el autocuidado de sus accesos vasculares </w:t>
      </w:r>
      <w:r w:rsidR="00F36340" w:rsidRPr="00E457AC">
        <w:rPr>
          <w:sz w:val="22"/>
        </w:rPr>
        <w:t xml:space="preserve">que pueden ser </w:t>
      </w:r>
      <w:r w:rsidR="00BE6E28" w:rsidRPr="00E457AC">
        <w:rPr>
          <w:sz w:val="22"/>
        </w:rPr>
        <w:t>catéter venoso central transitorio o permanente, fistula arteriovenosa autóloga, injerto o prótesis</w:t>
      </w:r>
      <w:r w:rsidR="00AF3A80" w:rsidRPr="00E457AC">
        <w:rPr>
          <w:sz w:val="22"/>
        </w:rPr>
        <w:t xml:space="preserve"> y el régimen de nutrición, debilitando la percepción de protección técnica en ese 17% de la muestra poblacional</w:t>
      </w:r>
      <w:r w:rsidR="00681E52" w:rsidRPr="00E457AC">
        <w:rPr>
          <w:sz w:val="22"/>
        </w:rPr>
        <w:t>; se evidenció la comunalidad de 0.582 y una carga moderada de 0.674.</w:t>
      </w:r>
    </w:p>
    <w:p w14:paraId="28FCF4D6" w14:textId="0312AFDC" w:rsidR="00AF3A80" w:rsidRPr="00E457AC" w:rsidRDefault="00415AE5" w:rsidP="008A5C25">
      <w:pPr>
        <w:rPr>
          <w:sz w:val="22"/>
        </w:rPr>
      </w:pPr>
      <w:r w:rsidRPr="00E457AC">
        <w:rPr>
          <w:sz w:val="22"/>
        </w:rPr>
        <w:t xml:space="preserve">Mediante la interpretación factorial, se demuestra </w:t>
      </w:r>
      <w:r w:rsidR="00E457AC" w:rsidRPr="00E457AC">
        <w:rPr>
          <w:sz w:val="22"/>
        </w:rPr>
        <w:t>que,</w:t>
      </w:r>
      <w:r w:rsidRPr="00E457AC">
        <w:rPr>
          <w:sz w:val="22"/>
        </w:rPr>
        <w:t xml:space="preserve"> si bien existe un alto nivel de satisfacción general de un 83%, se evidencia de manera estadística la necesidad de diseñar e implementar un plan de mejora </w:t>
      </w:r>
      <w:proofErr w:type="spellStart"/>
      <w:r w:rsidR="00E457AC" w:rsidRPr="00E457AC">
        <w:rPr>
          <w:sz w:val="22"/>
        </w:rPr>
        <w:t>continúa</w:t>
      </w:r>
      <w:proofErr w:type="spellEnd"/>
      <w:r w:rsidRPr="00E457AC">
        <w:rPr>
          <w:sz w:val="22"/>
        </w:rPr>
        <w:t xml:space="preserve"> enfocado en la optimización de flujos de tiempos</w:t>
      </w:r>
      <w:r w:rsidR="00365B32" w:rsidRPr="00E457AC">
        <w:rPr>
          <w:sz w:val="22"/>
        </w:rPr>
        <w:t xml:space="preserve"> de atención y el confort general de la sala. Los datos del análisis factorial con</w:t>
      </w:r>
      <w:r w:rsidR="003033C4" w:rsidRPr="00E457AC">
        <w:rPr>
          <w:sz w:val="22"/>
        </w:rPr>
        <w:t>firman que la ciencia de enfermería nefrológica no puede limitarse en el manejo de la máquina de hemodiálisis</w:t>
      </w:r>
      <w:r w:rsidR="006D18FF" w:rsidRPr="00E457AC">
        <w:rPr>
          <w:sz w:val="22"/>
        </w:rPr>
        <w:t xml:space="preserve">, sino que debe integrar de manera obligatoria la eficiencia </w:t>
      </w:r>
      <w:r w:rsidR="006D18FF" w:rsidRPr="00E457AC">
        <w:rPr>
          <w:sz w:val="22"/>
        </w:rPr>
        <w:lastRenderedPageBreak/>
        <w:t>tecnológica con la calidez humana y la educación sanitaria</w:t>
      </w:r>
      <w:r w:rsidR="00E35687" w:rsidRPr="00E457AC">
        <w:rPr>
          <w:sz w:val="22"/>
        </w:rPr>
        <w:t xml:space="preserve">, factores que son imprescindibles para alcanzar la excelencia en el cuidado y </w:t>
      </w:r>
      <w:r w:rsidR="004F1FBC" w:rsidRPr="00E457AC">
        <w:rPr>
          <w:sz w:val="22"/>
        </w:rPr>
        <w:t>la preservación de la vida del paciente renal crónico.</w:t>
      </w:r>
    </w:p>
    <w:p w14:paraId="706B65FD" w14:textId="336A4C93" w:rsidR="00681E52" w:rsidRPr="00E457AC" w:rsidRDefault="00681E52" w:rsidP="008A5C25">
      <w:pPr>
        <w:rPr>
          <w:sz w:val="22"/>
        </w:rPr>
      </w:pPr>
      <w:r w:rsidRPr="00E457AC">
        <w:rPr>
          <w:b/>
          <w:bCs/>
          <w:sz w:val="22"/>
        </w:rPr>
        <w:t>Tabla 2.</w:t>
      </w:r>
      <w:r w:rsidRPr="00E457AC">
        <w:rPr>
          <w:sz w:val="22"/>
        </w:rPr>
        <w:t xml:space="preserve"> Resultado del análisis factorial</w:t>
      </w:r>
    </w:p>
    <w:tbl>
      <w:tblPr>
        <w:tblW w:w="7485" w:type="dxa"/>
        <w:tblCellMar>
          <w:left w:w="70" w:type="dxa"/>
          <w:right w:w="70" w:type="dxa"/>
        </w:tblCellMar>
        <w:tblLook w:val="04A0" w:firstRow="1" w:lastRow="0" w:firstColumn="1" w:lastColumn="0" w:noHBand="0" w:noVBand="1"/>
      </w:tblPr>
      <w:tblGrid>
        <w:gridCol w:w="2122"/>
        <w:gridCol w:w="1275"/>
        <w:gridCol w:w="1418"/>
        <w:gridCol w:w="1843"/>
        <w:gridCol w:w="584"/>
        <w:gridCol w:w="143"/>
        <w:gridCol w:w="85"/>
        <w:gridCol w:w="15"/>
      </w:tblGrid>
      <w:tr w:rsidR="00011270" w:rsidRPr="00705F6F" w14:paraId="5B4FF4AE" w14:textId="77777777" w:rsidTr="00B333A2">
        <w:trPr>
          <w:gridAfter w:val="4"/>
          <w:wAfter w:w="827" w:type="dxa"/>
          <w:trHeight w:val="288"/>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3838453C" w14:textId="77777777" w:rsidR="00011270" w:rsidRPr="00705F6F" w:rsidRDefault="00011270" w:rsidP="00011270">
            <w:pPr>
              <w:spacing w:before="0" w:after="0" w:line="240" w:lineRule="auto"/>
              <w:jc w:val="left"/>
              <w:rPr>
                <w:rFonts w:ascii="Arial Narrow" w:eastAsia="Times New Roman" w:hAnsi="Arial Narrow" w:cs="Times New Roman"/>
                <w:b/>
                <w:bCs/>
                <w:color w:val="000000"/>
                <w:spacing w:val="0"/>
                <w:sz w:val="20"/>
                <w:szCs w:val="20"/>
                <w:lang w:val="es-EC" w:eastAsia="es-EC"/>
                <w14:numForm w14:val="default"/>
              </w:rPr>
            </w:pPr>
            <w:r w:rsidRPr="00705F6F">
              <w:rPr>
                <w:rFonts w:ascii="Arial Narrow" w:eastAsia="Times New Roman" w:hAnsi="Arial Narrow" w:cs="Times New Roman"/>
                <w:b/>
                <w:bCs/>
                <w:color w:val="000000"/>
                <w:spacing w:val="0"/>
                <w:sz w:val="20"/>
                <w:szCs w:val="20"/>
                <w:lang w:val="es-EC" w:eastAsia="es-EC"/>
                <w14:numForm w14:val="default"/>
              </w:rPr>
              <w:t xml:space="preserve">Variable </w:t>
            </w:r>
          </w:p>
        </w:tc>
        <w:tc>
          <w:tcPr>
            <w:tcW w:w="1275" w:type="dxa"/>
            <w:tcBorders>
              <w:top w:val="single" w:sz="4" w:space="0" w:color="auto"/>
              <w:left w:val="nil"/>
              <w:bottom w:val="single" w:sz="4" w:space="0" w:color="auto"/>
              <w:right w:val="single" w:sz="4" w:space="0" w:color="auto"/>
            </w:tcBorders>
            <w:noWrap/>
            <w:vAlign w:val="bottom"/>
            <w:hideMark/>
          </w:tcPr>
          <w:p w14:paraId="61C4F0BA" w14:textId="77777777" w:rsidR="00011270" w:rsidRPr="00705F6F" w:rsidRDefault="00011270" w:rsidP="00011270">
            <w:pPr>
              <w:spacing w:before="0" w:after="0" w:line="240" w:lineRule="auto"/>
              <w:jc w:val="left"/>
              <w:rPr>
                <w:rFonts w:ascii="Arial Narrow" w:eastAsia="Times New Roman" w:hAnsi="Arial Narrow" w:cs="Times New Roman"/>
                <w:b/>
                <w:bCs/>
                <w:color w:val="000000"/>
                <w:spacing w:val="0"/>
                <w:sz w:val="20"/>
                <w:szCs w:val="20"/>
                <w:lang w:val="es-EC" w:eastAsia="es-EC"/>
                <w14:numForm w14:val="default"/>
              </w:rPr>
            </w:pPr>
            <w:r w:rsidRPr="00705F6F">
              <w:rPr>
                <w:rFonts w:ascii="Arial Narrow" w:eastAsia="Times New Roman" w:hAnsi="Arial Narrow" w:cs="Times New Roman"/>
                <w:b/>
                <w:bCs/>
                <w:color w:val="000000"/>
                <w:spacing w:val="0"/>
                <w:sz w:val="20"/>
                <w:szCs w:val="20"/>
                <w:lang w:val="es-EC" w:eastAsia="es-EC"/>
                <w14:numForm w14:val="default"/>
              </w:rPr>
              <w:t>Comunalidad</w:t>
            </w:r>
          </w:p>
        </w:tc>
        <w:tc>
          <w:tcPr>
            <w:tcW w:w="1418" w:type="dxa"/>
            <w:tcBorders>
              <w:top w:val="single" w:sz="4" w:space="0" w:color="auto"/>
              <w:left w:val="nil"/>
              <w:bottom w:val="single" w:sz="4" w:space="0" w:color="auto"/>
              <w:right w:val="single" w:sz="4" w:space="0" w:color="auto"/>
            </w:tcBorders>
            <w:noWrap/>
            <w:vAlign w:val="bottom"/>
            <w:hideMark/>
          </w:tcPr>
          <w:p w14:paraId="5B53F8EB" w14:textId="77777777" w:rsidR="00011270" w:rsidRPr="00705F6F" w:rsidRDefault="00011270" w:rsidP="00011270">
            <w:pPr>
              <w:spacing w:before="0" w:after="0" w:line="240" w:lineRule="auto"/>
              <w:jc w:val="left"/>
              <w:rPr>
                <w:rFonts w:ascii="Arial Narrow" w:eastAsia="Times New Roman" w:hAnsi="Arial Narrow" w:cs="Times New Roman"/>
                <w:b/>
                <w:bCs/>
                <w:color w:val="000000"/>
                <w:spacing w:val="0"/>
                <w:sz w:val="20"/>
                <w:szCs w:val="20"/>
                <w:lang w:val="es-EC" w:eastAsia="es-EC"/>
                <w14:numForm w14:val="default"/>
              </w:rPr>
            </w:pPr>
            <w:r w:rsidRPr="00705F6F">
              <w:rPr>
                <w:rFonts w:ascii="Arial Narrow" w:eastAsia="Times New Roman" w:hAnsi="Arial Narrow" w:cs="Times New Roman"/>
                <w:b/>
                <w:bCs/>
                <w:color w:val="000000"/>
                <w:spacing w:val="0"/>
                <w:sz w:val="20"/>
                <w:szCs w:val="20"/>
                <w:lang w:val="es-EC" w:eastAsia="es-EC"/>
                <w14:numForm w14:val="default"/>
              </w:rPr>
              <w:t>Carga factorial</w:t>
            </w:r>
          </w:p>
        </w:tc>
        <w:tc>
          <w:tcPr>
            <w:tcW w:w="1843" w:type="dxa"/>
            <w:tcBorders>
              <w:top w:val="single" w:sz="4" w:space="0" w:color="auto"/>
              <w:left w:val="nil"/>
              <w:bottom w:val="single" w:sz="4" w:space="0" w:color="auto"/>
              <w:right w:val="single" w:sz="4" w:space="0" w:color="auto"/>
            </w:tcBorders>
            <w:noWrap/>
            <w:vAlign w:val="bottom"/>
            <w:hideMark/>
          </w:tcPr>
          <w:p w14:paraId="3F81380C" w14:textId="77777777" w:rsidR="00011270" w:rsidRPr="00705F6F" w:rsidRDefault="00011270" w:rsidP="00011270">
            <w:pPr>
              <w:spacing w:before="0" w:after="0" w:line="240" w:lineRule="auto"/>
              <w:jc w:val="left"/>
              <w:rPr>
                <w:rFonts w:ascii="Arial Narrow" w:eastAsia="Times New Roman" w:hAnsi="Arial Narrow" w:cs="Times New Roman"/>
                <w:b/>
                <w:bCs/>
                <w:color w:val="000000"/>
                <w:spacing w:val="0"/>
                <w:sz w:val="20"/>
                <w:szCs w:val="20"/>
                <w:lang w:val="es-EC" w:eastAsia="es-EC"/>
                <w14:numForm w14:val="default"/>
              </w:rPr>
            </w:pPr>
            <w:r w:rsidRPr="00705F6F">
              <w:rPr>
                <w:rFonts w:ascii="Arial Narrow" w:eastAsia="Times New Roman" w:hAnsi="Arial Narrow" w:cs="Times New Roman"/>
                <w:b/>
                <w:bCs/>
                <w:color w:val="000000"/>
                <w:spacing w:val="0"/>
                <w:sz w:val="20"/>
                <w:szCs w:val="20"/>
                <w:lang w:val="es-EC" w:eastAsia="es-EC"/>
                <w14:numForm w14:val="default"/>
              </w:rPr>
              <w:t>Indicadores de ajuste global y fiabilidad</w:t>
            </w:r>
          </w:p>
        </w:tc>
      </w:tr>
      <w:tr w:rsidR="00011270" w:rsidRPr="00705F6F" w14:paraId="74068D19" w14:textId="77777777" w:rsidTr="00B333A2">
        <w:trPr>
          <w:gridAfter w:val="4"/>
          <w:wAfter w:w="827"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256AACA0" w14:textId="77777777" w:rsidR="00011270" w:rsidRPr="00705F6F" w:rsidRDefault="00011270" w:rsidP="00011270">
            <w:pPr>
              <w:spacing w:before="0" w:after="0" w:line="240" w:lineRule="auto"/>
              <w:jc w:val="left"/>
              <w:rPr>
                <w:rFonts w:ascii="Arial Narrow" w:eastAsia="Times New Roman" w:hAnsi="Arial Narrow" w:cs="Times New Roman"/>
                <w:b/>
                <w:bCs/>
                <w:color w:val="000000"/>
                <w:spacing w:val="0"/>
                <w:sz w:val="20"/>
                <w:szCs w:val="20"/>
                <w:lang w:val="es-EC" w:eastAsia="es-EC"/>
                <w14:numForm w14:val="default"/>
              </w:rPr>
            </w:pPr>
            <w:r w:rsidRPr="00705F6F">
              <w:rPr>
                <w:rFonts w:ascii="Arial Narrow" w:eastAsia="Times New Roman" w:hAnsi="Arial Narrow" w:cs="Times New Roman"/>
                <w:b/>
                <w:bCs/>
                <w:color w:val="000000"/>
                <w:spacing w:val="0"/>
                <w:sz w:val="20"/>
                <w:szCs w:val="20"/>
                <w:lang w:val="es-EC" w:eastAsia="es-EC"/>
                <w14:numForm w14:val="default"/>
              </w:rPr>
              <w:t>1. Tangibilidad</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086D41CE"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0.684</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628240D8"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0.812</w:t>
            </w:r>
          </w:p>
        </w:tc>
        <w:tc>
          <w:tcPr>
            <w:tcW w:w="1843" w:type="dxa"/>
            <w:vMerge w:val="restart"/>
            <w:tcBorders>
              <w:top w:val="nil"/>
              <w:left w:val="single" w:sz="4" w:space="0" w:color="auto"/>
              <w:bottom w:val="single" w:sz="4" w:space="0" w:color="auto"/>
              <w:right w:val="single" w:sz="4" w:space="0" w:color="auto"/>
            </w:tcBorders>
            <w:noWrap/>
            <w:vAlign w:val="bottom"/>
            <w:hideMark/>
          </w:tcPr>
          <w:p w14:paraId="39FE8379"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 </w:t>
            </w:r>
          </w:p>
        </w:tc>
      </w:tr>
      <w:tr w:rsidR="00011270" w:rsidRPr="00705F6F" w14:paraId="36246F62" w14:textId="77777777" w:rsidTr="00B333A2">
        <w:trPr>
          <w:gridAfter w:val="4"/>
          <w:wAfter w:w="827" w:type="dxa"/>
          <w:trHeight w:val="445"/>
        </w:trPr>
        <w:tc>
          <w:tcPr>
            <w:tcW w:w="2122" w:type="dxa"/>
            <w:vMerge w:val="restart"/>
            <w:tcBorders>
              <w:top w:val="nil"/>
              <w:left w:val="single" w:sz="4" w:space="0" w:color="auto"/>
              <w:bottom w:val="single" w:sz="4" w:space="0" w:color="auto"/>
              <w:right w:val="single" w:sz="4" w:space="0" w:color="auto"/>
            </w:tcBorders>
            <w:vAlign w:val="center"/>
            <w:hideMark/>
          </w:tcPr>
          <w:p w14:paraId="3A5FF79C" w14:textId="44C24D9E"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El confort físico de los s</w:t>
            </w:r>
            <w:r w:rsidR="00B333A2">
              <w:rPr>
                <w:rFonts w:ascii="Arial Narrow" w:eastAsia="Times New Roman" w:hAnsi="Arial Narrow" w:cs="Times New Roman"/>
                <w:color w:val="000000"/>
                <w:spacing w:val="0"/>
                <w:sz w:val="20"/>
                <w:szCs w:val="20"/>
                <w:lang w:val="es-EC" w:eastAsia="es-EC"/>
                <w14:numForm w14:val="default"/>
              </w:rPr>
              <w:t>i</w:t>
            </w:r>
            <w:r w:rsidRPr="00705F6F">
              <w:rPr>
                <w:rFonts w:ascii="Arial Narrow" w:eastAsia="Times New Roman" w:hAnsi="Arial Narrow" w:cs="Times New Roman"/>
                <w:color w:val="000000"/>
                <w:spacing w:val="0"/>
                <w:sz w:val="20"/>
                <w:szCs w:val="20"/>
                <w:lang w:val="es-EC" w:eastAsia="es-EC"/>
                <w14:numForm w14:val="default"/>
              </w:rPr>
              <w:t xml:space="preserve">llones clínicos y la climatización de la sala de </w:t>
            </w:r>
            <w:r w:rsidR="00E457AC" w:rsidRPr="00705F6F">
              <w:rPr>
                <w:rFonts w:ascii="Arial Narrow" w:eastAsia="Times New Roman" w:hAnsi="Arial Narrow" w:cs="Times New Roman"/>
                <w:color w:val="000000"/>
                <w:spacing w:val="0"/>
                <w:sz w:val="20"/>
                <w:szCs w:val="20"/>
                <w:lang w:val="es-EC" w:eastAsia="es-EC"/>
                <w14:numForm w14:val="default"/>
              </w:rPr>
              <w:t>hemodiálisis</w:t>
            </w:r>
            <w:r w:rsidRPr="00705F6F">
              <w:rPr>
                <w:rFonts w:ascii="Arial Narrow" w:eastAsia="Times New Roman" w:hAnsi="Arial Narrow" w:cs="Times New Roman"/>
                <w:color w:val="000000"/>
                <w:spacing w:val="0"/>
                <w:sz w:val="20"/>
                <w:szCs w:val="20"/>
                <w:lang w:val="es-EC" w:eastAsia="es-EC"/>
                <w14:numForm w14:val="default"/>
              </w:rPr>
              <w:t xml:space="preserve"> son los adecuados.</w:t>
            </w:r>
          </w:p>
        </w:tc>
        <w:tc>
          <w:tcPr>
            <w:tcW w:w="1275" w:type="dxa"/>
            <w:vMerge/>
            <w:tcBorders>
              <w:top w:val="nil"/>
              <w:left w:val="single" w:sz="4" w:space="0" w:color="auto"/>
              <w:bottom w:val="single" w:sz="4" w:space="0" w:color="auto"/>
              <w:right w:val="single" w:sz="4" w:space="0" w:color="auto"/>
            </w:tcBorders>
            <w:vAlign w:val="center"/>
            <w:hideMark/>
          </w:tcPr>
          <w:p w14:paraId="0EAAFB8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507F69E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430F1EF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r>
      <w:tr w:rsidR="00011270" w:rsidRPr="00705F6F" w14:paraId="67EEE3AC" w14:textId="77777777" w:rsidTr="00B333A2">
        <w:trPr>
          <w:gridAfter w:val="3"/>
          <w:wAfter w:w="243"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2ED1C12B"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3FEC5BC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98A7E6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011FC80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tcBorders>
              <w:top w:val="nil"/>
              <w:left w:val="nil"/>
              <w:bottom w:val="nil"/>
              <w:right w:val="nil"/>
            </w:tcBorders>
            <w:noWrap/>
            <w:vAlign w:val="bottom"/>
            <w:hideMark/>
          </w:tcPr>
          <w:p w14:paraId="3B4883A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r>
      <w:tr w:rsidR="00011270" w:rsidRPr="00705F6F" w14:paraId="400A5FE2" w14:textId="77777777" w:rsidTr="00B333A2">
        <w:trPr>
          <w:gridAfter w:val="3"/>
          <w:wAfter w:w="243" w:type="dxa"/>
          <w:trHeight w:val="186"/>
        </w:trPr>
        <w:tc>
          <w:tcPr>
            <w:tcW w:w="2122" w:type="dxa"/>
            <w:vMerge/>
            <w:tcBorders>
              <w:top w:val="nil"/>
              <w:left w:val="single" w:sz="4" w:space="0" w:color="auto"/>
              <w:bottom w:val="single" w:sz="4" w:space="0" w:color="auto"/>
              <w:right w:val="single" w:sz="4" w:space="0" w:color="auto"/>
            </w:tcBorders>
            <w:vAlign w:val="center"/>
            <w:hideMark/>
          </w:tcPr>
          <w:p w14:paraId="52A13286"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0D1C0DE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84D4A5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182A41D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tcBorders>
              <w:top w:val="nil"/>
              <w:left w:val="nil"/>
              <w:bottom w:val="nil"/>
              <w:right w:val="nil"/>
            </w:tcBorders>
            <w:noWrap/>
            <w:vAlign w:val="bottom"/>
            <w:hideMark/>
          </w:tcPr>
          <w:p w14:paraId="282C2168"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BEC3984" w14:textId="77777777" w:rsidTr="00B333A2">
        <w:trPr>
          <w:gridAfter w:val="3"/>
          <w:wAfter w:w="243" w:type="dxa"/>
          <w:trHeight w:val="288"/>
        </w:trPr>
        <w:tc>
          <w:tcPr>
            <w:tcW w:w="2122" w:type="dxa"/>
            <w:vMerge w:val="restart"/>
            <w:tcBorders>
              <w:top w:val="nil"/>
              <w:left w:val="single" w:sz="4" w:space="0" w:color="auto"/>
              <w:bottom w:val="single" w:sz="4" w:space="0" w:color="auto"/>
              <w:right w:val="single" w:sz="4" w:space="0" w:color="auto"/>
            </w:tcBorders>
            <w:vAlign w:val="center"/>
            <w:hideMark/>
          </w:tcPr>
          <w:p w14:paraId="690D376B"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La tecnología y los monitores de hemodiálisis utilizados en la unidad se observan actualizados.</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3B13E74D"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0.651</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059D503D"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0.798</w:t>
            </w:r>
          </w:p>
        </w:tc>
        <w:tc>
          <w:tcPr>
            <w:tcW w:w="1843" w:type="dxa"/>
            <w:vMerge/>
            <w:tcBorders>
              <w:top w:val="nil"/>
              <w:left w:val="single" w:sz="4" w:space="0" w:color="auto"/>
              <w:bottom w:val="single" w:sz="4" w:space="0" w:color="auto"/>
              <w:right w:val="single" w:sz="4" w:space="0" w:color="auto"/>
            </w:tcBorders>
            <w:vAlign w:val="center"/>
            <w:hideMark/>
          </w:tcPr>
          <w:p w14:paraId="7F1BF0C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vAlign w:val="center"/>
            <w:hideMark/>
          </w:tcPr>
          <w:p w14:paraId="6DF0DA1B"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35FC02E" w14:textId="77777777" w:rsidTr="00B333A2">
        <w:trPr>
          <w:gridAfter w:val="3"/>
          <w:wAfter w:w="243"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40675299"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56D882A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B19676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89FFA3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tcBorders>
              <w:top w:val="nil"/>
              <w:left w:val="nil"/>
              <w:bottom w:val="nil"/>
              <w:right w:val="nil"/>
            </w:tcBorders>
            <w:noWrap/>
            <w:vAlign w:val="bottom"/>
            <w:hideMark/>
          </w:tcPr>
          <w:p w14:paraId="1C4EBAC4"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728F6E38" w14:textId="77777777" w:rsidTr="00B333A2">
        <w:trPr>
          <w:gridAfter w:val="3"/>
          <w:wAfter w:w="243"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5B5C696B"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03451D5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D845D6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A00832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tcBorders>
              <w:top w:val="nil"/>
              <w:left w:val="nil"/>
              <w:bottom w:val="nil"/>
              <w:right w:val="nil"/>
            </w:tcBorders>
            <w:noWrap/>
            <w:vAlign w:val="bottom"/>
            <w:hideMark/>
          </w:tcPr>
          <w:p w14:paraId="70B533C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C202AED" w14:textId="77777777" w:rsidTr="00B333A2">
        <w:trPr>
          <w:gridAfter w:val="3"/>
          <w:wAfter w:w="243"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038444F9"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0456A3D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AD8C02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38508FD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tcBorders>
              <w:top w:val="nil"/>
              <w:left w:val="nil"/>
              <w:bottom w:val="nil"/>
              <w:right w:val="nil"/>
            </w:tcBorders>
            <w:noWrap/>
            <w:vAlign w:val="bottom"/>
            <w:hideMark/>
          </w:tcPr>
          <w:p w14:paraId="05AA94EE"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0A816A2A" w14:textId="77777777" w:rsidTr="00B333A2">
        <w:trPr>
          <w:gridAfter w:val="3"/>
          <w:wAfter w:w="243" w:type="dxa"/>
          <w:trHeight w:val="288"/>
        </w:trPr>
        <w:tc>
          <w:tcPr>
            <w:tcW w:w="2122" w:type="dxa"/>
            <w:vMerge w:val="restart"/>
            <w:tcBorders>
              <w:top w:val="nil"/>
              <w:left w:val="single" w:sz="4" w:space="0" w:color="auto"/>
              <w:bottom w:val="single" w:sz="4" w:space="0" w:color="auto"/>
              <w:right w:val="single" w:sz="4" w:space="0" w:color="auto"/>
            </w:tcBorders>
            <w:vAlign w:val="center"/>
            <w:hideMark/>
          </w:tcPr>
          <w:p w14:paraId="791BB656"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Los insumos médicos y materiales empleados durante mi sesión de hemodiálisis son de óptima calidad.</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372F0557"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0.690</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21ECBD70"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0.824</w:t>
            </w:r>
          </w:p>
        </w:tc>
        <w:tc>
          <w:tcPr>
            <w:tcW w:w="1843" w:type="dxa"/>
            <w:vMerge/>
            <w:tcBorders>
              <w:top w:val="nil"/>
              <w:left w:val="single" w:sz="4" w:space="0" w:color="auto"/>
              <w:bottom w:val="single" w:sz="4" w:space="0" w:color="auto"/>
              <w:right w:val="single" w:sz="4" w:space="0" w:color="auto"/>
            </w:tcBorders>
            <w:vAlign w:val="center"/>
            <w:hideMark/>
          </w:tcPr>
          <w:p w14:paraId="122C3B9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vAlign w:val="center"/>
            <w:hideMark/>
          </w:tcPr>
          <w:p w14:paraId="45F60743"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143F964" w14:textId="77777777" w:rsidTr="00B333A2">
        <w:trPr>
          <w:gridAfter w:val="3"/>
          <w:wAfter w:w="243"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21D2720D"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216E175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178159E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863378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tcBorders>
              <w:top w:val="nil"/>
              <w:left w:val="nil"/>
              <w:bottom w:val="nil"/>
              <w:right w:val="nil"/>
            </w:tcBorders>
            <w:noWrap/>
            <w:vAlign w:val="bottom"/>
            <w:hideMark/>
          </w:tcPr>
          <w:p w14:paraId="715627DB"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42E3868E" w14:textId="77777777" w:rsidTr="00B333A2">
        <w:trPr>
          <w:gridAfter w:val="3"/>
          <w:wAfter w:w="243"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77C33C7A"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7F41BA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AD53E3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31C0A37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tcBorders>
              <w:top w:val="nil"/>
              <w:left w:val="nil"/>
              <w:bottom w:val="nil"/>
              <w:right w:val="nil"/>
            </w:tcBorders>
            <w:noWrap/>
            <w:vAlign w:val="bottom"/>
            <w:hideMark/>
          </w:tcPr>
          <w:p w14:paraId="464AE943"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00300C8" w14:textId="77777777" w:rsidTr="00B333A2">
        <w:trPr>
          <w:gridAfter w:val="3"/>
          <w:wAfter w:w="243"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2DADDFE9"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0273BDD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2D45E26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6D0B5D5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tcBorders>
              <w:top w:val="nil"/>
              <w:left w:val="nil"/>
              <w:bottom w:val="nil"/>
              <w:right w:val="nil"/>
            </w:tcBorders>
            <w:noWrap/>
            <w:vAlign w:val="bottom"/>
            <w:hideMark/>
          </w:tcPr>
          <w:p w14:paraId="6808ADDE"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67D26D0" w14:textId="77777777" w:rsidTr="00B333A2">
        <w:trPr>
          <w:gridAfter w:val="3"/>
          <w:wAfter w:w="243" w:type="dxa"/>
          <w:trHeight w:val="288"/>
        </w:trPr>
        <w:tc>
          <w:tcPr>
            <w:tcW w:w="2122" w:type="dxa"/>
            <w:vMerge w:val="restart"/>
            <w:tcBorders>
              <w:top w:val="nil"/>
              <w:left w:val="single" w:sz="4" w:space="0" w:color="auto"/>
              <w:bottom w:val="single" w:sz="4" w:space="0" w:color="auto"/>
              <w:right w:val="single" w:sz="4" w:space="0" w:color="auto"/>
            </w:tcBorders>
            <w:vAlign w:val="center"/>
            <w:hideMark/>
          </w:tcPr>
          <w:p w14:paraId="7E41B80B"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El personal de enfermería viste uniformes limpios y porta su identificación visible.</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3A3E7176"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0.543</w:t>
            </w:r>
          </w:p>
        </w:tc>
        <w:tc>
          <w:tcPr>
            <w:tcW w:w="1418" w:type="dxa"/>
            <w:vMerge w:val="restart"/>
            <w:tcBorders>
              <w:top w:val="nil"/>
              <w:left w:val="single" w:sz="4" w:space="0" w:color="auto"/>
              <w:bottom w:val="single" w:sz="4" w:space="0" w:color="auto"/>
              <w:right w:val="single" w:sz="4" w:space="0" w:color="auto"/>
            </w:tcBorders>
            <w:noWrap/>
            <w:vAlign w:val="center"/>
            <w:hideMark/>
          </w:tcPr>
          <w:p w14:paraId="57B66B70" w14:textId="77777777" w:rsidR="00B333A2" w:rsidRDefault="00B333A2"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p w14:paraId="3D5790A0" w14:textId="77777777" w:rsidR="00B333A2" w:rsidRDefault="00B333A2"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p w14:paraId="2ECF0293" w14:textId="77777777" w:rsidR="00B333A2" w:rsidRDefault="00B333A2"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p w14:paraId="08939243" w14:textId="757386B6" w:rsidR="00011270" w:rsidRPr="00705F6F" w:rsidRDefault="00B333A2"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Pr>
                <w:rFonts w:ascii="Arial Narrow" w:eastAsia="Times New Roman" w:hAnsi="Arial Narrow" w:cs="Times New Roman"/>
                <w:color w:val="000000"/>
                <w:spacing w:val="0"/>
                <w:sz w:val="20"/>
                <w:szCs w:val="20"/>
                <w:lang w:val="es-EC" w:eastAsia="es-EC"/>
                <w14:numForm w14:val="default"/>
              </w:rPr>
              <w:t xml:space="preserve">         </w:t>
            </w:r>
            <w:r w:rsidR="00011270" w:rsidRPr="00705F6F">
              <w:rPr>
                <w:rFonts w:ascii="Arial Narrow" w:eastAsia="Times New Roman" w:hAnsi="Arial Narrow" w:cs="Times New Roman"/>
                <w:color w:val="000000"/>
                <w:spacing w:val="0"/>
                <w:sz w:val="20"/>
                <w:szCs w:val="20"/>
                <w:lang w:val="es-EC" w:eastAsia="es-EC"/>
                <w14:numForm w14:val="default"/>
              </w:rPr>
              <w:t>0.695</w:t>
            </w:r>
          </w:p>
        </w:tc>
        <w:tc>
          <w:tcPr>
            <w:tcW w:w="1843" w:type="dxa"/>
            <w:vMerge/>
            <w:tcBorders>
              <w:top w:val="nil"/>
              <w:left w:val="single" w:sz="4" w:space="0" w:color="auto"/>
              <w:bottom w:val="single" w:sz="4" w:space="0" w:color="auto"/>
              <w:right w:val="single" w:sz="4" w:space="0" w:color="auto"/>
            </w:tcBorders>
            <w:vAlign w:val="center"/>
            <w:hideMark/>
          </w:tcPr>
          <w:p w14:paraId="205ED86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vAlign w:val="center"/>
            <w:hideMark/>
          </w:tcPr>
          <w:p w14:paraId="719FB204"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1E6AE13" w14:textId="77777777" w:rsidTr="00B333A2">
        <w:trPr>
          <w:gridAfter w:val="3"/>
          <w:wAfter w:w="243"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5A46A7A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639A339D"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2DBB039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A85DE3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tcBorders>
              <w:top w:val="nil"/>
              <w:left w:val="nil"/>
              <w:bottom w:val="nil"/>
              <w:right w:val="nil"/>
            </w:tcBorders>
            <w:noWrap/>
            <w:vAlign w:val="bottom"/>
            <w:hideMark/>
          </w:tcPr>
          <w:p w14:paraId="7CAA074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r>
      <w:tr w:rsidR="00011270" w:rsidRPr="00705F6F" w14:paraId="5549904F" w14:textId="77777777" w:rsidTr="00B333A2">
        <w:trPr>
          <w:gridAfter w:val="3"/>
          <w:wAfter w:w="243"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29B0E30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02031C8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C6A205D"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1E6867E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tcBorders>
              <w:top w:val="nil"/>
              <w:left w:val="nil"/>
              <w:bottom w:val="nil"/>
              <w:right w:val="nil"/>
            </w:tcBorders>
            <w:noWrap/>
            <w:vAlign w:val="bottom"/>
            <w:hideMark/>
          </w:tcPr>
          <w:p w14:paraId="2666EAC7"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5158E886" w14:textId="77777777" w:rsidTr="00B333A2">
        <w:trPr>
          <w:gridAfter w:val="3"/>
          <w:wAfter w:w="243"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0232138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5622BF1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E09819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1DBC689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584" w:type="dxa"/>
            <w:tcBorders>
              <w:top w:val="nil"/>
              <w:left w:val="nil"/>
              <w:bottom w:val="nil"/>
              <w:right w:val="nil"/>
            </w:tcBorders>
            <w:noWrap/>
            <w:vAlign w:val="bottom"/>
            <w:hideMark/>
          </w:tcPr>
          <w:p w14:paraId="60059603"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2640BD5"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5ADD4B0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KMO</w:t>
            </w:r>
          </w:p>
        </w:tc>
        <w:tc>
          <w:tcPr>
            <w:tcW w:w="4536" w:type="dxa"/>
            <w:gridSpan w:val="3"/>
            <w:tcBorders>
              <w:top w:val="single" w:sz="4" w:space="0" w:color="auto"/>
              <w:left w:val="nil"/>
              <w:bottom w:val="single" w:sz="4" w:space="0" w:color="auto"/>
              <w:right w:val="single" w:sz="4" w:space="0" w:color="auto"/>
            </w:tcBorders>
            <w:noWrap/>
            <w:vAlign w:val="bottom"/>
            <w:hideMark/>
          </w:tcPr>
          <w:p w14:paraId="7694FA8D" w14:textId="2831A68F" w:rsidR="00011270" w:rsidRPr="00705F6F" w:rsidRDefault="0083609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Pr>
                <w:rFonts w:ascii="Arial Narrow" w:eastAsia="Times New Roman" w:hAnsi="Arial Narrow" w:cs="Times New Roman"/>
                <w:color w:val="000000"/>
                <w:spacing w:val="0"/>
                <w:sz w:val="20"/>
                <w:szCs w:val="20"/>
                <w:lang w:val="es-EC" w:eastAsia="es-EC"/>
                <w14:numForm w14:val="default"/>
              </w:rPr>
              <w:t>0.</w:t>
            </w:r>
            <w:r w:rsidR="00011270" w:rsidRPr="00705F6F">
              <w:rPr>
                <w:rFonts w:ascii="Arial Narrow" w:eastAsia="Times New Roman" w:hAnsi="Arial Narrow" w:cs="Times New Roman"/>
                <w:color w:val="000000"/>
                <w:spacing w:val="0"/>
                <w:sz w:val="20"/>
                <w:szCs w:val="20"/>
                <w:lang w:val="es-EC" w:eastAsia="es-EC"/>
                <w14:numForm w14:val="default"/>
              </w:rPr>
              <w:t>794</w:t>
            </w:r>
          </w:p>
        </w:tc>
        <w:tc>
          <w:tcPr>
            <w:tcW w:w="812" w:type="dxa"/>
            <w:gridSpan w:val="3"/>
            <w:vAlign w:val="center"/>
            <w:hideMark/>
          </w:tcPr>
          <w:p w14:paraId="4C5CE257"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ED37D7C"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7326B74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Prueba de Bartlett</w:t>
            </w:r>
          </w:p>
        </w:tc>
        <w:tc>
          <w:tcPr>
            <w:tcW w:w="4536" w:type="dxa"/>
            <w:gridSpan w:val="3"/>
            <w:tcBorders>
              <w:top w:val="single" w:sz="4" w:space="0" w:color="auto"/>
              <w:left w:val="nil"/>
              <w:bottom w:val="single" w:sz="4" w:space="0" w:color="auto"/>
              <w:right w:val="single" w:sz="4" w:space="0" w:color="auto"/>
            </w:tcBorders>
            <w:noWrap/>
            <w:vAlign w:val="bottom"/>
            <w:hideMark/>
          </w:tcPr>
          <w:p w14:paraId="2F512064"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 &lt; 0.001</w:t>
            </w:r>
          </w:p>
        </w:tc>
        <w:tc>
          <w:tcPr>
            <w:tcW w:w="812" w:type="dxa"/>
            <w:gridSpan w:val="3"/>
            <w:vAlign w:val="center"/>
            <w:hideMark/>
          </w:tcPr>
          <w:p w14:paraId="565465D5"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53C05F19"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1281E77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Varianza aplicada</w:t>
            </w:r>
          </w:p>
        </w:tc>
        <w:tc>
          <w:tcPr>
            <w:tcW w:w="4536" w:type="dxa"/>
            <w:gridSpan w:val="3"/>
            <w:tcBorders>
              <w:top w:val="single" w:sz="4" w:space="0" w:color="auto"/>
              <w:left w:val="nil"/>
              <w:bottom w:val="single" w:sz="4" w:space="0" w:color="auto"/>
              <w:right w:val="single" w:sz="4" w:space="0" w:color="auto"/>
            </w:tcBorders>
            <w:noWrap/>
            <w:vAlign w:val="bottom"/>
            <w:hideMark/>
          </w:tcPr>
          <w:p w14:paraId="1C99D650"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64.210%</w:t>
            </w:r>
          </w:p>
        </w:tc>
        <w:tc>
          <w:tcPr>
            <w:tcW w:w="812" w:type="dxa"/>
            <w:gridSpan w:val="3"/>
            <w:vAlign w:val="center"/>
            <w:hideMark/>
          </w:tcPr>
          <w:p w14:paraId="54BF8E3B"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4873030"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160D30F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Alpha de Cronbach</w:t>
            </w:r>
          </w:p>
        </w:tc>
        <w:tc>
          <w:tcPr>
            <w:tcW w:w="4536" w:type="dxa"/>
            <w:gridSpan w:val="3"/>
            <w:tcBorders>
              <w:top w:val="single" w:sz="4" w:space="0" w:color="auto"/>
              <w:left w:val="nil"/>
              <w:bottom w:val="single" w:sz="4" w:space="0" w:color="auto"/>
              <w:right w:val="single" w:sz="4" w:space="0" w:color="auto"/>
            </w:tcBorders>
            <w:noWrap/>
            <w:vAlign w:val="bottom"/>
            <w:hideMark/>
          </w:tcPr>
          <w:p w14:paraId="131CBA12" w14:textId="6A7CBC2E" w:rsidR="00011270" w:rsidRPr="00705F6F" w:rsidRDefault="00CE47E8"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Pr>
                <w:rFonts w:ascii="Arial Narrow" w:eastAsia="Times New Roman" w:hAnsi="Arial Narrow" w:cs="Times New Roman"/>
                <w:color w:val="000000"/>
                <w:spacing w:val="0"/>
                <w:sz w:val="20"/>
                <w:szCs w:val="20"/>
                <w:lang w:val="es-EC" w:eastAsia="es-EC"/>
                <w14:numForm w14:val="default"/>
              </w:rPr>
              <w:t>0.</w:t>
            </w:r>
            <w:r w:rsidR="00011270" w:rsidRPr="00705F6F">
              <w:rPr>
                <w:rFonts w:ascii="Arial Narrow" w:eastAsia="Times New Roman" w:hAnsi="Arial Narrow" w:cs="Times New Roman"/>
                <w:color w:val="000000"/>
                <w:spacing w:val="0"/>
                <w:sz w:val="20"/>
                <w:szCs w:val="20"/>
                <w:lang w:val="es-EC" w:eastAsia="es-EC"/>
                <w14:numForm w14:val="default"/>
              </w:rPr>
              <w:t>815</w:t>
            </w:r>
          </w:p>
        </w:tc>
        <w:tc>
          <w:tcPr>
            <w:tcW w:w="812" w:type="dxa"/>
            <w:gridSpan w:val="3"/>
            <w:vAlign w:val="center"/>
            <w:hideMark/>
          </w:tcPr>
          <w:p w14:paraId="501AF072"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52D6DB2" w14:textId="77777777" w:rsidTr="00B333A2">
        <w:trPr>
          <w:trHeight w:val="288"/>
        </w:trPr>
        <w:tc>
          <w:tcPr>
            <w:tcW w:w="6658" w:type="dxa"/>
            <w:gridSpan w:val="4"/>
            <w:tcBorders>
              <w:top w:val="single" w:sz="4" w:space="0" w:color="auto"/>
              <w:left w:val="single" w:sz="4" w:space="0" w:color="auto"/>
              <w:bottom w:val="single" w:sz="4" w:space="0" w:color="auto"/>
              <w:right w:val="single" w:sz="4" w:space="0" w:color="auto"/>
            </w:tcBorders>
            <w:noWrap/>
            <w:vAlign w:val="bottom"/>
            <w:hideMark/>
          </w:tcPr>
          <w:p w14:paraId="4150750F" w14:textId="77777777" w:rsidR="00011270" w:rsidRPr="00705F6F" w:rsidRDefault="00011270" w:rsidP="00011270">
            <w:pPr>
              <w:spacing w:before="0" w:after="0" w:line="240" w:lineRule="auto"/>
              <w:jc w:val="left"/>
              <w:rPr>
                <w:rFonts w:ascii="Arial Narrow" w:eastAsia="Times New Roman" w:hAnsi="Arial Narrow" w:cs="Times New Roman"/>
                <w:b/>
                <w:bCs/>
                <w:color w:val="000000"/>
                <w:spacing w:val="0"/>
                <w:sz w:val="20"/>
                <w:szCs w:val="20"/>
                <w:lang w:val="es-EC" w:eastAsia="es-EC"/>
                <w14:numForm w14:val="default"/>
              </w:rPr>
            </w:pPr>
            <w:r w:rsidRPr="00705F6F">
              <w:rPr>
                <w:rFonts w:ascii="Arial Narrow" w:eastAsia="Times New Roman" w:hAnsi="Arial Narrow" w:cs="Times New Roman"/>
                <w:b/>
                <w:bCs/>
                <w:color w:val="000000"/>
                <w:spacing w:val="0"/>
                <w:sz w:val="20"/>
                <w:szCs w:val="20"/>
                <w:lang w:val="es-EC" w:eastAsia="es-EC"/>
                <w14:numForm w14:val="default"/>
              </w:rPr>
              <w:t>2. Fiabilidad</w:t>
            </w:r>
          </w:p>
        </w:tc>
        <w:tc>
          <w:tcPr>
            <w:tcW w:w="827" w:type="dxa"/>
            <w:gridSpan w:val="4"/>
            <w:vAlign w:val="center"/>
            <w:hideMark/>
          </w:tcPr>
          <w:p w14:paraId="46A78F33"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83CB2DB"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center"/>
            <w:hideMark/>
          </w:tcPr>
          <w:p w14:paraId="5AD61B28" w14:textId="19360141"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El equipo de enfermería inic</w:t>
            </w:r>
            <w:r w:rsidR="00724C27">
              <w:rPr>
                <w:rFonts w:ascii="Arial Narrow" w:eastAsia="Times New Roman" w:hAnsi="Arial Narrow" w:cs="Times New Roman"/>
                <w:color w:val="000000"/>
                <w:spacing w:val="0"/>
                <w:sz w:val="20"/>
                <w:szCs w:val="20"/>
                <w:lang w:val="es-EC" w:eastAsia="es-EC"/>
                <w14:numForm w14:val="default"/>
              </w:rPr>
              <w:t>i</w:t>
            </w:r>
            <w:r w:rsidRPr="00705F6F">
              <w:rPr>
                <w:rFonts w:ascii="Arial Narrow" w:eastAsia="Times New Roman" w:hAnsi="Arial Narrow" w:cs="Times New Roman"/>
                <w:color w:val="000000"/>
                <w:spacing w:val="0"/>
                <w:sz w:val="20"/>
                <w:szCs w:val="20"/>
                <w:lang w:val="es-EC" w:eastAsia="es-EC"/>
                <w14:numForm w14:val="default"/>
              </w:rPr>
              <w:t>a y finaliza las conexiones respetando el horario de su turno.</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62DCB109"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0.615</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47808880"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0.820</w:t>
            </w:r>
          </w:p>
        </w:tc>
        <w:tc>
          <w:tcPr>
            <w:tcW w:w="1843" w:type="dxa"/>
            <w:vMerge w:val="restart"/>
            <w:tcBorders>
              <w:top w:val="nil"/>
              <w:left w:val="single" w:sz="4" w:space="0" w:color="auto"/>
              <w:bottom w:val="single" w:sz="4" w:space="0" w:color="auto"/>
              <w:right w:val="single" w:sz="4" w:space="0" w:color="auto"/>
            </w:tcBorders>
            <w:noWrap/>
            <w:vAlign w:val="bottom"/>
            <w:hideMark/>
          </w:tcPr>
          <w:p w14:paraId="2901755C"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 </w:t>
            </w:r>
          </w:p>
        </w:tc>
        <w:tc>
          <w:tcPr>
            <w:tcW w:w="727" w:type="dxa"/>
            <w:gridSpan w:val="2"/>
            <w:vAlign w:val="center"/>
            <w:hideMark/>
          </w:tcPr>
          <w:p w14:paraId="3800229D"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CEBCEF6"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4BA662E2"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492C648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7193C2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E2564F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6B9FCF97"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2875FD7C"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2D6F9DFE"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2E0CDF0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3ED513D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0F67FCF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235FACD4"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52E5B17" w14:textId="77777777" w:rsidTr="00B333A2">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518A47ED"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40F62CA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3F1D0A6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8248FD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DAF326E"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0FD4795"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2E692C84"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Las aclaraciones y reportes sobre su salud por parte de la unidad son precisos.</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13DD8F69"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0.630</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35D35F40"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0.785</w:t>
            </w:r>
          </w:p>
        </w:tc>
        <w:tc>
          <w:tcPr>
            <w:tcW w:w="1843" w:type="dxa"/>
            <w:vMerge/>
            <w:tcBorders>
              <w:top w:val="nil"/>
              <w:left w:val="single" w:sz="4" w:space="0" w:color="auto"/>
              <w:bottom w:val="single" w:sz="4" w:space="0" w:color="auto"/>
              <w:right w:val="single" w:sz="4" w:space="0" w:color="auto"/>
            </w:tcBorders>
            <w:vAlign w:val="center"/>
            <w:hideMark/>
          </w:tcPr>
          <w:p w14:paraId="08F9E54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75DCC1A2"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554D63C"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7FAFEFF9"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B96234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9D47CD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17C6FFD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485238AB"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36B8D28E"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72AB74AA"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36A798C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569D611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6EA3664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D98B733"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BA542B2" w14:textId="77777777" w:rsidTr="00626291">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6B725FCF"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DD27A5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2EAB417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AFBCD2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28FAE162"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2DA318E" w14:textId="77777777" w:rsidTr="00B333A2">
        <w:trPr>
          <w:gridAfter w:val="2"/>
          <w:wAfter w:w="100" w:type="dxa"/>
          <w:trHeight w:val="698"/>
        </w:trPr>
        <w:tc>
          <w:tcPr>
            <w:tcW w:w="2122" w:type="dxa"/>
            <w:vMerge w:val="restart"/>
            <w:tcBorders>
              <w:top w:val="nil"/>
              <w:left w:val="single" w:sz="4" w:space="0" w:color="auto"/>
              <w:bottom w:val="single" w:sz="4" w:space="0" w:color="auto"/>
              <w:right w:val="single" w:sz="4" w:space="0" w:color="auto"/>
            </w:tcBorders>
            <w:vAlign w:val="bottom"/>
            <w:hideMark/>
          </w:tcPr>
          <w:p w14:paraId="4DFC7530"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El cuidado enfermero directo en los procedimientos clínicos es efectivo y libre de incidentes.</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6D806EE7" w14:textId="77777777" w:rsidR="00B333A2" w:rsidRDefault="00B333A2"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p w14:paraId="6737D987" w14:textId="77777777" w:rsidR="00B333A2" w:rsidRDefault="00B333A2"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p w14:paraId="0F3BB21E" w14:textId="77777777" w:rsidR="00B333A2" w:rsidRDefault="00B333A2"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p w14:paraId="69289A10" w14:textId="6B3A8C94" w:rsidR="00011270" w:rsidRPr="00705F6F" w:rsidRDefault="00B333A2" w:rsidP="00B333A2">
            <w:pPr>
              <w:spacing w:before="0" w:after="0" w:line="240" w:lineRule="auto"/>
              <w:rPr>
                <w:rFonts w:ascii="Arial Narrow" w:eastAsia="Times New Roman" w:hAnsi="Arial Narrow" w:cs="Times New Roman"/>
                <w:color w:val="000000"/>
                <w:spacing w:val="0"/>
                <w:sz w:val="20"/>
                <w:szCs w:val="20"/>
                <w:lang w:val="es-EC" w:eastAsia="es-EC"/>
                <w14:numForm w14:val="default"/>
              </w:rPr>
            </w:pPr>
            <w:r>
              <w:rPr>
                <w:rFonts w:ascii="Arial Narrow" w:eastAsia="Times New Roman" w:hAnsi="Arial Narrow" w:cs="Times New Roman"/>
                <w:color w:val="000000"/>
                <w:spacing w:val="0"/>
                <w:sz w:val="20"/>
                <w:szCs w:val="20"/>
                <w:lang w:val="es-EC" w:eastAsia="es-EC"/>
                <w14:numForm w14:val="default"/>
              </w:rPr>
              <w:t xml:space="preserve">        </w:t>
            </w:r>
            <w:r w:rsidR="00011270" w:rsidRPr="00705F6F">
              <w:rPr>
                <w:rFonts w:ascii="Arial Narrow" w:eastAsia="Times New Roman" w:hAnsi="Arial Narrow" w:cs="Times New Roman"/>
                <w:color w:val="000000"/>
                <w:spacing w:val="0"/>
                <w:sz w:val="20"/>
                <w:szCs w:val="20"/>
                <w:lang w:val="es-EC" w:eastAsia="es-EC"/>
                <w14:numForm w14:val="default"/>
              </w:rPr>
              <w:t>0.714</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26804E49" w14:textId="77777777" w:rsidR="00B333A2" w:rsidRDefault="00B333A2"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p w14:paraId="202285B3" w14:textId="77777777" w:rsidR="00B333A2" w:rsidRDefault="00B333A2"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p w14:paraId="4D400CC5" w14:textId="77777777" w:rsidR="00B333A2" w:rsidRDefault="00B333A2"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p w14:paraId="55AB39AB" w14:textId="64946CB8" w:rsidR="00011270" w:rsidRPr="00705F6F" w:rsidRDefault="00B333A2" w:rsidP="00B333A2">
            <w:pPr>
              <w:spacing w:before="0" w:after="0" w:line="240" w:lineRule="auto"/>
              <w:rPr>
                <w:rFonts w:ascii="Arial Narrow" w:eastAsia="Times New Roman" w:hAnsi="Arial Narrow" w:cs="Times New Roman"/>
                <w:color w:val="000000"/>
                <w:spacing w:val="0"/>
                <w:sz w:val="20"/>
                <w:szCs w:val="20"/>
                <w:lang w:val="es-EC" w:eastAsia="es-EC"/>
                <w14:numForm w14:val="default"/>
              </w:rPr>
            </w:pPr>
            <w:r>
              <w:rPr>
                <w:rFonts w:ascii="Arial Narrow" w:eastAsia="Times New Roman" w:hAnsi="Arial Narrow" w:cs="Times New Roman"/>
                <w:color w:val="000000"/>
                <w:spacing w:val="0"/>
                <w:sz w:val="20"/>
                <w:szCs w:val="20"/>
                <w:lang w:val="es-EC" w:eastAsia="es-EC"/>
                <w14:numForm w14:val="default"/>
              </w:rPr>
              <w:t xml:space="preserve">         </w:t>
            </w:r>
            <w:r w:rsidR="00011270" w:rsidRPr="00705F6F">
              <w:rPr>
                <w:rFonts w:ascii="Arial Narrow" w:eastAsia="Times New Roman" w:hAnsi="Arial Narrow" w:cs="Times New Roman"/>
                <w:color w:val="000000"/>
                <w:spacing w:val="0"/>
                <w:sz w:val="20"/>
                <w:szCs w:val="20"/>
                <w:lang w:val="es-EC" w:eastAsia="es-EC"/>
                <w14:numForm w14:val="default"/>
              </w:rPr>
              <w:t>0.834</w:t>
            </w:r>
          </w:p>
        </w:tc>
        <w:tc>
          <w:tcPr>
            <w:tcW w:w="1843" w:type="dxa"/>
            <w:vMerge/>
            <w:tcBorders>
              <w:top w:val="nil"/>
              <w:left w:val="single" w:sz="4" w:space="0" w:color="auto"/>
              <w:bottom w:val="single" w:sz="4" w:space="0" w:color="auto"/>
              <w:right w:val="single" w:sz="4" w:space="0" w:color="auto"/>
            </w:tcBorders>
            <w:vAlign w:val="center"/>
            <w:hideMark/>
          </w:tcPr>
          <w:p w14:paraId="24D0378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62EE164B"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37F11F6"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67AC0D85"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4E8F879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7351E21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75B0FE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6B7CF2E4"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1BF45582"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2CE0CB08"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46D9C26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2B02E03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860D48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25C544FD"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0A262BB6" w14:textId="77777777" w:rsidTr="00B333A2">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07812D87"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01BC4A9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2F8665B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1F7DAD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2C927884"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309D03D"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75678ABA"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lastRenderedPageBreak/>
              <w:t>Las demandas asistenciales urgentes durante la hemodiálisis son resueltas con prontitud.</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204208D1"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0.662</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20590E8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0.791</w:t>
            </w:r>
          </w:p>
        </w:tc>
        <w:tc>
          <w:tcPr>
            <w:tcW w:w="1843" w:type="dxa"/>
            <w:vMerge/>
            <w:tcBorders>
              <w:top w:val="nil"/>
              <w:left w:val="single" w:sz="4" w:space="0" w:color="auto"/>
              <w:bottom w:val="single" w:sz="4" w:space="0" w:color="auto"/>
              <w:right w:val="single" w:sz="4" w:space="0" w:color="auto"/>
            </w:tcBorders>
            <w:vAlign w:val="center"/>
            <w:hideMark/>
          </w:tcPr>
          <w:p w14:paraId="138EE0E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6B57D16A"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077F7E9"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4A866A09"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219EA5C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5E497F5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44A7A04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6DBC6B9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r>
      <w:tr w:rsidR="00011270" w:rsidRPr="00705F6F" w14:paraId="0C943E3F"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456E9C42"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3F6D582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0DAE71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48E150C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6E4A4D5"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53B71293"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2E24B993"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51F0093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09DF0B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4627D09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0799789"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4AA5449"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315066E6"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Se evidencia un compromiso real de los enfermeros por dar solución a los inconvenientes que presenta.</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74884E28"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0.622</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2C2B551C"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0.768</w:t>
            </w:r>
          </w:p>
        </w:tc>
        <w:tc>
          <w:tcPr>
            <w:tcW w:w="1843" w:type="dxa"/>
            <w:vMerge/>
            <w:tcBorders>
              <w:top w:val="nil"/>
              <w:left w:val="single" w:sz="4" w:space="0" w:color="auto"/>
              <w:bottom w:val="single" w:sz="4" w:space="0" w:color="auto"/>
              <w:right w:val="single" w:sz="4" w:space="0" w:color="auto"/>
            </w:tcBorders>
            <w:vAlign w:val="center"/>
            <w:hideMark/>
          </w:tcPr>
          <w:p w14:paraId="156CE15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0D0CF1F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9F832B9"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5570550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517AC59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DFACF6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49F2857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77F62BB8"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12578835"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01BEA6D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0A146D5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CB267A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33FA7C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6C15908E"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F5904EC" w14:textId="77777777" w:rsidTr="00B333A2">
        <w:trPr>
          <w:gridAfter w:val="2"/>
          <w:wAfter w:w="100" w:type="dxa"/>
          <w:trHeight w:val="174"/>
        </w:trPr>
        <w:tc>
          <w:tcPr>
            <w:tcW w:w="2122" w:type="dxa"/>
            <w:vMerge/>
            <w:tcBorders>
              <w:top w:val="nil"/>
              <w:left w:val="single" w:sz="4" w:space="0" w:color="auto"/>
              <w:bottom w:val="single" w:sz="4" w:space="0" w:color="auto"/>
              <w:right w:val="single" w:sz="4" w:space="0" w:color="auto"/>
            </w:tcBorders>
            <w:vAlign w:val="center"/>
            <w:hideMark/>
          </w:tcPr>
          <w:p w14:paraId="43110D0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002DB31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743C424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46C6D41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54C25C3A"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46AF3ED"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551EA22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KMO</w:t>
            </w:r>
          </w:p>
        </w:tc>
        <w:tc>
          <w:tcPr>
            <w:tcW w:w="4536" w:type="dxa"/>
            <w:gridSpan w:val="3"/>
            <w:tcBorders>
              <w:top w:val="single" w:sz="4" w:space="0" w:color="auto"/>
              <w:left w:val="nil"/>
              <w:bottom w:val="single" w:sz="4" w:space="0" w:color="auto"/>
              <w:right w:val="single" w:sz="4" w:space="0" w:color="auto"/>
            </w:tcBorders>
            <w:noWrap/>
            <w:vAlign w:val="bottom"/>
            <w:hideMark/>
          </w:tcPr>
          <w:p w14:paraId="133EC85F"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0.812</w:t>
            </w:r>
          </w:p>
        </w:tc>
        <w:tc>
          <w:tcPr>
            <w:tcW w:w="812" w:type="dxa"/>
            <w:gridSpan w:val="3"/>
            <w:vAlign w:val="center"/>
            <w:hideMark/>
          </w:tcPr>
          <w:p w14:paraId="6A99AC1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F2F813B"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361C863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Prueba de Bartlett</w:t>
            </w:r>
          </w:p>
        </w:tc>
        <w:tc>
          <w:tcPr>
            <w:tcW w:w="4536" w:type="dxa"/>
            <w:gridSpan w:val="3"/>
            <w:tcBorders>
              <w:top w:val="single" w:sz="4" w:space="0" w:color="auto"/>
              <w:left w:val="nil"/>
              <w:bottom w:val="single" w:sz="4" w:space="0" w:color="auto"/>
              <w:right w:val="single" w:sz="4" w:space="0" w:color="auto"/>
            </w:tcBorders>
            <w:noWrap/>
            <w:vAlign w:val="bottom"/>
            <w:hideMark/>
          </w:tcPr>
          <w:p w14:paraId="7F55D1E1"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p&lt;0.001</w:t>
            </w:r>
          </w:p>
        </w:tc>
        <w:tc>
          <w:tcPr>
            <w:tcW w:w="812" w:type="dxa"/>
            <w:gridSpan w:val="3"/>
            <w:vAlign w:val="center"/>
            <w:hideMark/>
          </w:tcPr>
          <w:p w14:paraId="1A61A624"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58B5A9FD"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4C7D793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Varianza aplicada</w:t>
            </w:r>
          </w:p>
        </w:tc>
        <w:tc>
          <w:tcPr>
            <w:tcW w:w="4536" w:type="dxa"/>
            <w:gridSpan w:val="3"/>
            <w:tcBorders>
              <w:top w:val="single" w:sz="4" w:space="0" w:color="auto"/>
              <w:left w:val="nil"/>
              <w:bottom w:val="single" w:sz="4" w:space="0" w:color="auto"/>
              <w:right w:val="single" w:sz="4" w:space="0" w:color="auto"/>
            </w:tcBorders>
            <w:noWrap/>
            <w:vAlign w:val="bottom"/>
            <w:hideMark/>
          </w:tcPr>
          <w:p w14:paraId="04A02972"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65.880%</w:t>
            </w:r>
          </w:p>
        </w:tc>
        <w:tc>
          <w:tcPr>
            <w:tcW w:w="812" w:type="dxa"/>
            <w:gridSpan w:val="3"/>
            <w:vAlign w:val="center"/>
            <w:hideMark/>
          </w:tcPr>
          <w:p w14:paraId="0F62B490"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53EFA3C1"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4C47392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Alpha de Cronbach</w:t>
            </w:r>
          </w:p>
        </w:tc>
        <w:tc>
          <w:tcPr>
            <w:tcW w:w="4536" w:type="dxa"/>
            <w:gridSpan w:val="3"/>
            <w:tcBorders>
              <w:top w:val="single" w:sz="4" w:space="0" w:color="auto"/>
              <w:left w:val="nil"/>
              <w:bottom w:val="single" w:sz="4" w:space="0" w:color="auto"/>
              <w:right w:val="single" w:sz="4" w:space="0" w:color="auto"/>
            </w:tcBorders>
            <w:noWrap/>
            <w:vAlign w:val="bottom"/>
            <w:hideMark/>
          </w:tcPr>
          <w:p w14:paraId="6368A319"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0.842</w:t>
            </w:r>
          </w:p>
        </w:tc>
        <w:tc>
          <w:tcPr>
            <w:tcW w:w="812" w:type="dxa"/>
            <w:gridSpan w:val="3"/>
            <w:vAlign w:val="center"/>
            <w:hideMark/>
          </w:tcPr>
          <w:p w14:paraId="4045E1AE"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66264D2" w14:textId="77777777" w:rsidTr="00B333A2">
        <w:trPr>
          <w:trHeight w:val="288"/>
        </w:trPr>
        <w:tc>
          <w:tcPr>
            <w:tcW w:w="6658" w:type="dxa"/>
            <w:gridSpan w:val="4"/>
            <w:tcBorders>
              <w:top w:val="single" w:sz="4" w:space="0" w:color="auto"/>
              <w:left w:val="single" w:sz="4" w:space="0" w:color="auto"/>
              <w:bottom w:val="single" w:sz="4" w:space="0" w:color="auto"/>
              <w:right w:val="single" w:sz="4" w:space="0" w:color="auto"/>
            </w:tcBorders>
            <w:noWrap/>
            <w:vAlign w:val="bottom"/>
            <w:hideMark/>
          </w:tcPr>
          <w:p w14:paraId="2B6A1142" w14:textId="77777777" w:rsidR="00011270" w:rsidRPr="00705F6F" w:rsidRDefault="00011270" w:rsidP="00011270">
            <w:pPr>
              <w:spacing w:before="0" w:after="0" w:line="240" w:lineRule="auto"/>
              <w:jc w:val="left"/>
              <w:rPr>
                <w:rFonts w:ascii="Arial Narrow" w:eastAsia="Times New Roman" w:hAnsi="Arial Narrow" w:cs="Times New Roman"/>
                <w:b/>
                <w:bCs/>
                <w:color w:val="000000"/>
                <w:spacing w:val="0"/>
                <w:sz w:val="20"/>
                <w:szCs w:val="20"/>
                <w:lang w:val="es-EC" w:eastAsia="es-EC"/>
                <w14:numForm w14:val="default"/>
              </w:rPr>
            </w:pPr>
            <w:r w:rsidRPr="00705F6F">
              <w:rPr>
                <w:rFonts w:ascii="Arial Narrow" w:eastAsia="Times New Roman" w:hAnsi="Arial Narrow" w:cs="Times New Roman"/>
                <w:b/>
                <w:bCs/>
                <w:color w:val="000000"/>
                <w:spacing w:val="0"/>
                <w:sz w:val="20"/>
                <w:szCs w:val="20"/>
                <w:lang w:val="es-EC" w:eastAsia="es-EC"/>
                <w14:numForm w14:val="default"/>
              </w:rPr>
              <w:t>3. Capacidad de respuesta</w:t>
            </w:r>
          </w:p>
        </w:tc>
        <w:tc>
          <w:tcPr>
            <w:tcW w:w="827" w:type="dxa"/>
            <w:gridSpan w:val="4"/>
            <w:vAlign w:val="center"/>
            <w:hideMark/>
          </w:tcPr>
          <w:p w14:paraId="1F24EB44"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04BFD16"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67C2B350" w14:textId="48A05F30"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 xml:space="preserve">Los profesionales </w:t>
            </w:r>
            <w:r w:rsidR="00705F6F" w:rsidRPr="00705F6F">
              <w:rPr>
                <w:rFonts w:ascii="Arial Narrow" w:eastAsia="Times New Roman" w:hAnsi="Arial Narrow" w:cs="Times New Roman"/>
                <w:color w:val="000000"/>
                <w:spacing w:val="0"/>
                <w:sz w:val="20"/>
                <w:szCs w:val="20"/>
                <w:lang w:val="es-EC" w:eastAsia="es-EC"/>
                <w14:numForm w14:val="default"/>
              </w:rPr>
              <w:t>lo guían</w:t>
            </w:r>
            <w:r w:rsidRPr="00705F6F">
              <w:rPr>
                <w:rFonts w:ascii="Arial Narrow" w:eastAsia="Times New Roman" w:hAnsi="Arial Narrow" w:cs="Times New Roman"/>
                <w:color w:val="000000"/>
                <w:spacing w:val="0"/>
                <w:sz w:val="20"/>
                <w:szCs w:val="20"/>
                <w:lang w:val="es-EC" w:eastAsia="es-EC"/>
                <w14:numForm w14:val="default"/>
              </w:rPr>
              <w:t xml:space="preserve"> con claridad sobre las pautas a seguir durante la jornada de diálisis.</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3365FAE6"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0.510</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6A57268A"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0.742</w:t>
            </w:r>
          </w:p>
        </w:tc>
        <w:tc>
          <w:tcPr>
            <w:tcW w:w="1843" w:type="dxa"/>
            <w:vMerge w:val="restart"/>
            <w:tcBorders>
              <w:top w:val="nil"/>
              <w:left w:val="single" w:sz="4" w:space="0" w:color="auto"/>
              <w:bottom w:val="single" w:sz="4" w:space="0" w:color="auto"/>
              <w:right w:val="single" w:sz="4" w:space="0" w:color="auto"/>
            </w:tcBorders>
            <w:noWrap/>
            <w:vAlign w:val="bottom"/>
            <w:hideMark/>
          </w:tcPr>
          <w:p w14:paraId="2C6E65EF"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 </w:t>
            </w:r>
          </w:p>
        </w:tc>
        <w:tc>
          <w:tcPr>
            <w:tcW w:w="727" w:type="dxa"/>
            <w:gridSpan w:val="2"/>
            <w:vAlign w:val="center"/>
            <w:hideMark/>
          </w:tcPr>
          <w:p w14:paraId="22494796"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E78D833"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2E392CA7"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6272DFA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BFAF37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155B085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605C42BB"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4801D361"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0D0AF552"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787207A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99B983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12B18A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1D5E5C26"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EB7FCC0" w14:textId="77777777" w:rsidTr="00B333A2">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09170536"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532F9B5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46757A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6B9BB0C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4EDAE60A"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0BD1EED"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336839E7"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El personal interviene con rapidez ante las alarmas de las máquinas o llamados de auxilio en sala.</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408218D4"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0.702</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59FF428C"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0.811</w:t>
            </w:r>
          </w:p>
        </w:tc>
        <w:tc>
          <w:tcPr>
            <w:tcW w:w="1843" w:type="dxa"/>
            <w:vMerge/>
            <w:tcBorders>
              <w:top w:val="nil"/>
              <w:left w:val="single" w:sz="4" w:space="0" w:color="auto"/>
              <w:bottom w:val="single" w:sz="4" w:space="0" w:color="auto"/>
              <w:right w:val="single" w:sz="4" w:space="0" w:color="auto"/>
            </w:tcBorders>
            <w:vAlign w:val="center"/>
            <w:hideMark/>
          </w:tcPr>
          <w:p w14:paraId="30A8E44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5A4A5574"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85950C5"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2258577F"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32215E1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52409C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1297D43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65B4E8F1"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09CD9CD9"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457C92FF"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57201D0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606479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39F578F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192DB6E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531C716"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3006F2C5"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59C436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26D2F6CD"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0652E04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3472DA69"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11F4E00" w14:textId="77777777" w:rsidTr="00626291">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51AF61C5"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val="restart"/>
            <w:tcBorders>
              <w:top w:val="nil"/>
              <w:left w:val="single" w:sz="4" w:space="0" w:color="auto"/>
              <w:bottom w:val="single" w:sz="4" w:space="0" w:color="auto"/>
              <w:right w:val="single" w:sz="4" w:space="0" w:color="auto"/>
            </w:tcBorders>
            <w:noWrap/>
            <w:vAlign w:val="bottom"/>
            <w:hideMark/>
          </w:tcPr>
          <w:p w14:paraId="5046A70B"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0.688</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41834117"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0.795</w:t>
            </w:r>
          </w:p>
        </w:tc>
        <w:tc>
          <w:tcPr>
            <w:tcW w:w="1843" w:type="dxa"/>
            <w:vMerge/>
            <w:tcBorders>
              <w:top w:val="nil"/>
              <w:left w:val="single" w:sz="4" w:space="0" w:color="auto"/>
              <w:bottom w:val="single" w:sz="4" w:space="0" w:color="auto"/>
              <w:right w:val="single" w:sz="4" w:space="0" w:color="auto"/>
            </w:tcBorders>
            <w:vAlign w:val="center"/>
            <w:hideMark/>
          </w:tcPr>
          <w:p w14:paraId="6364DF0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2FCC066D"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44B885D"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69003E00"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Se percibe una disposición constante y proactiva de los enfermeros para colaborar con el paciente.</w:t>
            </w:r>
          </w:p>
        </w:tc>
        <w:tc>
          <w:tcPr>
            <w:tcW w:w="1275" w:type="dxa"/>
            <w:vMerge/>
            <w:tcBorders>
              <w:top w:val="nil"/>
              <w:left w:val="single" w:sz="4" w:space="0" w:color="auto"/>
              <w:bottom w:val="single" w:sz="4" w:space="0" w:color="auto"/>
              <w:right w:val="single" w:sz="4" w:space="0" w:color="auto"/>
            </w:tcBorders>
            <w:vAlign w:val="center"/>
            <w:hideMark/>
          </w:tcPr>
          <w:p w14:paraId="4957645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38B1050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A1A591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5FD9DEF7"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A238B64"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20BB4170"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4ACA1D8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6DAEA6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7604E8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24B0B52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r>
      <w:tr w:rsidR="00011270" w:rsidRPr="00705F6F" w14:paraId="37FCA56C"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30A74176"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B87264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2AD5616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706181D"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1FD7E1C2"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33BB4D3" w14:textId="77777777" w:rsidTr="00B333A2">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7262E0D2"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5657C82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0A687B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0FB1418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1E2B03C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B8C0033"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54950391"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La organización interna mitiga los tiempos de espera, facilitando una atención fluida y sin saturación.</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73B6AC1D"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0.558</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41F5B797" w14:textId="74D746CA" w:rsidR="00011270" w:rsidRPr="00705F6F" w:rsidRDefault="005167CE"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Pr>
                <w:rFonts w:ascii="Arial Narrow" w:eastAsia="Times New Roman" w:hAnsi="Arial Narrow" w:cs="Times New Roman"/>
                <w:color w:val="000000"/>
                <w:spacing w:val="0"/>
                <w:sz w:val="20"/>
                <w:szCs w:val="20"/>
                <w:lang w:val="es-EC" w:eastAsia="es-EC"/>
                <w14:numForm w14:val="default"/>
              </w:rPr>
              <w:t>0.</w:t>
            </w:r>
            <w:r w:rsidR="00011270" w:rsidRPr="00705F6F">
              <w:rPr>
                <w:rFonts w:ascii="Arial Narrow" w:eastAsia="Times New Roman" w:hAnsi="Arial Narrow" w:cs="Times New Roman"/>
                <w:color w:val="000000"/>
                <w:spacing w:val="0"/>
                <w:sz w:val="20"/>
                <w:szCs w:val="20"/>
                <w:lang w:val="es-EC" w:eastAsia="es-EC"/>
                <w14:numForm w14:val="default"/>
              </w:rPr>
              <w:t>612</w:t>
            </w:r>
          </w:p>
        </w:tc>
        <w:tc>
          <w:tcPr>
            <w:tcW w:w="1843" w:type="dxa"/>
            <w:vMerge w:val="restart"/>
            <w:tcBorders>
              <w:top w:val="nil"/>
              <w:left w:val="single" w:sz="4" w:space="0" w:color="auto"/>
              <w:bottom w:val="single" w:sz="4" w:space="0" w:color="auto"/>
              <w:right w:val="single" w:sz="4" w:space="0" w:color="auto"/>
            </w:tcBorders>
            <w:noWrap/>
            <w:vAlign w:val="bottom"/>
            <w:hideMark/>
          </w:tcPr>
          <w:p w14:paraId="0A90FACB" w14:textId="77777777" w:rsidR="00011270" w:rsidRPr="00705F6F" w:rsidRDefault="00011270" w:rsidP="00B333A2">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Refleja la insatisfacción</w:t>
            </w:r>
          </w:p>
        </w:tc>
        <w:tc>
          <w:tcPr>
            <w:tcW w:w="727" w:type="dxa"/>
            <w:gridSpan w:val="2"/>
            <w:vAlign w:val="center"/>
            <w:hideMark/>
          </w:tcPr>
          <w:p w14:paraId="76F1F68A"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C7E8646"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04F065F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58397F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746A525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DE5015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4571094C"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2D0C7D6E"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3CF1E0D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264BF89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B8C9A3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6C03FB6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6FD081B2"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3588831" w14:textId="77777777" w:rsidTr="00B333A2">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5334B0DD"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2771E83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57E5C52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4C9D7E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6E6C146D"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0405A65A"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366D9D8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KMO</w:t>
            </w:r>
          </w:p>
        </w:tc>
        <w:tc>
          <w:tcPr>
            <w:tcW w:w="4536" w:type="dxa"/>
            <w:gridSpan w:val="3"/>
            <w:tcBorders>
              <w:top w:val="single" w:sz="4" w:space="0" w:color="auto"/>
              <w:left w:val="nil"/>
              <w:bottom w:val="single" w:sz="4" w:space="0" w:color="auto"/>
              <w:right w:val="single" w:sz="4" w:space="0" w:color="auto"/>
            </w:tcBorders>
            <w:noWrap/>
            <w:vAlign w:val="bottom"/>
            <w:hideMark/>
          </w:tcPr>
          <w:p w14:paraId="26417387"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0.745</w:t>
            </w:r>
          </w:p>
        </w:tc>
        <w:tc>
          <w:tcPr>
            <w:tcW w:w="812" w:type="dxa"/>
            <w:gridSpan w:val="3"/>
            <w:vAlign w:val="center"/>
            <w:hideMark/>
          </w:tcPr>
          <w:p w14:paraId="37F9C4F4"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88683DB"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67CB78C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Prueba de Bartlett</w:t>
            </w:r>
          </w:p>
        </w:tc>
        <w:tc>
          <w:tcPr>
            <w:tcW w:w="4536" w:type="dxa"/>
            <w:gridSpan w:val="3"/>
            <w:tcBorders>
              <w:top w:val="single" w:sz="4" w:space="0" w:color="auto"/>
              <w:left w:val="nil"/>
              <w:bottom w:val="single" w:sz="4" w:space="0" w:color="auto"/>
              <w:right w:val="single" w:sz="4" w:space="0" w:color="auto"/>
            </w:tcBorders>
            <w:noWrap/>
            <w:vAlign w:val="bottom"/>
            <w:hideMark/>
          </w:tcPr>
          <w:p w14:paraId="03E538F9"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p&lt; 0.001</w:t>
            </w:r>
          </w:p>
        </w:tc>
        <w:tc>
          <w:tcPr>
            <w:tcW w:w="812" w:type="dxa"/>
            <w:gridSpan w:val="3"/>
            <w:vAlign w:val="center"/>
            <w:hideMark/>
          </w:tcPr>
          <w:p w14:paraId="0BC7514C"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D6EE298"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5B7D720D"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Varianza aplicada</w:t>
            </w:r>
          </w:p>
        </w:tc>
        <w:tc>
          <w:tcPr>
            <w:tcW w:w="4536" w:type="dxa"/>
            <w:gridSpan w:val="3"/>
            <w:tcBorders>
              <w:top w:val="single" w:sz="4" w:space="0" w:color="auto"/>
              <w:left w:val="nil"/>
              <w:bottom w:val="single" w:sz="4" w:space="0" w:color="auto"/>
              <w:right w:val="single" w:sz="4" w:space="0" w:color="auto"/>
            </w:tcBorders>
            <w:noWrap/>
            <w:vAlign w:val="bottom"/>
            <w:hideMark/>
          </w:tcPr>
          <w:p w14:paraId="768D428C"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61.450%</w:t>
            </w:r>
          </w:p>
        </w:tc>
        <w:tc>
          <w:tcPr>
            <w:tcW w:w="812" w:type="dxa"/>
            <w:gridSpan w:val="3"/>
            <w:vAlign w:val="center"/>
            <w:hideMark/>
          </w:tcPr>
          <w:p w14:paraId="243EEF4B"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0EFC23C3"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41F7AC9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Alpha de Cronbach</w:t>
            </w:r>
          </w:p>
        </w:tc>
        <w:tc>
          <w:tcPr>
            <w:tcW w:w="4536" w:type="dxa"/>
            <w:gridSpan w:val="3"/>
            <w:tcBorders>
              <w:top w:val="single" w:sz="4" w:space="0" w:color="auto"/>
              <w:left w:val="nil"/>
              <w:bottom w:val="single" w:sz="4" w:space="0" w:color="auto"/>
              <w:right w:val="single" w:sz="4" w:space="0" w:color="auto"/>
            </w:tcBorders>
            <w:noWrap/>
            <w:vAlign w:val="bottom"/>
            <w:hideMark/>
          </w:tcPr>
          <w:p w14:paraId="55A53914"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0.798</w:t>
            </w:r>
          </w:p>
        </w:tc>
        <w:tc>
          <w:tcPr>
            <w:tcW w:w="812" w:type="dxa"/>
            <w:gridSpan w:val="3"/>
            <w:vAlign w:val="center"/>
            <w:hideMark/>
          </w:tcPr>
          <w:p w14:paraId="3E8BA9C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D269EFA" w14:textId="77777777" w:rsidTr="00B333A2">
        <w:trPr>
          <w:trHeight w:val="288"/>
        </w:trPr>
        <w:tc>
          <w:tcPr>
            <w:tcW w:w="6658" w:type="dxa"/>
            <w:gridSpan w:val="4"/>
            <w:tcBorders>
              <w:top w:val="single" w:sz="4" w:space="0" w:color="auto"/>
              <w:left w:val="single" w:sz="4" w:space="0" w:color="auto"/>
              <w:bottom w:val="single" w:sz="4" w:space="0" w:color="auto"/>
              <w:right w:val="single" w:sz="4" w:space="0" w:color="auto"/>
            </w:tcBorders>
            <w:noWrap/>
            <w:vAlign w:val="bottom"/>
            <w:hideMark/>
          </w:tcPr>
          <w:p w14:paraId="79F4B0B9" w14:textId="77777777" w:rsidR="00011270" w:rsidRPr="00705F6F" w:rsidRDefault="00011270" w:rsidP="00011270">
            <w:pPr>
              <w:spacing w:before="0" w:after="0" w:line="240" w:lineRule="auto"/>
              <w:jc w:val="left"/>
              <w:rPr>
                <w:rFonts w:ascii="Arial Narrow" w:eastAsia="Times New Roman" w:hAnsi="Arial Narrow" w:cs="Times New Roman"/>
                <w:b/>
                <w:bCs/>
                <w:color w:val="000000"/>
                <w:spacing w:val="0"/>
                <w:sz w:val="20"/>
                <w:szCs w:val="20"/>
                <w:lang w:val="es-EC" w:eastAsia="es-EC"/>
                <w14:numForm w14:val="default"/>
              </w:rPr>
            </w:pPr>
            <w:r w:rsidRPr="00705F6F">
              <w:rPr>
                <w:rFonts w:ascii="Arial Narrow" w:eastAsia="Times New Roman" w:hAnsi="Arial Narrow" w:cs="Times New Roman"/>
                <w:b/>
                <w:bCs/>
                <w:color w:val="000000"/>
                <w:spacing w:val="0"/>
                <w:sz w:val="20"/>
                <w:szCs w:val="20"/>
                <w:lang w:val="es-EC" w:eastAsia="es-EC"/>
                <w14:numForm w14:val="default"/>
              </w:rPr>
              <w:t>4. Seguridad</w:t>
            </w:r>
          </w:p>
        </w:tc>
        <w:tc>
          <w:tcPr>
            <w:tcW w:w="827" w:type="dxa"/>
            <w:gridSpan w:val="4"/>
            <w:vAlign w:val="center"/>
            <w:hideMark/>
          </w:tcPr>
          <w:p w14:paraId="3B2CB4F3"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4E44055" w14:textId="77777777" w:rsidTr="00626291">
        <w:trPr>
          <w:gridAfter w:val="2"/>
          <w:wAfter w:w="100" w:type="dxa"/>
          <w:trHeight w:val="47"/>
        </w:trPr>
        <w:tc>
          <w:tcPr>
            <w:tcW w:w="2122" w:type="dxa"/>
            <w:vMerge w:val="restart"/>
            <w:tcBorders>
              <w:top w:val="nil"/>
              <w:left w:val="single" w:sz="4" w:space="0" w:color="auto"/>
              <w:bottom w:val="single" w:sz="4" w:space="0" w:color="auto"/>
              <w:right w:val="single" w:sz="4" w:space="0" w:color="auto"/>
            </w:tcBorders>
            <w:vAlign w:val="bottom"/>
            <w:hideMark/>
          </w:tcPr>
          <w:p w14:paraId="0DADA85A" w14:textId="222227F6" w:rsidR="00011270" w:rsidRPr="00705F6F" w:rsidRDefault="00626291"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Las consejerías educativas que le brindan sobre alimentación y cuidados del acceso vascular son claras.</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318EF34C" w14:textId="77777777" w:rsidR="00626291" w:rsidRDefault="00626291"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Pr>
                <w:rFonts w:ascii="Arial Narrow" w:eastAsia="Times New Roman" w:hAnsi="Arial Narrow" w:cs="Times New Roman"/>
                <w:color w:val="000000"/>
                <w:spacing w:val="0"/>
                <w:sz w:val="20"/>
                <w:szCs w:val="20"/>
                <w:lang w:val="es-EC" w:eastAsia="es-EC"/>
                <w14:numForm w14:val="default"/>
              </w:rPr>
              <w:t xml:space="preserve">      </w:t>
            </w:r>
          </w:p>
          <w:p w14:paraId="4AE329DB" w14:textId="77777777" w:rsidR="00626291" w:rsidRDefault="00626291"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p w14:paraId="5A8A4CAA" w14:textId="77777777" w:rsidR="00626291" w:rsidRDefault="00626291"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p w14:paraId="10860A8E" w14:textId="77777777" w:rsidR="00626291" w:rsidRDefault="00626291"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p w14:paraId="5A203BC4" w14:textId="6A71923B"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0.582</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2E5CB49F" w14:textId="77777777" w:rsidR="00626291" w:rsidRDefault="00626291"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p w14:paraId="0C5F17CB" w14:textId="77777777" w:rsidR="00626291" w:rsidRDefault="00626291"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p w14:paraId="75A15B7F" w14:textId="77777777" w:rsidR="00626291" w:rsidRDefault="00626291"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p w14:paraId="13CCE465" w14:textId="77777777" w:rsidR="00626291" w:rsidRDefault="00626291"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p w14:paraId="21A1BB73" w14:textId="120C2E92"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0.674</w:t>
            </w:r>
          </w:p>
        </w:tc>
        <w:tc>
          <w:tcPr>
            <w:tcW w:w="1843" w:type="dxa"/>
            <w:vMerge w:val="restart"/>
            <w:tcBorders>
              <w:top w:val="nil"/>
              <w:left w:val="single" w:sz="4" w:space="0" w:color="auto"/>
              <w:bottom w:val="single" w:sz="4" w:space="0" w:color="auto"/>
              <w:right w:val="single" w:sz="4" w:space="0" w:color="auto"/>
            </w:tcBorders>
            <w:vAlign w:val="bottom"/>
            <w:hideMark/>
          </w:tcPr>
          <w:p w14:paraId="54A0FE2C"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Carga moderada asociada a la brecha de información.</w:t>
            </w:r>
          </w:p>
        </w:tc>
        <w:tc>
          <w:tcPr>
            <w:tcW w:w="727" w:type="dxa"/>
            <w:gridSpan w:val="2"/>
            <w:vAlign w:val="center"/>
            <w:hideMark/>
          </w:tcPr>
          <w:p w14:paraId="3F43BE3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0ECC92E"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6384D13F"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795C4BF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4DAC95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386A4E6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614E38FA"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6D806790"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66EEB4F0"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6EA0431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153B86E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7B31DF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1D91629A"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99228A9" w14:textId="77777777" w:rsidTr="00B333A2">
        <w:trPr>
          <w:gridAfter w:val="2"/>
          <w:wAfter w:w="100" w:type="dxa"/>
          <w:trHeight w:val="696"/>
        </w:trPr>
        <w:tc>
          <w:tcPr>
            <w:tcW w:w="2122" w:type="dxa"/>
            <w:vMerge/>
            <w:tcBorders>
              <w:top w:val="nil"/>
              <w:left w:val="single" w:sz="4" w:space="0" w:color="auto"/>
              <w:bottom w:val="single" w:sz="4" w:space="0" w:color="auto"/>
              <w:right w:val="single" w:sz="4" w:space="0" w:color="auto"/>
            </w:tcBorders>
            <w:vAlign w:val="center"/>
            <w:hideMark/>
          </w:tcPr>
          <w:p w14:paraId="7211F34C"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35AFB1B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3041336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05E27F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47314E35"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6A39330"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072EBA55"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lastRenderedPageBreak/>
              <w:t>El personal enfermero ejecuta los protocolos de bioseguridad e higiene de manera estricta en cada conexión y desconexión.</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26AF07AD"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0.754</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23C6458D"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0.865</w:t>
            </w:r>
          </w:p>
        </w:tc>
        <w:tc>
          <w:tcPr>
            <w:tcW w:w="1843" w:type="dxa"/>
            <w:vMerge w:val="restart"/>
            <w:tcBorders>
              <w:top w:val="nil"/>
              <w:left w:val="single" w:sz="4" w:space="0" w:color="auto"/>
              <w:bottom w:val="single" w:sz="4" w:space="0" w:color="auto"/>
              <w:right w:val="single" w:sz="4" w:space="0" w:color="auto"/>
            </w:tcBorders>
            <w:noWrap/>
            <w:vAlign w:val="bottom"/>
            <w:hideMark/>
          </w:tcPr>
          <w:p w14:paraId="0866F390"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 </w:t>
            </w:r>
          </w:p>
        </w:tc>
        <w:tc>
          <w:tcPr>
            <w:tcW w:w="727" w:type="dxa"/>
            <w:gridSpan w:val="2"/>
            <w:vAlign w:val="center"/>
            <w:hideMark/>
          </w:tcPr>
          <w:p w14:paraId="709A9DC5"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6ACBFCC"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7C5285C1"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04E23DE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766E1D2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960AD7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CEBA1D9"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4CF7BCAD"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6C46D743"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74BD239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170B5A9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99FC4CD"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714DB3CD"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9CA8CDD" w14:textId="77777777" w:rsidTr="00B333A2">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570E26C4"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54F218F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6B403C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3010F6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7AB7D746"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0909E8C8"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6A8B04FA"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Los enfermeros demuestran destreza y alta preparación técnica al manipular su acceso vascular.</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724ACD0C"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0.720</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3AA94A95"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0.841</w:t>
            </w:r>
          </w:p>
        </w:tc>
        <w:tc>
          <w:tcPr>
            <w:tcW w:w="1843" w:type="dxa"/>
            <w:vMerge/>
            <w:tcBorders>
              <w:top w:val="nil"/>
              <w:left w:val="single" w:sz="4" w:space="0" w:color="auto"/>
              <w:bottom w:val="single" w:sz="4" w:space="0" w:color="auto"/>
              <w:right w:val="single" w:sz="4" w:space="0" w:color="auto"/>
            </w:tcBorders>
            <w:vAlign w:val="center"/>
            <w:hideMark/>
          </w:tcPr>
          <w:p w14:paraId="0B9F0E7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6FFAF159"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8E95E57"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5C340776"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530F2CA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8310D5D"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CDA649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415159A8"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51C9F61F"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5BD5276A"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B55F85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C2595A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8EACBE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429E665E"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5BD895BC" w14:textId="77777777" w:rsidTr="00B333A2">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4BF3D229"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63D252F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16C6F44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69951F8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18E6730E"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70835C9"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1EF5293C"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El trato recibido por parte del personal de enfermería es respetuoso y genera tranquilidad.</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3E3BB7C4"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0.665</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1405B34C"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0.790</w:t>
            </w:r>
          </w:p>
        </w:tc>
        <w:tc>
          <w:tcPr>
            <w:tcW w:w="1843" w:type="dxa"/>
            <w:vMerge/>
            <w:tcBorders>
              <w:top w:val="nil"/>
              <w:left w:val="single" w:sz="4" w:space="0" w:color="auto"/>
              <w:bottom w:val="single" w:sz="4" w:space="0" w:color="auto"/>
              <w:right w:val="single" w:sz="4" w:space="0" w:color="auto"/>
            </w:tcBorders>
            <w:vAlign w:val="center"/>
            <w:hideMark/>
          </w:tcPr>
          <w:p w14:paraId="39BC1CF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00AFE59C"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08E00346"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11044EF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6D5725B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34F97B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F7CB34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4DF69C89"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7A2C5AF1"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14EA3D3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793A537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DA023A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1385164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73B4CD14"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537BA962" w14:textId="77777777" w:rsidTr="00B333A2">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12A9D84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8DBA21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3CE72FD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0C22336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1719CA89"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5AC520E"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4A1DF69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KMO</w:t>
            </w:r>
          </w:p>
        </w:tc>
        <w:tc>
          <w:tcPr>
            <w:tcW w:w="4536" w:type="dxa"/>
            <w:gridSpan w:val="3"/>
            <w:tcBorders>
              <w:top w:val="single" w:sz="4" w:space="0" w:color="auto"/>
              <w:left w:val="nil"/>
              <w:bottom w:val="single" w:sz="4" w:space="0" w:color="auto"/>
              <w:right w:val="single" w:sz="4" w:space="0" w:color="auto"/>
            </w:tcBorders>
            <w:noWrap/>
            <w:vAlign w:val="bottom"/>
            <w:hideMark/>
          </w:tcPr>
          <w:p w14:paraId="7A8A889F"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0.826</w:t>
            </w:r>
          </w:p>
        </w:tc>
        <w:tc>
          <w:tcPr>
            <w:tcW w:w="812" w:type="dxa"/>
            <w:gridSpan w:val="3"/>
            <w:vAlign w:val="center"/>
            <w:hideMark/>
          </w:tcPr>
          <w:p w14:paraId="2FA846AE"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F67EB07"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1ED4E2E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Prueba de Bartlett</w:t>
            </w:r>
          </w:p>
        </w:tc>
        <w:tc>
          <w:tcPr>
            <w:tcW w:w="4536" w:type="dxa"/>
            <w:gridSpan w:val="3"/>
            <w:tcBorders>
              <w:top w:val="single" w:sz="4" w:space="0" w:color="auto"/>
              <w:left w:val="nil"/>
              <w:bottom w:val="single" w:sz="4" w:space="0" w:color="auto"/>
              <w:right w:val="single" w:sz="4" w:space="0" w:color="auto"/>
            </w:tcBorders>
            <w:noWrap/>
            <w:vAlign w:val="bottom"/>
            <w:hideMark/>
          </w:tcPr>
          <w:p w14:paraId="68120033"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p&lt; 0.001</w:t>
            </w:r>
          </w:p>
        </w:tc>
        <w:tc>
          <w:tcPr>
            <w:tcW w:w="812" w:type="dxa"/>
            <w:gridSpan w:val="3"/>
            <w:vAlign w:val="center"/>
            <w:hideMark/>
          </w:tcPr>
          <w:p w14:paraId="159E9286"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7C91BA4"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50B06F4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Varianza aplicada</w:t>
            </w:r>
          </w:p>
        </w:tc>
        <w:tc>
          <w:tcPr>
            <w:tcW w:w="4536" w:type="dxa"/>
            <w:gridSpan w:val="3"/>
            <w:tcBorders>
              <w:top w:val="single" w:sz="4" w:space="0" w:color="auto"/>
              <w:left w:val="nil"/>
              <w:bottom w:val="single" w:sz="4" w:space="0" w:color="auto"/>
              <w:right w:val="single" w:sz="4" w:space="0" w:color="auto"/>
            </w:tcBorders>
            <w:noWrap/>
            <w:vAlign w:val="bottom"/>
            <w:hideMark/>
          </w:tcPr>
          <w:p w14:paraId="1BA96A22"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69.115%</w:t>
            </w:r>
          </w:p>
        </w:tc>
        <w:tc>
          <w:tcPr>
            <w:tcW w:w="812" w:type="dxa"/>
            <w:gridSpan w:val="3"/>
            <w:vAlign w:val="center"/>
            <w:hideMark/>
          </w:tcPr>
          <w:p w14:paraId="4D59597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E3614A4"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7936496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Alpha de Cronbach</w:t>
            </w:r>
          </w:p>
        </w:tc>
        <w:tc>
          <w:tcPr>
            <w:tcW w:w="4536" w:type="dxa"/>
            <w:gridSpan w:val="3"/>
            <w:tcBorders>
              <w:top w:val="single" w:sz="4" w:space="0" w:color="auto"/>
              <w:left w:val="nil"/>
              <w:bottom w:val="single" w:sz="4" w:space="0" w:color="auto"/>
              <w:right w:val="single" w:sz="4" w:space="0" w:color="auto"/>
            </w:tcBorders>
            <w:noWrap/>
            <w:vAlign w:val="bottom"/>
            <w:hideMark/>
          </w:tcPr>
          <w:p w14:paraId="32A9F02C"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0.856</w:t>
            </w:r>
          </w:p>
        </w:tc>
        <w:tc>
          <w:tcPr>
            <w:tcW w:w="812" w:type="dxa"/>
            <w:gridSpan w:val="3"/>
            <w:vAlign w:val="center"/>
            <w:hideMark/>
          </w:tcPr>
          <w:p w14:paraId="3C6F8B0C"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E7390C8" w14:textId="77777777" w:rsidTr="00B333A2">
        <w:trPr>
          <w:trHeight w:val="288"/>
        </w:trPr>
        <w:tc>
          <w:tcPr>
            <w:tcW w:w="6658" w:type="dxa"/>
            <w:gridSpan w:val="4"/>
            <w:tcBorders>
              <w:top w:val="single" w:sz="4" w:space="0" w:color="auto"/>
              <w:left w:val="single" w:sz="4" w:space="0" w:color="auto"/>
              <w:bottom w:val="single" w:sz="4" w:space="0" w:color="auto"/>
              <w:right w:val="single" w:sz="4" w:space="0" w:color="auto"/>
            </w:tcBorders>
            <w:noWrap/>
            <w:vAlign w:val="bottom"/>
            <w:hideMark/>
          </w:tcPr>
          <w:p w14:paraId="1BC2A3C8" w14:textId="77777777" w:rsidR="00011270" w:rsidRPr="00705F6F" w:rsidRDefault="00011270" w:rsidP="00011270">
            <w:pPr>
              <w:spacing w:before="0" w:after="0" w:line="240" w:lineRule="auto"/>
              <w:jc w:val="left"/>
              <w:rPr>
                <w:rFonts w:ascii="Arial Narrow" w:eastAsia="Times New Roman" w:hAnsi="Arial Narrow" w:cs="Times New Roman"/>
                <w:b/>
                <w:bCs/>
                <w:color w:val="000000"/>
                <w:spacing w:val="0"/>
                <w:sz w:val="20"/>
                <w:szCs w:val="20"/>
                <w:lang w:val="es-EC" w:eastAsia="es-EC"/>
                <w14:numForm w14:val="default"/>
              </w:rPr>
            </w:pPr>
            <w:r w:rsidRPr="00705F6F">
              <w:rPr>
                <w:rFonts w:ascii="Arial Narrow" w:eastAsia="Times New Roman" w:hAnsi="Arial Narrow" w:cs="Times New Roman"/>
                <w:b/>
                <w:bCs/>
                <w:color w:val="000000"/>
                <w:spacing w:val="0"/>
                <w:sz w:val="20"/>
                <w:szCs w:val="20"/>
                <w:lang w:val="es-EC" w:eastAsia="es-EC"/>
                <w14:numForm w14:val="default"/>
              </w:rPr>
              <w:t>5. Empatía</w:t>
            </w:r>
          </w:p>
        </w:tc>
        <w:tc>
          <w:tcPr>
            <w:tcW w:w="827" w:type="dxa"/>
            <w:gridSpan w:val="4"/>
            <w:vAlign w:val="center"/>
            <w:hideMark/>
          </w:tcPr>
          <w:p w14:paraId="1511FF15"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0797F041"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628645C9"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El enfermero le dedica el tiempo necesario y muestra atención exclusiva hacia sus problemas de salud.</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5430170C"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0.695</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53F0F7D5"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0.810</w:t>
            </w:r>
          </w:p>
        </w:tc>
        <w:tc>
          <w:tcPr>
            <w:tcW w:w="1843" w:type="dxa"/>
            <w:vMerge w:val="restart"/>
            <w:tcBorders>
              <w:top w:val="nil"/>
              <w:left w:val="single" w:sz="4" w:space="0" w:color="auto"/>
              <w:bottom w:val="single" w:sz="4" w:space="0" w:color="auto"/>
              <w:right w:val="single" w:sz="4" w:space="0" w:color="auto"/>
            </w:tcBorders>
            <w:noWrap/>
            <w:vAlign w:val="bottom"/>
            <w:hideMark/>
          </w:tcPr>
          <w:p w14:paraId="5E60835D"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 </w:t>
            </w:r>
          </w:p>
        </w:tc>
        <w:tc>
          <w:tcPr>
            <w:tcW w:w="727" w:type="dxa"/>
            <w:gridSpan w:val="2"/>
            <w:vAlign w:val="center"/>
            <w:hideMark/>
          </w:tcPr>
          <w:p w14:paraId="379C7096"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01331540"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6AE8A535"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7A16D9E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59B2C2F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39EF742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3247A288"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4311D275"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1FC2E390"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2A0BE5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3BB2E95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9AE3C4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C4B6296"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E3A2516" w14:textId="77777777" w:rsidTr="00B333A2">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1DC3B4AA"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77F68F4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8E3BFD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64431FD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7E28CC7F"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010E091"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17ADAE10"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El personal enfermero se muestra receptivo y actúa con prontitud si manifiesto malestar físico en sala.</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7CFB5308"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0.712</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50AD5516"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0.832</w:t>
            </w:r>
          </w:p>
        </w:tc>
        <w:tc>
          <w:tcPr>
            <w:tcW w:w="1843" w:type="dxa"/>
            <w:vMerge/>
            <w:tcBorders>
              <w:top w:val="nil"/>
              <w:left w:val="single" w:sz="4" w:space="0" w:color="auto"/>
              <w:bottom w:val="single" w:sz="4" w:space="0" w:color="auto"/>
              <w:right w:val="single" w:sz="4" w:space="0" w:color="auto"/>
            </w:tcBorders>
            <w:vAlign w:val="center"/>
            <w:hideMark/>
          </w:tcPr>
          <w:p w14:paraId="24A61E8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13ED4230"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513DC0B2"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7283C5D5"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44496E3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50154AB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BDFD3B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34CA5579"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47232802"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49166047"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7A78680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783C6F8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419029F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52A60BE5"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B605EDB" w14:textId="77777777" w:rsidTr="00B333A2">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2AC2AA12"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09034A1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5E3ED84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BFC204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26EAFF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EBC48C1"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6B23DB23"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Siente que los enfermeros entienden su situación y se sensibilizan ante el paciente renal.</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599ACDEA"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0.740</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22DA821F"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0.854</w:t>
            </w:r>
          </w:p>
        </w:tc>
        <w:tc>
          <w:tcPr>
            <w:tcW w:w="1843" w:type="dxa"/>
            <w:vMerge/>
            <w:tcBorders>
              <w:top w:val="nil"/>
              <w:left w:val="single" w:sz="4" w:space="0" w:color="auto"/>
              <w:bottom w:val="single" w:sz="4" w:space="0" w:color="auto"/>
              <w:right w:val="single" w:sz="4" w:space="0" w:color="auto"/>
            </w:tcBorders>
            <w:vAlign w:val="center"/>
            <w:hideMark/>
          </w:tcPr>
          <w:p w14:paraId="33BE994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320A4315"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2FB9DB2"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284002EF"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3ABD571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CC356D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3CE73A2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DAE4E39"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5521DBF8"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39DDB053"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08C220F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1A77822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5C873D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261029D7"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3548E47" w14:textId="77777777" w:rsidTr="00626291">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0F00A226"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2659323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6E9555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007B6B6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19D534BA"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26CAEBD"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7DE2FC70"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El cuidado de enfermería se percibe humanizado y adaptado de forma particular a sus necesidades.</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07FB578E" w14:textId="77777777" w:rsidR="00011270" w:rsidRPr="00705F6F" w:rsidRDefault="00011270" w:rsidP="00626291">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0.668</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505A8C05" w14:textId="77777777" w:rsidR="00011270" w:rsidRPr="00705F6F" w:rsidRDefault="00011270" w:rsidP="00626291">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0.772</w:t>
            </w:r>
          </w:p>
        </w:tc>
        <w:tc>
          <w:tcPr>
            <w:tcW w:w="1843" w:type="dxa"/>
            <w:vMerge/>
            <w:tcBorders>
              <w:top w:val="nil"/>
              <w:left w:val="single" w:sz="4" w:space="0" w:color="auto"/>
              <w:bottom w:val="single" w:sz="4" w:space="0" w:color="auto"/>
              <w:right w:val="single" w:sz="4" w:space="0" w:color="auto"/>
            </w:tcBorders>
            <w:vAlign w:val="center"/>
            <w:hideMark/>
          </w:tcPr>
          <w:p w14:paraId="3CBA86D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5AD2C216"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B5C7CAC"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7E788650"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70C59C5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80C1B1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3378E91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40933B73"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2B1ACB4E"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5627C0C7"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4E1B7A8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F380D3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45EF89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7A730F3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E9FEEDF" w14:textId="77777777" w:rsidTr="00626291">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3DF63698"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2999351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7596A55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F511F3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562683ED"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F99E6FD" w14:textId="77777777" w:rsidTr="00626291">
        <w:trPr>
          <w:gridAfter w:val="2"/>
          <w:wAfter w:w="100" w:type="dxa"/>
          <w:trHeight w:val="47"/>
        </w:trPr>
        <w:tc>
          <w:tcPr>
            <w:tcW w:w="2122" w:type="dxa"/>
            <w:vMerge w:val="restart"/>
            <w:tcBorders>
              <w:top w:val="nil"/>
              <w:left w:val="single" w:sz="4" w:space="0" w:color="auto"/>
              <w:bottom w:val="single" w:sz="4" w:space="0" w:color="auto"/>
              <w:right w:val="single" w:sz="4" w:space="0" w:color="auto"/>
            </w:tcBorders>
            <w:vAlign w:val="bottom"/>
            <w:hideMark/>
          </w:tcPr>
          <w:p w14:paraId="789B9755"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Los esquemas horarios de las sesiones trisemanal asignados por la unidad se ajustan a su rutina.</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04098C2C"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0.595</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7D5323DC"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0.710</w:t>
            </w:r>
          </w:p>
        </w:tc>
        <w:tc>
          <w:tcPr>
            <w:tcW w:w="1843" w:type="dxa"/>
            <w:vMerge/>
            <w:tcBorders>
              <w:top w:val="nil"/>
              <w:left w:val="single" w:sz="4" w:space="0" w:color="auto"/>
              <w:bottom w:val="single" w:sz="4" w:space="0" w:color="auto"/>
              <w:right w:val="single" w:sz="4" w:space="0" w:color="auto"/>
            </w:tcBorders>
            <w:vAlign w:val="center"/>
            <w:hideMark/>
          </w:tcPr>
          <w:p w14:paraId="7993B1B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3216CBEC"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7B94C6C"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3E3F51F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E38A40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7DF9BA4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06CC4F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17CCD2A2"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70D6E513"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0AB58E3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721DE30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7F9B072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96DBF2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24A20BF"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4DAA143"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7F1EF1C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612D609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24DF54D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6C6FA6D"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3A81E929"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978DC01"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7269593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KMO</w:t>
            </w:r>
          </w:p>
        </w:tc>
        <w:tc>
          <w:tcPr>
            <w:tcW w:w="4536" w:type="dxa"/>
            <w:gridSpan w:val="3"/>
            <w:tcBorders>
              <w:top w:val="single" w:sz="4" w:space="0" w:color="auto"/>
              <w:left w:val="nil"/>
              <w:bottom w:val="single" w:sz="4" w:space="0" w:color="auto"/>
              <w:right w:val="single" w:sz="4" w:space="0" w:color="auto"/>
            </w:tcBorders>
            <w:noWrap/>
            <w:vAlign w:val="bottom"/>
            <w:hideMark/>
          </w:tcPr>
          <w:p w14:paraId="4E914117"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0.841</w:t>
            </w:r>
          </w:p>
        </w:tc>
        <w:tc>
          <w:tcPr>
            <w:tcW w:w="812" w:type="dxa"/>
            <w:gridSpan w:val="3"/>
            <w:vAlign w:val="center"/>
            <w:hideMark/>
          </w:tcPr>
          <w:p w14:paraId="357AF795"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214BE68"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3C9CFA2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Prueba de Bartlett</w:t>
            </w:r>
          </w:p>
        </w:tc>
        <w:tc>
          <w:tcPr>
            <w:tcW w:w="4536" w:type="dxa"/>
            <w:gridSpan w:val="3"/>
            <w:tcBorders>
              <w:top w:val="single" w:sz="4" w:space="0" w:color="auto"/>
              <w:left w:val="nil"/>
              <w:bottom w:val="single" w:sz="4" w:space="0" w:color="auto"/>
              <w:right w:val="single" w:sz="4" w:space="0" w:color="auto"/>
            </w:tcBorders>
            <w:noWrap/>
            <w:vAlign w:val="bottom"/>
            <w:hideMark/>
          </w:tcPr>
          <w:p w14:paraId="6D350081"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p&lt; 0.001</w:t>
            </w:r>
          </w:p>
        </w:tc>
        <w:tc>
          <w:tcPr>
            <w:tcW w:w="812" w:type="dxa"/>
            <w:gridSpan w:val="3"/>
            <w:vAlign w:val="center"/>
            <w:hideMark/>
          </w:tcPr>
          <w:p w14:paraId="2561555E"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DB814BD"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10D96BA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Varianza aplicada</w:t>
            </w:r>
          </w:p>
        </w:tc>
        <w:tc>
          <w:tcPr>
            <w:tcW w:w="4536" w:type="dxa"/>
            <w:gridSpan w:val="3"/>
            <w:tcBorders>
              <w:top w:val="single" w:sz="4" w:space="0" w:color="auto"/>
              <w:left w:val="nil"/>
              <w:bottom w:val="single" w:sz="4" w:space="0" w:color="auto"/>
              <w:right w:val="single" w:sz="4" w:space="0" w:color="auto"/>
            </w:tcBorders>
            <w:vAlign w:val="bottom"/>
            <w:hideMark/>
          </w:tcPr>
          <w:p w14:paraId="0003D7A3"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68.320%</w:t>
            </w:r>
          </w:p>
        </w:tc>
        <w:tc>
          <w:tcPr>
            <w:tcW w:w="812" w:type="dxa"/>
            <w:gridSpan w:val="3"/>
            <w:vAlign w:val="center"/>
            <w:hideMark/>
          </w:tcPr>
          <w:p w14:paraId="2E744642"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6111007"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5A00784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Alpha de Cronbach</w:t>
            </w:r>
          </w:p>
        </w:tc>
        <w:tc>
          <w:tcPr>
            <w:tcW w:w="4536" w:type="dxa"/>
            <w:gridSpan w:val="3"/>
            <w:tcBorders>
              <w:top w:val="single" w:sz="4" w:space="0" w:color="auto"/>
              <w:left w:val="nil"/>
              <w:bottom w:val="single" w:sz="4" w:space="0" w:color="auto"/>
              <w:right w:val="single" w:sz="4" w:space="0" w:color="auto"/>
            </w:tcBorders>
            <w:noWrap/>
            <w:vAlign w:val="bottom"/>
            <w:hideMark/>
          </w:tcPr>
          <w:p w14:paraId="5F1232D3"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0.868</w:t>
            </w:r>
          </w:p>
        </w:tc>
        <w:tc>
          <w:tcPr>
            <w:tcW w:w="812" w:type="dxa"/>
            <w:gridSpan w:val="3"/>
            <w:vAlign w:val="center"/>
            <w:hideMark/>
          </w:tcPr>
          <w:p w14:paraId="5834A0FE"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ADFB60F" w14:textId="77777777" w:rsidTr="00B333A2">
        <w:trPr>
          <w:trHeight w:val="288"/>
        </w:trPr>
        <w:tc>
          <w:tcPr>
            <w:tcW w:w="6658" w:type="dxa"/>
            <w:gridSpan w:val="4"/>
            <w:tcBorders>
              <w:top w:val="single" w:sz="4" w:space="0" w:color="auto"/>
              <w:left w:val="single" w:sz="4" w:space="0" w:color="auto"/>
              <w:bottom w:val="single" w:sz="4" w:space="0" w:color="auto"/>
              <w:right w:val="single" w:sz="4" w:space="0" w:color="auto"/>
            </w:tcBorders>
            <w:noWrap/>
            <w:vAlign w:val="bottom"/>
            <w:hideMark/>
          </w:tcPr>
          <w:p w14:paraId="07A0E1FE" w14:textId="77777777" w:rsidR="00011270" w:rsidRPr="00705F6F" w:rsidRDefault="00011270" w:rsidP="00011270">
            <w:pPr>
              <w:spacing w:before="0" w:after="0" w:line="240" w:lineRule="auto"/>
              <w:jc w:val="left"/>
              <w:rPr>
                <w:rFonts w:ascii="Arial Narrow" w:eastAsia="Times New Roman" w:hAnsi="Arial Narrow" w:cs="Times New Roman"/>
                <w:b/>
                <w:bCs/>
                <w:color w:val="000000"/>
                <w:spacing w:val="0"/>
                <w:sz w:val="20"/>
                <w:szCs w:val="20"/>
                <w:lang w:val="es-EC" w:eastAsia="es-EC"/>
                <w14:numForm w14:val="default"/>
              </w:rPr>
            </w:pPr>
            <w:r w:rsidRPr="00705F6F">
              <w:rPr>
                <w:rFonts w:ascii="Arial Narrow" w:eastAsia="Times New Roman" w:hAnsi="Arial Narrow" w:cs="Times New Roman"/>
                <w:b/>
                <w:bCs/>
                <w:color w:val="000000"/>
                <w:spacing w:val="0"/>
                <w:sz w:val="20"/>
                <w:szCs w:val="20"/>
                <w:lang w:val="es-EC" w:eastAsia="es-EC"/>
                <w14:numForm w14:val="default"/>
              </w:rPr>
              <w:t xml:space="preserve">Satisfacción </w:t>
            </w:r>
          </w:p>
        </w:tc>
        <w:tc>
          <w:tcPr>
            <w:tcW w:w="827" w:type="dxa"/>
            <w:gridSpan w:val="4"/>
            <w:vAlign w:val="center"/>
            <w:hideMark/>
          </w:tcPr>
          <w:p w14:paraId="420A9415"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8544364"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63581B6A" w14:textId="138DA2C6"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lastRenderedPageBreak/>
              <w:t>En términos generales, se encuentr</w:t>
            </w:r>
            <w:r w:rsidR="000D3BB8">
              <w:rPr>
                <w:rFonts w:ascii="Arial Narrow" w:eastAsia="Times New Roman" w:hAnsi="Arial Narrow" w:cs="Times New Roman"/>
                <w:color w:val="000000"/>
                <w:spacing w:val="0"/>
                <w:sz w:val="20"/>
                <w:szCs w:val="20"/>
                <w:lang w:val="es-EC" w:eastAsia="es-EC"/>
                <w14:numForm w14:val="default"/>
              </w:rPr>
              <w:t>a</w:t>
            </w:r>
            <w:r w:rsidRPr="00705F6F">
              <w:rPr>
                <w:rFonts w:ascii="Arial Narrow" w:eastAsia="Times New Roman" w:hAnsi="Arial Narrow" w:cs="Times New Roman"/>
                <w:color w:val="000000"/>
                <w:spacing w:val="0"/>
                <w:sz w:val="20"/>
                <w:szCs w:val="20"/>
                <w:lang w:val="es-EC" w:eastAsia="es-EC"/>
                <w14:numForm w14:val="default"/>
              </w:rPr>
              <w:t xml:space="preserve"> conforme con la calidad del servicio que recibo en esta unidad.</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462093AA"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0.785</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6ACDB8A5"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0.884</w:t>
            </w:r>
          </w:p>
        </w:tc>
        <w:tc>
          <w:tcPr>
            <w:tcW w:w="1843" w:type="dxa"/>
            <w:vMerge w:val="restart"/>
            <w:tcBorders>
              <w:top w:val="nil"/>
              <w:left w:val="single" w:sz="4" w:space="0" w:color="auto"/>
              <w:bottom w:val="single" w:sz="4" w:space="0" w:color="auto"/>
              <w:right w:val="single" w:sz="4" w:space="0" w:color="auto"/>
            </w:tcBorders>
            <w:noWrap/>
            <w:vAlign w:val="bottom"/>
            <w:hideMark/>
          </w:tcPr>
          <w:p w14:paraId="7131949D"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 </w:t>
            </w:r>
          </w:p>
        </w:tc>
        <w:tc>
          <w:tcPr>
            <w:tcW w:w="727" w:type="dxa"/>
            <w:gridSpan w:val="2"/>
            <w:vAlign w:val="center"/>
            <w:hideMark/>
          </w:tcPr>
          <w:p w14:paraId="161F42D9"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5A72452D"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63AA34E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3BBAEF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22345D6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4DEEFA5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640622CF"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4FF2A372"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6CD4B15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36A4BA0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880E9B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34930F8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8C6DC00"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80BED3D" w14:textId="77777777" w:rsidTr="00626291">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2A75362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6DAAC1D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4ADC43BB"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F1F2DED"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6A31EADC"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00E75AF5"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1C99058B"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Considera que las intervenciones y el tratamiento que le aplican han resultado exitosos.</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35766ACE"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0.710</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1AEC3B5A"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0.815</w:t>
            </w:r>
          </w:p>
        </w:tc>
        <w:tc>
          <w:tcPr>
            <w:tcW w:w="1843" w:type="dxa"/>
            <w:vMerge/>
            <w:tcBorders>
              <w:top w:val="nil"/>
              <w:left w:val="single" w:sz="4" w:space="0" w:color="auto"/>
              <w:bottom w:val="single" w:sz="4" w:space="0" w:color="auto"/>
              <w:right w:val="single" w:sz="4" w:space="0" w:color="auto"/>
            </w:tcBorders>
            <w:vAlign w:val="center"/>
            <w:hideMark/>
          </w:tcPr>
          <w:p w14:paraId="73ADAF5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692D10B8"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42459C85"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46992300"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7BE0811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EC5C06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3372EFE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5B6B666F"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2F8D8C31"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03927F40"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2628611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7620801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7DF1E64"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259DBDF8"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EEA1817" w14:textId="77777777" w:rsidTr="00626291">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6447F702"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37DC054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0EC46BA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0630292"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11665C28"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1CB44A51"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15AAEE9E"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La experiencia general de atención dentro del centro ha superado sus expectativas previas.</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5990E915"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0.748</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274AA19F"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0.839</w:t>
            </w:r>
          </w:p>
        </w:tc>
        <w:tc>
          <w:tcPr>
            <w:tcW w:w="1843" w:type="dxa"/>
            <w:vMerge/>
            <w:tcBorders>
              <w:top w:val="nil"/>
              <w:left w:val="single" w:sz="4" w:space="0" w:color="auto"/>
              <w:bottom w:val="single" w:sz="4" w:space="0" w:color="auto"/>
              <w:right w:val="single" w:sz="4" w:space="0" w:color="auto"/>
            </w:tcBorders>
            <w:vAlign w:val="center"/>
            <w:hideMark/>
          </w:tcPr>
          <w:p w14:paraId="7527262D"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79F08F3F"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180F628"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4B93C497"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7EE9B369"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6694CC3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756A2FD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5B951BA"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p>
        </w:tc>
      </w:tr>
      <w:tr w:rsidR="00011270" w:rsidRPr="00705F6F" w14:paraId="710194E6"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3B702F1A"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59CBD8B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7C46411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2E3B1FC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2D3F508A"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31204099" w14:textId="77777777" w:rsidTr="00626291">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64BA226E"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53C7BEE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30F4C306"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38EA7BB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169A1B9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0A63829" w14:textId="77777777" w:rsidTr="00B333A2">
        <w:trPr>
          <w:gridAfter w:val="2"/>
          <w:wAfter w:w="100" w:type="dxa"/>
          <w:trHeight w:val="288"/>
        </w:trPr>
        <w:tc>
          <w:tcPr>
            <w:tcW w:w="2122" w:type="dxa"/>
            <w:vMerge w:val="restart"/>
            <w:tcBorders>
              <w:top w:val="nil"/>
              <w:left w:val="single" w:sz="4" w:space="0" w:color="auto"/>
              <w:bottom w:val="single" w:sz="4" w:space="0" w:color="auto"/>
              <w:right w:val="single" w:sz="4" w:space="0" w:color="auto"/>
            </w:tcBorders>
            <w:vAlign w:val="bottom"/>
            <w:hideMark/>
          </w:tcPr>
          <w:p w14:paraId="3D5B0CE4" w14:textId="77777777" w:rsidR="00011270" w:rsidRPr="00705F6F" w:rsidRDefault="00011270" w:rsidP="00626291">
            <w:pPr>
              <w:spacing w:before="0" w:after="0" w:line="240" w:lineRule="auto"/>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Usted elegiría nuevamente este servicio clínico y lo recomendaría a otras personas por su agrado con él.</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690A6277" w14:textId="77777777" w:rsidR="00011270" w:rsidRPr="00705F6F" w:rsidRDefault="00011270" w:rsidP="00011270">
            <w:pPr>
              <w:spacing w:before="0" w:after="0" w:line="240" w:lineRule="auto"/>
              <w:jc w:val="center"/>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0.755</w:t>
            </w:r>
          </w:p>
        </w:tc>
        <w:tc>
          <w:tcPr>
            <w:tcW w:w="1418" w:type="dxa"/>
            <w:vMerge w:val="restart"/>
            <w:tcBorders>
              <w:top w:val="nil"/>
              <w:left w:val="single" w:sz="4" w:space="0" w:color="auto"/>
              <w:bottom w:val="single" w:sz="4" w:space="0" w:color="auto"/>
              <w:right w:val="single" w:sz="4" w:space="0" w:color="auto"/>
            </w:tcBorders>
            <w:noWrap/>
            <w:vAlign w:val="bottom"/>
            <w:hideMark/>
          </w:tcPr>
          <w:p w14:paraId="4E704EB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0.842</w:t>
            </w:r>
          </w:p>
        </w:tc>
        <w:tc>
          <w:tcPr>
            <w:tcW w:w="1843" w:type="dxa"/>
            <w:vMerge/>
            <w:tcBorders>
              <w:top w:val="nil"/>
              <w:left w:val="single" w:sz="4" w:space="0" w:color="auto"/>
              <w:bottom w:val="single" w:sz="4" w:space="0" w:color="auto"/>
              <w:right w:val="single" w:sz="4" w:space="0" w:color="auto"/>
            </w:tcBorders>
            <w:vAlign w:val="center"/>
            <w:hideMark/>
          </w:tcPr>
          <w:p w14:paraId="45879F8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vAlign w:val="center"/>
            <w:hideMark/>
          </w:tcPr>
          <w:p w14:paraId="7EFF3BCE"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365DD06"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23C54D2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632D4C8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5BDD807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5B96B35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3F6A12F3"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r>
      <w:tr w:rsidR="00011270" w:rsidRPr="00705F6F" w14:paraId="42F3E7EA" w14:textId="77777777" w:rsidTr="00B333A2">
        <w:trPr>
          <w:gridAfter w:val="2"/>
          <w:wAfter w:w="100" w:type="dxa"/>
          <w:trHeight w:val="288"/>
        </w:trPr>
        <w:tc>
          <w:tcPr>
            <w:tcW w:w="2122" w:type="dxa"/>
            <w:vMerge/>
            <w:tcBorders>
              <w:top w:val="nil"/>
              <w:left w:val="single" w:sz="4" w:space="0" w:color="auto"/>
              <w:bottom w:val="single" w:sz="4" w:space="0" w:color="auto"/>
              <w:right w:val="single" w:sz="4" w:space="0" w:color="auto"/>
            </w:tcBorders>
            <w:vAlign w:val="center"/>
            <w:hideMark/>
          </w:tcPr>
          <w:p w14:paraId="55DD2CD5"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210DD8AC"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2B3E0A8A"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062711A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23DBD129"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8B785BB" w14:textId="77777777" w:rsidTr="00626291">
        <w:trPr>
          <w:gridAfter w:val="2"/>
          <w:wAfter w:w="100" w:type="dxa"/>
          <w:trHeight w:val="47"/>
        </w:trPr>
        <w:tc>
          <w:tcPr>
            <w:tcW w:w="2122" w:type="dxa"/>
            <w:vMerge/>
            <w:tcBorders>
              <w:top w:val="nil"/>
              <w:left w:val="single" w:sz="4" w:space="0" w:color="auto"/>
              <w:bottom w:val="single" w:sz="4" w:space="0" w:color="auto"/>
              <w:right w:val="single" w:sz="4" w:space="0" w:color="auto"/>
            </w:tcBorders>
            <w:vAlign w:val="center"/>
            <w:hideMark/>
          </w:tcPr>
          <w:p w14:paraId="2214C391"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275" w:type="dxa"/>
            <w:vMerge/>
            <w:tcBorders>
              <w:top w:val="nil"/>
              <w:left w:val="single" w:sz="4" w:space="0" w:color="auto"/>
              <w:bottom w:val="single" w:sz="4" w:space="0" w:color="auto"/>
              <w:right w:val="single" w:sz="4" w:space="0" w:color="auto"/>
            </w:tcBorders>
            <w:vAlign w:val="center"/>
            <w:hideMark/>
          </w:tcPr>
          <w:p w14:paraId="119F571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418" w:type="dxa"/>
            <w:vMerge/>
            <w:tcBorders>
              <w:top w:val="nil"/>
              <w:left w:val="single" w:sz="4" w:space="0" w:color="auto"/>
              <w:bottom w:val="single" w:sz="4" w:space="0" w:color="auto"/>
              <w:right w:val="single" w:sz="4" w:space="0" w:color="auto"/>
            </w:tcBorders>
            <w:vAlign w:val="center"/>
            <w:hideMark/>
          </w:tcPr>
          <w:p w14:paraId="28DBBBEF"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1843" w:type="dxa"/>
            <w:vMerge/>
            <w:tcBorders>
              <w:top w:val="nil"/>
              <w:left w:val="single" w:sz="4" w:space="0" w:color="auto"/>
              <w:bottom w:val="single" w:sz="4" w:space="0" w:color="auto"/>
              <w:right w:val="single" w:sz="4" w:space="0" w:color="auto"/>
            </w:tcBorders>
            <w:vAlign w:val="center"/>
            <w:hideMark/>
          </w:tcPr>
          <w:p w14:paraId="10C57F5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p>
        </w:tc>
        <w:tc>
          <w:tcPr>
            <w:tcW w:w="727" w:type="dxa"/>
            <w:gridSpan w:val="2"/>
            <w:tcBorders>
              <w:top w:val="nil"/>
              <w:left w:val="nil"/>
              <w:bottom w:val="nil"/>
              <w:right w:val="nil"/>
            </w:tcBorders>
            <w:noWrap/>
            <w:vAlign w:val="bottom"/>
            <w:hideMark/>
          </w:tcPr>
          <w:p w14:paraId="03B3EDD4"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67D7B3A1"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239214C0"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KMO</w:t>
            </w:r>
          </w:p>
        </w:tc>
        <w:tc>
          <w:tcPr>
            <w:tcW w:w="4536" w:type="dxa"/>
            <w:gridSpan w:val="3"/>
            <w:tcBorders>
              <w:top w:val="single" w:sz="4" w:space="0" w:color="auto"/>
              <w:left w:val="nil"/>
              <w:bottom w:val="single" w:sz="4" w:space="0" w:color="auto"/>
              <w:right w:val="single" w:sz="4" w:space="0" w:color="auto"/>
            </w:tcBorders>
            <w:vAlign w:val="bottom"/>
            <w:hideMark/>
          </w:tcPr>
          <w:p w14:paraId="3632DDF8"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0.805</w:t>
            </w:r>
          </w:p>
        </w:tc>
        <w:tc>
          <w:tcPr>
            <w:tcW w:w="812" w:type="dxa"/>
            <w:gridSpan w:val="3"/>
            <w:vAlign w:val="center"/>
            <w:hideMark/>
          </w:tcPr>
          <w:p w14:paraId="587A533A"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5214A668"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59132657"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Prueba de Bartlett</w:t>
            </w:r>
          </w:p>
        </w:tc>
        <w:tc>
          <w:tcPr>
            <w:tcW w:w="4536" w:type="dxa"/>
            <w:gridSpan w:val="3"/>
            <w:tcBorders>
              <w:top w:val="single" w:sz="4" w:space="0" w:color="auto"/>
              <w:left w:val="nil"/>
              <w:bottom w:val="single" w:sz="4" w:space="0" w:color="auto"/>
              <w:right w:val="single" w:sz="4" w:space="0" w:color="auto"/>
            </w:tcBorders>
            <w:vAlign w:val="bottom"/>
            <w:hideMark/>
          </w:tcPr>
          <w:p w14:paraId="4EB2C54D"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p&lt; 0.001</w:t>
            </w:r>
          </w:p>
        </w:tc>
        <w:tc>
          <w:tcPr>
            <w:tcW w:w="812" w:type="dxa"/>
            <w:gridSpan w:val="3"/>
            <w:vAlign w:val="center"/>
            <w:hideMark/>
          </w:tcPr>
          <w:p w14:paraId="3B47F1D1"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7C27E54E"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7D40C88E"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Varianza aplicada</w:t>
            </w:r>
          </w:p>
        </w:tc>
        <w:tc>
          <w:tcPr>
            <w:tcW w:w="4536" w:type="dxa"/>
            <w:gridSpan w:val="3"/>
            <w:tcBorders>
              <w:top w:val="single" w:sz="4" w:space="0" w:color="auto"/>
              <w:left w:val="nil"/>
              <w:bottom w:val="single" w:sz="4" w:space="0" w:color="auto"/>
              <w:right w:val="single" w:sz="4" w:space="0" w:color="auto"/>
            </w:tcBorders>
            <w:vAlign w:val="bottom"/>
            <w:hideMark/>
          </w:tcPr>
          <w:p w14:paraId="395AFB8D"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74.920%</w:t>
            </w:r>
          </w:p>
        </w:tc>
        <w:tc>
          <w:tcPr>
            <w:tcW w:w="812" w:type="dxa"/>
            <w:gridSpan w:val="3"/>
            <w:vAlign w:val="center"/>
            <w:hideMark/>
          </w:tcPr>
          <w:p w14:paraId="727135BF"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r w:rsidR="00011270" w:rsidRPr="00705F6F" w14:paraId="25137585" w14:textId="77777777" w:rsidTr="00B333A2">
        <w:trPr>
          <w:gridAfter w:val="1"/>
          <w:wAfter w:w="15" w:type="dxa"/>
          <w:trHeight w:val="288"/>
        </w:trPr>
        <w:tc>
          <w:tcPr>
            <w:tcW w:w="2122" w:type="dxa"/>
            <w:tcBorders>
              <w:top w:val="nil"/>
              <w:left w:val="single" w:sz="4" w:space="0" w:color="auto"/>
              <w:bottom w:val="single" w:sz="4" w:space="0" w:color="auto"/>
              <w:right w:val="single" w:sz="4" w:space="0" w:color="auto"/>
            </w:tcBorders>
            <w:noWrap/>
            <w:vAlign w:val="bottom"/>
            <w:hideMark/>
          </w:tcPr>
          <w:p w14:paraId="2194EA88" w14:textId="77777777" w:rsidR="00011270" w:rsidRPr="00705F6F" w:rsidRDefault="00011270" w:rsidP="00011270">
            <w:pPr>
              <w:spacing w:before="0" w:after="0" w:line="240" w:lineRule="auto"/>
              <w:jc w:val="lef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Alpha de Cronbach</w:t>
            </w:r>
          </w:p>
        </w:tc>
        <w:tc>
          <w:tcPr>
            <w:tcW w:w="4536" w:type="dxa"/>
            <w:gridSpan w:val="3"/>
            <w:tcBorders>
              <w:top w:val="single" w:sz="4" w:space="0" w:color="auto"/>
              <w:left w:val="nil"/>
              <w:bottom w:val="single" w:sz="4" w:space="0" w:color="auto"/>
              <w:right w:val="single" w:sz="4" w:space="0" w:color="auto"/>
            </w:tcBorders>
            <w:noWrap/>
            <w:vAlign w:val="bottom"/>
            <w:hideMark/>
          </w:tcPr>
          <w:p w14:paraId="68F62D5C" w14:textId="77777777" w:rsidR="00011270" w:rsidRPr="00705F6F" w:rsidRDefault="00011270" w:rsidP="00011270">
            <w:pPr>
              <w:spacing w:before="0" w:after="0" w:line="240" w:lineRule="auto"/>
              <w:jc w:val="right"/>
              <w:rPr>
                <w:rFonts w:ascii="Arial Narrow" w:eastAsia="Times New Roman" w:hAnsi="Arial Narrow" w:cs="Times New Roman"/>
                <w:color w:val="000000"/>
                <w:spacing w:val="0"/>
                <w:sz w:val="20"/>
                <w:szCs w:val="20"/>
                <w:lang w:val="es-EC" w:eastAsia="es-EC"/>
                <w14:numForm w14:val="default"/>
              </w:rPr>
            </w:pPr>
            <w:r w:rsidRPr="00705F6F">
              <w:rPr>
                <w:rFonts w:ascii="Arial Narrow" w:eastAsia="Times New Roman" w:hAnsi="Arial Narrow" w:cs="Times New Roman"/>
                <w:color w:val="000000"/>
                <w:spacing w:val="0"/>
                <w:sz w:val="20"/>
                <w:szCs w:val="20"/>
                <w:lang w:val="es-EC" w:eastAsia="es-EC"/>
                <w14:numForm w14:val="default"/>
              </w:rPr>
              <w:t>0.892</w:t>
            </w:r>
          </w:p>
        </w:tc>
        <w:tc>
          <w:tcPr>
            <w:tcW w:w="812" w:type="dxa"/>
            <w:gridSpan w:val="3"/>
            <w:vAlign w:val="center"/>
            <w:hideMark/>
          </w:tcPr>
          <w:p w14:paraId="473706FA" w14:textId="77777777" w:rsidR="00011270" w:rsidRPr="00705F6F" w:rsidRDefault="00011270" w:rsidP="00011270">
            <w:pPr>
              <w:spacing w:before="0" w:after="0" w:line="240" w:lineRule="auto"/>
              <w:jc w:val="left"/>
              <w:rPr>
                <w:rFonts w:ascii="Arial Narrow" w:eastAsia="Times New Roman" w:hAnsi="Arial Narrow" w:cs="Times New Roman"/>
                <w:spacing w:val="0"/>
                <w:sz w:val="20"/>
                <w:szCs w:val="20"/>
                <w:lang w:val="es-EC" w:eastAsia="es-EC"/>
                <w14:numForm w14:val="default"/>
              </w:rPr>
            </w:pPr>
          </w:p>
        </w:tc>
      </w:tr>
    </w:tbl>
    <w:p w14:paraId="3655FE9A" w14:textId="77777777" w:rsidR="00681E52" w:rsidRPr="00E457AC" w:rsidRDefault="00681E52" w:rsidP="00681E52">
      <w:pPr>
        <w:rPr>
          <w:rFonts w:cs="Times New Roman"/>
          <w:sz w:val="22"/>
        </w:rPr>
      </w:pPr>
      <w:r w:rsidRPr="00E457AC">
        <w:rPr>
          <w:rFonts w:cs="Times New Roman"/>
          <w:b/>
          <w:bCs/>
          <w:sz w:val="22"/>
        </w:rPr>
        <w:t>Fuente:</w:t>
      </w:r>
      <w:r w:rsidRPr="00E457AC">
        <w:rPr>
          <w:rFonts w:cs="Times New Roman"/>
          <w:sz w:val="22"/>
        </w:rPr>
        <w:t xml:space="preserve"> Elaboración propia.</w:t>
      </w:r>
    </w:p>
    <w:p w14:paraId="1170BCAE" w14:textId="77777777" w:rsidR="002A7701" w:rsidRPr="00E457AC" w:rsidRDefault="002A7701" w:rsidP="002A7701">
      <w:pPr>
        <w:rPr>
          <w:rFonts w:cs="Times New Roman"/>
          <w:sz w:val="22"/>
        </w:rPr>
      </w:pPr>
      <w:r w:rsidRPr="00E457AC">
        <w:rPr>
          <w:rFonts w:cs="Times New Roman"/>
          <w:sz w:val="22"/>
        </w:rPr>
        <w:t xml:space="preserve">Para el análisis de la relación entre las variables, se decidió emplear una regresión lineal múltiple como se demuestra en la Tabla 3. El Modelo 1 incorpora las cinco variables independientes contempladas en la metodología SERVQUAL como lo son tangibilidad, fiabilidad, capacidad de respuesta, seguridad y empatía frente a la variable dependiente de satisfacción del paciente (Y). Por otro lado, el Modelo 2 optimiza el sistema lineal al excluir la variable de capacidad de respuesta, debido a que no logró una significancia de t estadísticamente válida a nivel individual p= 0.327 </w:t>
      </w:r>
      <w:r w:rsidRPr="00E457AC">
        <w:rPr>
          <w:rFonts w:cs="Times New Roman"/>
          <w:sz w:val="22"/>
        </w:rPr>
        <w:softHyphen/>
        <w:t>&gt; 0.05.</w:t>
      </w:r>
    </w:p>
    <w:p w14:paraId="2D0325CB" w14:textId="3160FD49" w:rsidR="002A7701" w:rsidRPr="00E457AC" w:rsidRDefault="002A7701" w:rsidP="002A7701">
      <w:pPr>
        <w:rPr>
          <w:rFonts w:eastAsiaTheme="minorEastAsia" w:cs="Times New Roman"/>
          <w:sz w:val="22"/>
        </w:rPr>
      </w:pPr>
      <w:r w:rsidRPr="00E457AC">
        <w:rPr>
          <w:rFonts w:cs="Times New Roman"/>
          <w:sz w:val="22"/>
        </w:rPr>
        <w:t>En ambos modelos se evidencia una alta validez a nivel estadístico y un ajuste lineal global altamente significativo, reportando un valor de F</w:t>
      </w:r>
      <w:r w:rsidR="00EA692B">
        <w:rPr>
          <w:rFonts w:cs="Times New Roman"/>
          <w:sz w:val="22"/>
        </w:rPr>
        <w:t xml:space="preserve"> </w:t>
      </w:r>
      <w:r w:rsidRPr="00E457AC">
        <w:rPr>
          <w:rFonts w:cs="Times New Roman"/>
          <w:sz w:val="22"/>
        </w:rPr>
        <w:t>= 78.45 y F</w:t>
      </w:r>
      <w:r w:rsidR="00EA692B">
        <w:rPr>
          <w:rFonts w:cs="Times New Roman"/>
          <w:sz w:val="22"/>
        </w:rPr>
        <w:t xml:space="preserve"> </w:t>
      </w:r>
      <w:r w:rsidRPr="00E457AC">
        <w:rPr>
          <w:rFonts w:cs="Times New Roman"/>
          <w:sz w:val="22"/>
        </w:rPr>
        <w:t>= 98.12 respectivamente (p &lt; 0.01). El coeficiente de determinación obtenido para ambas estructuras (</w:t>
      </w:r>
      <m:oMath>
        <m:sSup>
          <m:sSupPr>
            <m:ctrlPr>
              <w:rPr>
                <w:rFonts w:ascii="Cambria Math" w:hAnsi="Cambria Math" w:cs="Times New Roman"/>
                <w:sz w:val="22"/>
              </w:rPr>
            </m:ctrlPr>
          </m:sSupPr>
          <m:e>
            <m:r>
              <w:rPr>
                <w:rFonts w:ascii="Cambria Math" w:hAnsi="Cambria Math" w:cs="Times New Roman"/>
                <w:sz w:val="22"/>
              </w:rPr>
              <m:t>R</m:t>
            </m:r>
          </m:e>
          <m:sup>
            <m:r>
              <w:rPr>
                <w:rFonts w:ascii="Cambria Math" w:hAnsi="Cambria Math" w:cs="Times New Roman"/>
                <w:sz w:val="22"/>
              </w:rPr>
              <m:t>2</m:t>
            </m:r>
          </m:sup>
        </m:sSup>
      </m:oMath>
      <w:r w:rsidR="001341DF" w:rsidRPr="00E457AC">
        <w:rPr>
          <w:rFonts w:eastAsiaTheme="minorEastAsia" w:cs="Times New Roman"/>
          <w:sz w:val="22"/>
        </w:rPr>
        <w:t xml:space="preserve"> </w:t>
      </w:r>
      <w:r w:rsidRPr="00E457AC">
        <w:rPr>
          <w:rFonts w:eastAsiaTheme="minorEastAsia" w:cs="Times New Roman"/>
          <w:sz w:val="22"/>
        </w:rPr>
        <w:t xml:space="preserve">= 0.714) indica que las variables explicativas logran justificar el 71.4% de la variabilidad de la satisfacción manifestada por los usuarios de la unidad de hemodiálisis. En el mismo sentido, el análisis descarta de forma categórica problemas de multicolinealidad, ya que el factor de inflación de la varianza (VIF) se mantiene </w:t>
      </w:r>
      <w:r w:rsidRPr="00E457AC">
        <w:rPr>
          <w:rFonts w:eastAsiaTheme="minorEastAsia" w:cs="Times New Roman"/>
          <w:sz w:val="22"/>
        </w:rPr>
        <w:lastRenderedPageBreak/>
        <w:t xml:space="preserve">homogéneamente por debajo del </w:t>
      </w:r>
      <w:r w:rsidR="00E457AC" w:rsidRPr="00E457AC">
        <w:rPr>
          <w:rFonts w:eastAsiaTheme="minorEastAsia" w:cs="Times New Roman"/>
          <w:sz w:val="22"/>
        </w:rPr>
        <w:t>límite</w:t>
      </w:r>
      <w:r w:rsidRPr="00E457AC">
        <w:rPr>
          <w:rFonts w:eastAsiaTheme="minorEastAsia" w:cs="Times New Roman"/>
          <w:sz w:val="22"/>
        </w:rPr>
        <w:t xml:space="preserve"> critico de diez en todos los reactivos. A partir del Modelo 2, la ecuación de regresión </w:t>
      </w:r>
      <w:r w:rsidR="00E457AC" w:rsidRPr="00E457AC">
        <w:rPr>
          <w:rFonts w:eastAsiaTheme="minorEastAsia" w:cs="Times New Roman"/>
          <w:sz w:val="22"/>
        </w:rPr>
        <w:t>múltiple</w:t>
      </w:r>
      <w:r w:rsidRPr="00E457AC">
        <w:rPr>
          <w:rFonts w:eastAsiaTheme="minorEastAsia" w:cs="Times New Roman"/>
          <w:sz w:val="22"/>
        </w:rPr>
        <w:t xml:space="preserve"> en valores estandarizados para evaluar la satisfacción se expresa matemáticamente de la siguiente manera: </w:t>
      </w:r>
    </w:p>
    <w:p w14:paraId="6CCDBAA1" w14:textId="0D66554C" w:rsidR="002A7701" w:rsidRPr="00E457AC" w:rsidRDefault="002A7701" w:rsidP="002A7701">
      <w:pPr>
        <w:rPr>
          <w:rFonts w:cs="Times New Roman"/>
          <w:sz w:val="22"/>
        </w:rPr>
      </w:pPr>
      <w:r w:rsidRPr="00E457AC">
        <w:rPr>
          <w:rFonts w:cs="Times New Roman"/>
          <w:sz w:val="22"/>
        </w:rPr>
        <w:t>Y = 0.154 x1 + 0.3</w:t>
      </w:r>
      <w:r w:rsidR="00F63A3F">
        <w:rPr>
          <w:rFonts w:cs="Times New Roman"/>
          <w:sz w:val="22"/>
        </w:rPr>
        <w:t>20</w:t>
      </w:r>
      <w:r w:rsidRPr="00E457AC">
        <w:rPr>
          <w:rFonts w:cs="Times New Roman"/>
          <w:sz w:val="22"/>
        </w:rPr>
        <w:t>x2 – 0.189x3 + 0.615 x4 + ξ</w:t>
      </w:r>
    </w:p>
    <w:p w14:paraId="2B7DA32F" w14:textId="77777777" w:rsidR="002A7701" w:rsidRPr="00E457AC" w:rsidRDefault="002A7701" w:rsidP="002A7701">
      <w:pPr>
        <w:rPr>
          <w:rFonts w:cs="Times New Roman"/>
          <w:sz w:val="22"/>
        </w:rPr>
      </w:pPr>
      <w:r w:rsidRPr="00E457AC">
        <w:rPr>
          <w:rFonts w:cs="Times New Roman"/>
          <w:sz w:val="22"/>
        </w:rPr>
        <w:t>Donde x1 representa la tangibilidad, x2 la fiabilidad, x3 la seguridad y x4 la empatía.</w:t>
      </w:r>
    </w:p>
    <w:p w14:paraId="0DE9FCBF" w14:textId="0F2282CE" w:rsidR="002A7701" w:rsidRPr="00E457AC" w:rsidRDefault="002A7701" w:rsidP="002A7701">
      <w:pPr>
        <w:rPr>
          <w:rFonts w:cs="Times New Roman"/>
          <w:sz w:val="22"/>
          <w:lang w:val="es-EC"/>
        </w:rPr>
      </w:pPr>
      <w:r w:rsidRPr="00E457AC">
        <w:rPr>
          <w:rFonts w:cs="Times New Roman"/>
          <w:sz w:val="22"/>
        </w:rPr>
        <w:t>En el ámbito clínico y asistencial, los coeficientes estandarizados fundamentan de manera matemática el comportamiento empírico observado. El 83</w:t>
      </w:r>
      <w:r w:rsidR="00011CF1" w:rsidRPr="00E457AC">
        <w:rPr>
          <w:rFonts w:cs="Times New Roman"/>
          <w:sz w:val="22"/>
        </w:rPr>
        <w:t>%</w:t>
      </w:r>
      <w:r w:rsidRPr="00E457AC">
        <w:rPr>
          <w:rFonts w:cs="Times New Roman"/>
          <w:sz w:val="22"/>
        </w:rPr>
        <w:t xml:space="preserve"> de los pacientes renales crónico</w:t>
      </w:r>
      <w:r w:rsidR="00137732">
        <w:rPr>
          <w:rFonts w:cs="Times New Roman"/>
          <w:sz w:val="22"/>
        </w:rPr>
        <w:t>s</w:t>
      </w:r>
      <w:r w:rsidRPr="00E457AC">
        <w:rPr>
          <w:rFonts w:cs="Times New Roman"/>
          <w:sz w:val="22"/>
        </w:rPr>
        <w:t xml:space="preserve"> en tratamiento de sustitución renal bajo modalidad de hemodiálisis trisemanal percibieron la calidad de atención como buena, un fenómeno sustentado por el fuerte impacto positivo de las dimensiones de empatía β</w:t>
      </w:r>
      <w:r w:rsidRPr="00E457AC">
        <w:rPr>
          <w:rFonts w:cs="Times New Roman"/>
          <w:sz w:val="22"/>
          <w:lang w:val="es-EC"/>
        </w:rPr>
        <w:t xml:space="preserve">= 0.615, significancia de t = 0.000 y fiabilidad </w:t>
      </w:r>
      <w:r w:rsidRPr="00E457AC">
        <w:rPr>
          <w:rFonts w:cs="Times New Roman"/>
          <w:sz w:val="22"/>
        </w:rPr>
        <w:t xml:space="preserve">β= 0.320, significancia de </w:t>
      </w:r>
      <w:r w:rsidRPr="00E457AC">
        <w:rPr>
          <w:rFonts w:cs="Times New Roman"/>
          <w:sz w:val="22"/>
          <w:lang w:val="es-EC"/>
        </w:rPr>
        <w:t>t = 0.001, confirmando que el usuario otorga un valor primordial a la competencia técnica de enfermería en la sala y a la calidez el cuidado humanizado durante la conexión y desconexión de su tratamiento.</w:t>
      </w:r>
    </w:p>
    <w:p w14:paraId="6491E77A" w14:textId="1FA1B8EF" w:rsidR="002A7701" w:rsidRPr="00E457AC" w:rsidRDefault="002A7701" w:rsidP="002A7701">
      <w:pPr>
        <w:rPr>
          <w:rFonts w:cs="Times New Roman"/>
          <w:sz w:val="22"/>
        </w:rPr>
      </w:pPr>
      <w:r w:rsidRPr="00E457AC">
        <w:rPr>
          <w:rFonts w:cs="Times New Roman"/>
          <w:sz w:val="22"/>
          <w:lang w:val="es-EC"/>
        </w:rPr>
        <w:t xml:space="preserve">Por otra parte, la lectura comparativa de los </w:t>
      </w:r>
      <w:r w:rsidR="00E457AC" w:rsidRPr="00E457AC">
        <w:rPr>
          <w:rFonts w:cs="Times New Roman"/>
          <w:sz w:val="22"/>
          <w:lang w:val="es-EC"/>
        </w:rPr>
        <w:t>modelos</w:t>
      </w:r>
      <w:r w:rsidRPr="00E457AC">
        <w:rPr>
          <w:rFonts w:cs="Times New Roman"/>
          <w:sz w:val="22"/>
          <w:lang w:val="es-EC"/>
        </w:rPr>
        <w:t xml:space="preserve"> permite aislar los nudos críticos asociados al 17% de la muestra que señaló una percepción regular. La variable seguridad </w:t>
      </w:r>
      <w:r w:rsidRPr="00E457AC">
        <w:rPr>
          <w:rFonts w:cs="Times New Roman"/>
          <w:sz w:val="22"/>
        </w:rPr>
        <w:t xml:space="preserve">x3 exhibe un coeficiente estandarizado con signo negativo β= -0.189, significancia de t= 0.023. Este comportamiento matemático inverso demuestra </w:t>
      </w:r>
      <w:r w:rsidR="00E457AC" w:rsidRPr="00E457AC">
        <w:rPr>
          <w:rFonts w:cs="Times New Roman"/>
          <w:sz w:val="22"/>
        </w:rPr>
        <w:t>que,</w:t>
      </w:r>
      <w:r w:rsidRPr="00E457AC">
        <w:rPr>
          <w:rFonts w:cs="Times New Roman"/>
          <w:sz w:val="22"/>
        </w:rPr>
        <w:t xml:space="preserve"> ante la evidencia de brechas formativas en la educación sobre el autocuidado de los accesos vasculares y nutrición, la satisfacción decrece de forma severa en el usuario.</w:t>
      </w:r>
    </w:p>
    <w:p w14:paraId="4C6A2716" w14:textId="119985F3" w:rsidR="002A7701" w:rsidRPr="00E457AC" w:rsidRDefault="002A7701" w:rsidP="002A7701">
      <w:pPr>
        <w:rPr>
          <w:rFonts w:cs="Times New Roman"/>
          <w:sz w:val="22"/>
        </w:rPr>
      </w:pPr>
      <w:r w:rsidRPr="00E457AC">
        <w:rPr>
          <w:rFonts w:cs="Times New Roman"/>
          <w:sz w:val="22"/>
        </w:rPr>
        <w:t>En el Modelo 1 se evidencia que la dimensión de capacidad de respuesta reporta el peso predictivo más bajo β=0.082 y carece de significancia.</w:t>
      </w:r>
      <w:r w:rsidRPr="00E457AC">
        <w:rPr>
          <w:rFonts w:cs="Times New Roman"/>
          <w:b/>
          <w:bCs/>
          <w:sz w:val="22"/>
        </w:rPr>
        <w:t xml:space="preserve"> </w:t>
      </w:r>
      <w:r w:rsidRPr="00E457AC">
        <w:rPr>
          <w:rFonts w:cs="Times New Roman"/>
          <w:sz w:val="22"/>
        </w:rPr>
        <w:t>Desde la perspectiva del usuario este indicador se traduce en que las deficiencias logísticas y el tiempo de espera entre los turnos de conexión y desconexión se convierten en factores de insatisfacción latente, lo que justifica metodológicamente su exclusión en el modelo ajustado. Tomando en consideración los resultados presentados se concluye en que la satisfacción de los usuarios no depende de manera única del soporte instrumenta</w:t>
      </w:r>
      <w:r w:rsidR="008F69A9" w:rsidRPr="00E457AC">
        <w:rPr>
          <w:rFonts w:cs="Times New Roman"/>
          <w:sz w:val="22"/>
        </w:rPr>
        <w:t>l</w:t>
      </w:r>
      <w:r w:rsidRPr="00E457AC">
        <w:rPr>
          <w:rFonts w:cs="Times New Roman"/>
          <w:sz w:val="22"/>
        </w:rPr>
        <w:t>, evidenciado la necesidad de implementar planes de mejoras dirigidos a la optimización de tiempo</w:t>
      </w:r>
      <w:r w:rsidR="008F69A9" w:rsidRPr="00E457AC">
        <w:rPr>
          <w:rFonts w:cs="Times New Roman"/>
          <w:sz w:val="22"/>
        </w:rPr>
        <w:t xml:space="preserve"> y el confort físico de la unidad. Se consolida que la </w:t>
      </w:r>
      <w:r w:rsidR="008F69A9" w:rsidRPr="00E457AC">
        <w:rPr>
          <w:rFonts w:cs="Times New Roman"/>
          <w:sz w:val="22"/>
        </w:rPr>
        <w:lastRenderedPageBreak/>
        <w:t>ciencia de la enfermería debe integrar de forma segura la eficiencia tecnológica con la calidez humana, integrando la información de los monitores con la educación continua a los pacientes, que son pilares fundamentales para alcanzar la excelencia en el cuidado y en la preservación del paciente renal crónico.</w:t>
      </w:r>
    </w:p>
    <w:p w14:paraId="081DBE28" w14:textId="6AE9BD12" w:rsidR="008F69A9" w:rsidRPr="00E457AC" w:rsidRDefault="008F69A9" w:rsidP="002A7701">
      <w:pPr>
        <w:rPr>
          <w:rFonts w:cs="Times New Roman"/>
          <w:sz w:val="22"/>
          <w:lang w:val="es-EC"/>
        </w:rPr>
      </w:pPr>
      <w:r w:rsidRPr="00E457AC">
        <w:rPr>
          <w:rFonts w:cs="Times New Roman"/>
          <w:b/>
          <w:bCs/>
          <w:sz w:val="22"/>
          <w:lang w:val="es-EC"/>
        </w:rPr>
        <w:t>Tabla 3.</w:t>
      </w:r>
      <w:r w:rsidRPr="00E457AC">
        <w:rPr>
          <w:rFonts w:cs="Times New Roman"/>
          <w:sz w:val="22"/>
          <w:lang w:val="es-EC"/>
        </w:rPr>
        <w:t xml:space="preserve"> Resultados de la regresión múltiple para la variable dependiente satisfacción del paciente.</w:t>
      </w:r>
    </w:p>
    <w:tbl>
      <w:tblPr>
        <w:tblW w:w="6936" w:type="dxa"/>
        <w:tblCellMar>
          <w:left w:w="70" w:type="dxa"/>
          <w:right w:w="70" w:type="dxa"/>
        </w:tblCellMar>
        <w:tblLook w:val="04A0" w:firstRow="1" w:lastRow="0" w:firstColumn="1" w:lastColumn="0" w:noHBand="0" w:noVBand="1"/>
      </w:tblPr>
      <w:tblGrid>
        <w:gridCol w:w="1469"/>
        <w:gridCol w:w="1637"/>
        <w:gridCol w:w="958"/>
        <w:gridCol w:w="1171"/>
        <w:gridCol w:w="567"/>
        <w:gridCol w:w="567"/>
        <w:gridCol w:w="567"/>
      </w:tblGrid>
      <w:tr w:rsidR="008F69A9" w:rsidRPr="00705F6F" w14:paraId="24847F33" w14:textId="77777777" w:rsidTr="00705F6F">
        <w:trPr>
          <w:trHeight w:val="732"/>
        </w:trPr>
        <w:tc>
          <w:tcPr>
            <w:tcW w:w="1469" w:type="dxa"/>
            <w:tcBorders>
              <w:top w:val="single" w:sz="8" w:space="0" w:color="000000"/>
              <w:left w:val="single" w:sz="8" w:space="0" w:color="000000"/>
              <w:bottom w:val="single" w:sz="8" w:space="0" w:color="000000"/>
              <w:right w:val="single" w:sz="8" w:space="0" w:color="000000"/>
            </w:tcBorders>
            <w:vAlign w:val="center"/>
            <w:hideMark/>
          </w:tcPr>
          <w:p w14:paraId="41118814" w14:textId="77777777" w:rsidR="008F69A9" w:rsidRPr="00705F6F" w:rsidRDefault="008F69A9" w:rsidP="008F69A9">
            <w:pPr>
              <w:spacing w:before="0" w:after="0" w:line="240" w:lineRule="auto"/>
              <w:jc w:val="left"/>
              <w:rPr>
                <w:rFonts w:ascii="Arial Narrow" w:eastAsia="Times New Roman" w:hAnsi="Arial Narrow" w:cs="Arial"/>
                <w:b/>
                <w:bCs/>
                <w:color w:val="1F1F1F"/>
                <w:spacing w:val="0"/>
                <w:sz w:val="18"/>
                <w:szCs w:val="18"/>
                <w:lang w:val="es-EC" w:eastAsia="es-EC"/>
                <w14:numForm w14:val="default"/>
              </w:rPr>
            </w:pPr>
            <w:r w:rsidRPr="00705F6F">
              <w:rPr>
                <w:rFonts w:ascii="Arial Narrow" w:eastAsia="Times New Roman" w:hAnsi="Arial Narrow" w:cs="Arial"/>
                <w:b/>
                <w:bCs/>
                <w:color w:val="1F1F1F"/>
                <w:spacing w:val="0"/>
                <w:sz w:val="18"/>
                <w:szCs w:val="18"/>
                <w:lang w:val="es-EC" w:eastAsia="es-EC"/>
                <w14:numForm w14:val="default"/>
              </w:rPr>
              <w:t>Variables independientes</w:t>
            </w:r>
          </w:p>
        </w:tc>
        <w:tc>
          <w:tcPr>
            <w:tcW w:w="1637" w:type="dxa"/>
            <w:tcBorders>
              <w:top w:val="single" w:sz="8" w:space="0" w:color="000000"/>
              <w:left w:val="nil"/>
              <w:bottom w:val="single" w:sz="8" w:space="0" w:color="000000"/>
              <w:right w:val="single" w:sz="8" w:space="0" w:color="000000"/>
            </w:tcBorders>
            <w:vAlign w:val="center"/>
            <w:hideMark/>
          </w:tcPr>
          <w:p w14:paraId="589E2D79" w14:textId="77777777" w:rsidR="008F69A9" w:rsidRPr="00705F6F" w:rsidRDefault="008F69A9" w:rsidP="008F69A9">
            <w:pPr>
              <w:spacing w:before="0" w:after="0" w:line="240" w:lineRule="auto"/>
              <w:jc w:val="left"/>
              <w:rPr>
                <w:rFonts w:ascii="Arial Narrow" w:eastAsia="Times New Roman" w:hAnsi="Arial Narrow" w:cs="Arial"/>
                <w:b/>
                <w:bCs/>
                <w:color w:val="1F1F1F"/>
                <w:spacing w:val="0"/>
                <w:sz w:val="18"/>
                <w:szCs w:val="18"/>
                <w:lang w:val="es-EC" w:eastAsia="es-EC"/>
                <w14:numForm w14:val="default"/>
              </w:rPr>
            </w:pPr>
            <w:r w:rsidRPr="00705F6F">
              <w:rPr>
                <w:rFonts w:ascii="Arial Narrow" w:eastAsia="Times New Roman" w:hAnsi="Arial Narrow" w:cs="Arial"/>
                <w:b/>
                <w:bCs/>
                <w:color w:val="1F1F1F"/>
                <w:spacing w:val="0"/>
                <w:sz w:val="18"/>
                <w:szCs w:val="18"/>
                <w:lang w:val="es-EC" w:eastAsia="es-EC"/>
                <w14:numForm w14:val="default"/>
              </w:rPr>
              <w:t>Coeficientes estandarizados de β</w:t>
            </w:r>
          </w:p>
        </w:tc>
        <w:tc>
          <w:tcPr>
            <w:tcW w:w="958" w:type="dxa"/>
            <w:tcBorders>
              <w:top w:val="single" w:sz="8" w:space="0" w:color="000000"/>
              <w:left w:val="nil"/>
              <w:bottom w:val="single" w:sz="8" w:space="0" w:color="000000"/>
              <w:right w:val="single" w:sz="8" w:space="0" w:color="000000"/>
            </w:tcBorders>
            <w:vAlign w:val="center"/>
            <w:hideMark/>
          </w:tcPr>
          <w:p w14:paraId="47435C5D" w14:textId="77777777" w:rsidR="008F69A9" w:rsidRPr="00705F6F" w:rsidRDefault="008F69A9" w:rsidP="008F69A9">
            <w:pPr>
              <w:spacing w:before="0" w:after="0" w:line="240" w:lineRule="auto"/>
              <w:jc w:val="left"/>
              <w:rPr>
                <w:rFonts w:ascii="Arial Narrow" w:eastAsia="Times New Roman" w:hAnsi="Arial Narrow" w:cs="Arial"/>
                <w:b/>
                <w:bCs/>
                <w:color w:val="1F1F1F"/>
                <w:spacing w:val="0"/>
                <w:sz w:val="18"/>
                <w:szCs w:val="18"/>
                <w:lang w:val="es-EC" w:eastAsia="es-EC"/>
                <w14:numForm w14:val="default"/>
              </w:rPr>
            </w:pPr>
            <w:r w:rsidRPr="00705F6F">
              <w:rPr>
                <w:rFonts w:ascii="Arial Narrow" w:eastAsia="Times New Roman" w:hAnsi="Arial Narrow" w:cs="Arial"/>
                <w:b/>
                <w:bCs/>
                <w:color w:val="1F1F1F"/>
                <w:spacing w:val="0"/>
                <w:sz w:val="18"/>
                <w:szCs w:val="18"/>
                <w:lang w:val="es-EC" w:eastAsia="es-EC"/>
                <w14:numForm w14:val="default"/>
              </w:rPr>
              <w:t>Estadístico t</w:t>
            </w:r>
          </w:p>
        </w:tc>
        <w:tc>
          <w:tcPr>
            <w:tcW w:w="1171" w:type="dxa"/>
            <w:tcBorders>
              <w:top w:val="single" w:sz="8" w:space="0" w:color="000000"/>
              <w:left w:val="nil"/>
              <w:bottom w:val="single" w:sz="8" w:space="0" w:color="000000"/>
              <w:right w:val="single" w:sz="8" w:space="0" w:color="000000"/>
            </w:tcBorders>
            <w:vAlign w:val="center"/>
            <w:hideMark/>
          </w:tcPr>
          <w:p w14:paraId="7E3B3AB7" w14:textId="77777777" w:rsidR="008F69A9" w:rsidRPr="00705F6F" w:rsidRDefault="008F69A9" w:rsidP="008F69A9">
            <w:pPr>
              <w:spacing w:before="0" w:after="0" w:line="240" w:lineRule="auto"/>
              <w:jc w:val="left"/>
              <w:rPr>
                <w:rFonts w:ascii="Arial Narrow" w:eastAsia="Times New Roman" w:hAnsi="Arial Narrow" w:cs="Arial"/>
                <w:b/>
                <w:bCs/>
                <w:color w:val="1F1F1F"/>
                <w:spacing w:val="0"/>
                <w:sz w:val="18"/>
                <w:szCs w:val="18"/>
                <w:lang w:val="es-EC" w:eastAsia="es-EC"/>
                <w14:numForm w14:val="default"/>
              </w:rPr>
            </w:pPr>
            <w:r w:rsidRPr="00705F6F">
              <w:rPr>
                <w:rFonts w:ascii="Arial Narrow" w:eastAsia="Times New Roman" w:hAnsi="Arial Narrow" w:cs="Arial"/>
                <w:b/>
                <w:bCs/>
                <w:color w:val="1F1F1F"/>
                <w:spacing w:val="0"/>
                <w:sz w:val="18"/>
                <w:szCs w:val="18"/>
                <w:lang w:val="es-EC" w:eastAsia="es-EC"/>
                <w14:numForm w14:val="default"/>
              </w:rPr>
              <w:t>Significancia de t</w:t>
            </w:r>
          </w:p>
        </w:tc>
        <w:tc>
          <w:tcPr>
            <w:tcW w:w="567" w:type="dxa"/>
            <w:tcBorders>
              <w:top w:val="single" w:sz="8" w:space="0" w:color="000000"/>
              <w:left w:val="nil"/>
              <w:bottom w:val="single" w:sz="8" w:space="0" w:color="000000"/>
              <w:right w:val="single" w:sz="8" w:space="0" w:color="000000"/>
            </w:tcBorders>
            <w:vAlign w:val="center"/>
            <w:hideMark/>
          </w:tcPr>
          <w:p w14:paraId="41488401" w14:textId="77777777" w:rsidR="008F69A9" w:rsidRPr="00705F6F" w:rsidRDefault="008F69A9" w:rsidP="008F69A9">
            <w:pPr>
              <w:spacing w:before="0" w:after="0" w:line="240" w:lineRule="auto"/>
              <w:jc w:val="left"/>
              <w:rPr>
                <w:rFonts w:ascii="Arial Narrow" w:eastAsia="Times New Roman" w:hAnsi="Arial Narrow" w:cs="Arial"/>
                <w:b/>
                <w:bCs/>
                <w:color w:val="1F1F1F"/>
                <w:spacing w:val="0"/>
                <w:sz w:val="18"/>
                <w:szCs w:val="18"/>
                <w:lang w:val="es-EC" w:eastAsia="es-EC"/>
                <w14:numForm w14:val="default"/>
              </w:rPr>
            </w:pPr>
            <w:r w:rsidRPr="00705F6F">
              <w:rPr>
                <w:rFonts w:ascii="Arial Narrow" w:eastAsia="Times New Roman" w:hAnsi="Arial Narrow" w:cs="Arial"/>
                <w:b/>
                <w:bCs/>
                <w:color w:val="1F1F1F"/>
                <w:spacing w:val="0"/>
                <w:sz w:val="18"/>
                <w:szCs w:val="18"/>
                <w:lang w:val="es-EC" w:eastAsia="es-EC"/>
                <w14:numForm w14:val="default"/>
              </w:rPr>
              <w:t>VIF</w:t>
            </w:r>
          </w:p>
        </w:tc>
        <w:tc>
          <w:tcPr>
            <w:tcW w:w="567" w:type="dxa"/>
            <w:tcBorders>
              <w:top w:val="single" w:sz="8" w:space="0" w:color="000000"/>
              <w:left w:val="nil"/>
              <w:bottom w:val="single" w:sz="8" w:space="0" w:color="000000"/>
              <w:right w:val="single" w:sz="8" w:space="0" w:color="000000"/>
            </w:tcBorders>
            <w:vAlign w:val="center"/>
            <w:hideMark/>
          </w:tcPr>
          <w:p w14:paraId="15FCE837" w14:textId="77777777" w:rsidR="008F69A9" w:rsidRPr="00705F6F" w:rsidRDefault="008F69A9" w:rsidP="008F69A9">
            <w:pPr>
              <w:spacing w:before="0" w:after="0" w:line="240" w:lineRule="auto"/>
              <w:jc w:val="left"/>
              <w:rPr>
                <w:rFonts w:ascii="Arial Narrow" w:eastAsia="Times New Roman" w:hAnsi="Arial Narrow" w:cs="Arial"/>
                <w:b/>
                <w:bCs/>
                <w:color w:val="1F1F1F"/>
                <w:spacing w:val="0"/>
                <w:sz w:val="18"/>
                <w:szCs w:val="18"/>
                <w:lang w:val="es-EC" w:eastAsia="es-EC"/>
                <w14:numForm w14:val="default"/>
              </w:rPr>
            </w:pPr>
            <w:r w:rsidRPr="00705F6F">
              <w:rPr>
                <w:rFonts w:ascii="Arial Narrow" w:eastAsia="Times New Roman" w:hAnsi="Arial Narrow" w:cs="Arial"/>
                <w:b/>
                <w:bCs/>
                <w:color w:val="1F1F1F"/>
                <w:spacing w:val="0"/>
                <w:sz w:val="18"/>
                <w:szCs w:val="18"/>
                <w:lang w:val="es-EC" w:eastAsia="es-EC"/>
                <w14:numForm w14:val="default"/>
              </w:rPr>
              <w:t>F</w:t>
            </w:r>
          </w:p>
        </w:tc>
        <w:tc>
          <w:tcPr>
            <w:tcW w:w="567" w:type="dxa"/>
            <w:tcBorders>
              <w:top w:val="single" w:sz="8" w:space="0" w:color="000000"/>
              <w:left w:val="nil"/>
              <w:bottom w:val="single" w:sz="8" w:space="0" w:color="000000"/>
              <w:right w:val="single" w:sz="8" w:space="0" w:color="000000"/>
            </w:tcBorders>
            <w:vAlign w:val="center"/>
            <w:hideMark/>
          </w:tcPr>
          <w:p w14:paraId="22655542" w14:textId="77777777" w:rsidR="008F69A9" w:rsidRPr="00705F6F" w:rsidRDefault="008F69A9" w:rsidP="008F69A9">
            <w:pPr>
              <w:spacing w:before="0" w:after="0" w:line="240" w:lineRule="auto"/>
              <w:jc w:val="left"/>
              <w:rPr>
                <w:rFonts w:ascii="Arial Narrow" w:eastAsia="Times New Roman" w:hAnsi="Arial Narrow" w:cs="Arial"/>
                <w:b/>
                <w:bCs/>
                <w:color w:val="1F1F1F"/>
                <w:spacing w:val="0"/>
                <w:sz w:val="18"/>
                <w:szCs w:val="18"/>
                <w:lang w:val="es-EC" w:eastAsia="es-EC"/>
                <w14:numForm w14:val="default"/>
              </w:rPr>
            </w:pPr>
            <w:r w:rsidRPr="00705F6F">
              <w:rPr>
                <w:rFonts w:ascii="Arial Narrow" w:eastAsia="Times New Roman" w:hAnsi="Arial Narrow" w:cs="Arial"/>
                <w:b/>
                <w:bCs/>
                <w:color w:val="1F1F1F"/>
                <w:spacing w:val="0"/>
                <w:sz w:val="18"/>
                <w:szCs w:val="18"/>
                <w:lang w:val="es-EC" w:eastAsia="es-EC"/>
                <w14:numForm w14:val="default"/>
              </w:rPr>
              <w:t>R2</w:t>
            </w:r>
          </w:p>
        </w:tc>
      </w:tr>
      <w:tr w:rsidR="008F69A9" w:rsidRPr="00705F6F" w14:paraId="2B457F63"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0A10802D" w14:textId="77777777" w:rsidR="008F69A9" w:rsidRPr="00705F6F" w:rsidRDefault="008F69A9" w:rsidP="008F69A9">
            <w:pPr>
              <w:spacing w:before="0" w:after="0" w:line="240" w:lineRule="auto"/>
              <w:jc w:val="left"/>
              <w:rPr>
                <w:rFonts w:ascii="Arial Narrow" w:eastAsia="Times New Roman" w:hAnsi="Arial Narrow" w:cs="Arial"/>
                <w:b/>
                <w:bCs/>
                <w:color w:val="1F1F1F"/>
                <w:spacing w:val="0"/>
                <w:sz w:val="18"/>
                <w:szCs w:val="18"/>
                <w:lang w:val="es-EC" w:eastAsia="es-EC"/>
                <w14:numForm w14:val="default"/>
              </w:rPr>
            </w:pPr>
            <w:r w:rsidRPr="00705F6F">
              <w:rPr>
                <w:rFonts w:ascii="Arial Narrow" w:eastAsia="Times New Roman" w:hAnsi="Arial Narrow" w:cs="Arial"/>
                <w:b/>
                <w:bCs/>
                <w:color w:val="1F1F1F"/>
                <w:spacing w:val="0"/>
                <w:sz w:val="18"/>
                <w:szCs w:val="18"/>
                <w:lang w:val="es-EC" w:eastAsia="es-EC"/>
                <w14:numForm w14:val="default"/>
              </w:rPr>
              <w:t>Modelo 1</w:t>
            </w:r>
          </w:p>
        </w:tc>
        <w:tc>
          <w:tcPr>
            <w:tcW w:w="1637" w:type="dxa"/>
            <w:tcBorders>
              <w:top w:val="nil"/>
              <w:left w:val="nil"/>
              <w:bottom w:val="single" w:sz="8" w:space="0" w:color="000000"/>
              <w:right w:val="single" w:sz="8" w:space="0" w:color="000000"/>
            </w:tcBorders>
            <w:vAlign w:val="center"/>
            <w:hideMark/>
          </w:tcPr>
          <w:p w14:paraId="3611FE1D"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958" w:type="dxa"/>
            <w:tcBorders>
              <w:top w:val="nil"/>
              <w:left w:val="nil"/>
              <w:bottom w:val="single" w:sz="8" w:space="0" w:color="000000"/>
              <w:right w:val="single" w:sz="8" w:space="0" w:color="000000"/>
            </w:tcBorders>
            <w:vAlign w:val="center"/>
            <w:hideMark/>
          </w:tcPr>
          <w:p w14:paraId="6B4E681D"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1171" w:type="dxa"/>
            <w:tcBorders>
              <w:top w:val="nil"/>
              <w:left w:val="nil"/>
              <w:bottom w:val="single" w:sz="8" w:space="0" w:color="000000"/>
              <w:right w:val="single" w:sz="8" w:space="0" w:color="000000"/>
            </w:tcBorders>
            <w:vAlign w:val="center"/>
            <w:hideMark/>
          </w:tcPr>
          <w:p w14:paraId="39FD089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3B402E0D"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28337959"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59C30FE4"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r>
      <w:tr w:rsidR="008F69A9" w:rsidRPr="00705F6F" w14:paraId="651F648C"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2434BF79"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Tangibilidad</w:t>
            </w:r>
          </w:p>
        </w:tc>
        <w:tc>
          <w:tcPr>
            <w:tcW w:w="1637" w:type="dxa"/>
            <w:tcBorders>
              <w:top w:val="nil"/>
              <w:left w:val="nil"/>
              <w:bottom w:val="single" w:sz="8" w:space="0" w:color="000000"/>
              <w:right w:val="single" w:sz="8" w:space="0" w:color="000000"/>
            </w:tcBorders>
            <w:vAlign w:val="center"/>
            <w:hideMark/>
          </w:tcPr>
          <w:p w14:paraId="16A25BE0"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0.148</w:t>
            </w:r>
          </w:p>
        </w:tc>
        <w:tc>
          <w:tcPr>
            <w:tcW w:w="958" w:type="dxa"/>
            <w:tcBorders>
              <w:top w:val="nil"/>
              <w:left w:val="nil"/>
              <w:bottom w:val="single" w:sz="8" w:space="0" w:color="000000"/>
              <w:right w:val="single" w:sz="8" w:space="0" w:color="000000"/>
            </w:tcBorders>
            <w:vAlign w:val="center"/>
            <w:hideMark/>
          </w:tcPr>
          <w:p w14:paraId="6DAB6ED3"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2.314</w:t>
            </w:r>
          </w:p>
        </w:tc>
        <w:tc>
          <w:tcPr>
            <w:tcW w:w="1171" w:type="dxa"/>
            <w:tcBorders>
              <w:top w:val="nil"/>
              <w:left w:val="nil"/>
              <w:bottom w:val="single" w:sz="8" w:space="0" w:color="000000"/>
              <w:right w:val="single" w:sz="8" w:space="0" w:color="000000"/>
            </w:tcBorders>
            <w:vAlign w:val="center"/>
            <w:hideMark/>
          </w:tcPr>
          <w:p w14:paraId="64C7754F"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0.022</w:t>
            </w:r>
          </w:p>
        </w:tc>
        <w:tc>
          <w:tcPr>
            <w:tcW w:w="567" w:type="dxa"/>
            <w:tcBorders>
              <w:top w:val="nil"/>
              <w:left w:val="nil"/>
              <w:bottom w:val="single" w:sz="8" w:space="0" w:color="000000"/>
              <w:right w:val="single" w:sz="8" w:space="0" w:color="000000"/>
            </w:tcBorders>
            <w:vAlign w:val="center"/>
            <w:hideMark/>
          </w:tcPr>
          <w:p w14:paraId="52EC3DD3"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2.120</w:t>
            </w:r>
          </w:p>
        </w:tc>
        <w:tc>
          <w:tcPr>
            <w:tcW w:w="567" w:type="dxa"/>
            <w:tcBorders>
              <w:top w:val="nil"/>
              <w:left w:val="nil"/>
              <w:bottom w:val="single" w:sz="8" w:space="0" w:color="000000"/>
              <w:right w:val="single" w:sz="8" w:space="0" w:color="000000"/>
            </w:tcBorders>
            <w:vAlign w:val="center"/>
            <w:hideMark/>
          </w:tcPr>
          <w:p w14:paraId="4C0CB798"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1EEC2A4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r>
      <w:tr w:rsidR="008F69A9" w:rsidRPr="00705F6F" w14:paraId="130282F1"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00613EE2"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Fiabilidad</w:t>
            </w:r>
          </w:p>
        </w:tc>
        <w:tc>
          <w:tcPr>
            <w:tcW w:w="1637" w:type="dxa"/>
            <w:tcBorders>
              <w:top w:val="nil"/>
              <w:left w:val="nil"/>
              <w:bottom w:val="single" w:sz="8" w:space="0" w:color="000000"/>
              <w:right w:val="single" w:sz="8" w:space="0" w:color="000000"/>
            </w:tcBorders>
            <w:vAlign w:val="center"/>
            <w:hideMark/>
          </w:tcPr>
          <w:p w14:paraId="2DB6066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0.294</w:t>
            </w:r>
          </w:p>
        </w:tc>
        <w:tc>
          <w:tcPr>
            <w:tcW w:w="958" w:type="dxa"/>
            <w:tcBorders>
              <w:top w:val="nil"/>
              <w:left w:val="nil"/>
              <w:bottom w:val="single" w:sz="8" w:space="0" w:color="000000"/>
              <w:right w:val="single" w:sz="8" w:space="0" w:color="000000"/>
            </w:tcBorders>
            <w:vAlign w:val="center"/>
            <w:hideMark/>
          </w:tcPr>
          <w:p w14:paraId="3B21180E"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3.105</w:t>
            </w:r>
          </w:p>
        </w:tc>
        <w:tc>
          <w:tcPr>
            <w:tcW w:w="1171" w:type="dxa"/>
            <w:tcBorders>
              <w:top w:val="nil"/>
              <w:left w:val="nil"/>
              <w:bottom w:val="single" w:sz="8" w:space="0" w:color="000000"/>
              <w:right w:val="single" w:sz="8" w:space="0" w:color="000000"/>
            </w:tcBorders>
            <w:vAlign w:val="center"/>
            <w:hideMark/>
          </w:tcPr>
          <w:p w14:paraId="7FA4A97F"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0.002</w:t>
            </w:r>
          </w:p>
        </w:tc>
        <w:tc>
          <w:tcPr>
            <w:tcW w:w="567" w:type="dxa"/>
            <w:tcBorders>
              <w:top w:val="nil"/>
              <w:left w:val="nil"/>
              <w:bottom w:val="single" w:sz="8" w:space="0" w:color="000000"/>
              <w:right w:val="single" w:sz="8" w:space="0" w:color="000000"/>
            </w:tcBorders>
            <w:vAlign w:val="center"/>
            <w:hideMark/>
          </w:tcPr>
          <w:p w14:paraId="6B077A39"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3.940</w:t>
            </w:r>
          </w:p>
        </w:tc>
        <w:tc>
          <w:tcPr>
            <w:tcW w:w="567" w:type="dxa"/>
            <w:tcBorders>
              <w:top w:val="nil"/>
              <w:left w:val="nil"/>
              <w:bottom w:val="single" w:sz="8" w:space="0" w:color="000000"/>
              <w:right w:val="single" w:sz="8" w:space="0" w:color="000000"/>
            </w:tcBorders>
            <w:vAlign w:val="center"/>
            <w:hideMark/>
          </w:tcPr>
          <w:p w14:paraId="18E8DE1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389DA653"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r>
      <w:tr w:rsidR="008F69A9" w:rsidRPr="00705F6F" w14:paraId="74E14558" w14:textId="77777777" w:rsidTr="00705F6F">
        <w:trPr>
          <w:trHeight w:val="564"/>
        </w:trPr>
        <w:tc>
          <w:tcPr>
            <w:tcW w:w="1469" w:type="dxa"/>
            <w:tcBorders>
              <w:top w:val="nil"/>
              <w:left w:val="single" w:sz="8" w:space="0" w:color="000000"/>
              <w:bottom w:val="single" w:sz="8" w:space="0" w:color="000000"/>
              <w:right w:val="single" w:sz="8" w:space="0" w:color="000000"/>
            </w:tcBorders>
            <w:vAlign w:val="center"/>
            <w:hideMark/>
          </w:tcPr>
          <w:p w14:paraId="62660149"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Capacidad de respuesta</w:t>
            </w:r>
          </w:p>
        </w:tc>
        <w:tc>
          <w:tcPr>
            <w:tcW w:w="1637" w:type="dxa"/>
            <w:tcBorders>
              <w:top w:val="nil"/>
              <w:left w:val="nil"/>
              <w:bottom w:val="single" w:sz="8" w:space="0" w:color="000000"/>
              <w:right w:val="single" w:sz="8" w:space="0" w:color="000000"/>
            </w:tcBorders>
            <w:vAlign w:val="center"/>
            <w:hideMark/>
          </w:tcPr>
          <w:p w14:paraId="7E4C2E06"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0.082</w:t>
            </w:r>
          </w:p>
        </w:tc>
        <w:tc>
          <w:tcPr>
            <w:tcW w:w="958" w:type="dxa"/>
            <w:tcBorders>
              <w:top w:val="nil"/>
              <w:left w:val="nil"/>
              <w:bottom w:val="single" w:sz="8" w:space="0" w:color="000000"/>
              <w:right w:val="single" w:sz="8" w:space="0" w:color="000000"/>
            </w:tcBorders>
            <w:vAlign w:val="center"/>
            <w:hideMark/>
          </w:tcPr>
          <w:p w14:paraId="4B8E9A95"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0.984</w:t>
            </w:r>
          </w:p>
        </w:tc>
        <w:tc>
          <w:tcPr>
            <w:tcW w:w="1171" w:type="dxa"/>
            <w:tcBorders>
              <w:top w:val="nil"/>
              <w:left w:val="nil"/>
              <w:bottom w:val="single" w:sz="8" w:space="0" w:color="000000"/>
              <w:right w:val="single" w:sz="8" w:space="0" w:color="000000"/>
            </w:tcBorders>
            <w:vAlign w:val="center"/>
            <w:hideMark/>
          </w:tcPr>
          <w:p w14:paraId="38CD3074"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0.327</w:t>
            </w:r>
          </w:p>
        </w:tc>
        <w:tc>
          <w:tcPr>
            <w:tcW w:w="567" w:type="dxa"/>
            <w:tcBorders>
              <w:top w:val="nil"/>
              <w:left w:val="nil"/>
              <w:bottom w:val="single" w:sz="8" w:space="0" w:color="000000"/>
              <w:right w:val="single" w:sz="8" w:space="0" w:color="000000"/>
            </w:tcBorders>
            <w:vAlign w:val="center"/>
            <w:hideMark/>
          </w:tcPr>
          <w:p w14:paraId="32C8A251"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4.115</w:t>
            </w:r>
          </w:p>
        </w:tc>
        <w:tc>
          <w:tcPr>
            <w:tcW w:w="567" w:type="dxa"/>
            <w:tcBorders>
              <w:top w:val="nil"/>
              <w:left w:val="nil"/>
              <w:bottom w:val="single" w:sz="8" w:space="0" w:color="000000"/>
              <w:right w:val="single" w:sz="8" w:space="0" w:color="000000"/>
            </w:tcBorders>
            <w:vAlign w:val="center"/>
            <w:hideMark/>
          </w:tcPr>
          <w:p w14:paraId="5607BE8A"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0225880E"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r>
      <w:tr w:rsidR="008F69A9" w:rsidRPr="00705F6F" w14:paraId="74BDB69E"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012E2D06"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Seguridad</w:t>
            </w:r>
          </w:p>
        </w:tc>
        <w:tc>
          <w:tcPr>
            <w:tcW w:w="1637" w:type="dxa"/>
            <w:tcBorders>
              <w:top w:val="nil"/>
              <w:left w:val="nil"/>
              <w:bottom w:val="single" w:sz="8" w:space="0" w:color="000000"/>
              <w:right w:val="single" w:sz="8" w:space="0" w:color="000000"/>
            </w:tcBorders>
            <w:vAlign w:val="center"/>
            <w:hideMark/>
          </w:tcPr>
          <w:p w14:paraId="6381E085"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-0.198</w:t>
            </w:r>
          </w:p>
        </w:tc>
        <w:tc>
          <w:tcPr>
            <w:tcW w:w="958" w:type="dxa"/>
            <w:tcBorders>
              <w:top w:val="nil"/>
              <w:left w:val="nil"/>
              <w:bottom w:val="single" w:sz="8" w:space="0" w:color="000000"/>
              <w:right w:val="single" w:sz="8" w:space="0" w:color="000000"/>
            </w:tcBorders>
            <w:vAlign w:val="center"/>
            <w:hideMark/>
          </w:tcPr>
          <w:p w14:paraId="088F4801"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-2.412</w:t>
            </w:r>
          </w:p>
        </w:tc>
        <w:tc>
          <w:tcPr>
            <w:tcW w:w="1171" w:type="dxa"/>
            <w:tcBorders>
              <w:top w:val="nil"/>
              <w:left w:val="nil"/>
              <w:bottom w:val="single" w:sz="8" w:space="0" w:color="000000"/>
              <w:right w:val="single" w:sz="8" w:space="0" w:color="000000"/>
            </w:tcBorders>
            <w:vAlign w:val="center"/>
            <w:hideMark/>
          </w:tcPr>
          <w:p w14:paraId="7BCA0CB3"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0.017</w:t>
            </w:r>
          </w:p>
        </w:tc>
        <w:tc>
          <w:tcPr>
            <w:tcW w:w="567" w:type="dxa"/>
            <w:tcBorders>
              <w:top w:val="nil"/>
              <w:left w:val="nil"/>
              <w:bottom w:val="single" w:sz="8" w:space="0" w:color="000000"/>
              <w:right w:val="single" w:sz="8" w:space="0" w:color="000000"/>
            </w:tcBorders>
            <w:vAlign w:val="center"/>
            <w:hideMark/>
          </w:tcPr>
          <w:p w14:paraId="11563407"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3.245</w:t>
            </w:r>
          </w:p>
        </w:tc>
        <w:tc>
          <w:tcPr>
            <w:tcW w:w="567" w:type="dxa"/>
            <w:tcBorders>
              <w:top w:val="nil"/>
              <w:left w:val="nil"/>
              <w:bottom w:val="single" w:sz="8" w:space="0" w:color="000000"/>
              <w:right w:val="single" w:sz="8" w:space="0" w:color="000000"/>
            </w:tcBorders>
            <w:vAlign w:val="center"/>
            <w:hideMark/>
          </w:tcPr>
          <w:p w14:paraId="3316B3E8"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09008A13"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r>
      <w:tr w:rsidR="008F69A9" w:rsidRPr="00705F6F" w14:paraId="3E675578"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2D13C2B0"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Empatía</w:t>
            </w:r>
          </w:p>
        </w:tc>
        <w:tc>
          <w:tcPr>
            <w:tcW w:w="1637" w:type="dxa"/>
            <w:tcBorders>
              <w:top w:val="nil"/>
              <w:left w:val="nil"/>
              <w:bottom w:val="single" w:sz="8" w:space="0" w:color="000000"/>
              <w:right w:val="single" w:sz="8" w:space="0" w:color="000000"/>
            </w:tcBorders>
            <w:vAlign w:val="center"/>
            <w:hideMark/>
          </w:tcPr>
          <w:p w14:paraId="6A209401"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0.592</w:t>
            </w:r>
          </w:p>
        </w:tc>
        <w:tc>
          <w:tcPr>
            <w:tcW w:w="958" w:type="dxa"/>
            <w:tcBorders>
              <w:top w:val="nil"/>
              <w:left w:val="nil"/>
              <w:bottom w:val="single" w:sz="8" w:space="0" w:color="000000"/>
              <w:right w:val="single" w:sz="8" w:space="0" w:color="000000"/>
            </w:tcBorders>
            <w:vAlign w:val="center"/>
            <w:hideMark/>
          </w:tcPr>
          <w:p w14:paraId="7EDAE1C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7.452</w:t>
            </w:r>
          </w:p>
        </w:tc>
        <w:tc>
          <w:tcPr>
            <w:tcW w:w="1171" w:type="dxa"/>
            <w:tcBorders>
              <w:top w:val="nil"/>
              <w:left w:val="nil"/>
              <w:bottom w:val="single" w:sz="8" w:space="0" w:color="000000"/>
              <w:right w:val="single" w:sz="8" w:space="0" w:color="000000"/>
            </w:tcBorders>
            <w:vAlign w:val="center"/>
            <w:hideMark/>
          </w:tcPr>
          <w:p w14:paraId="2E153D7B"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0.000</w:t>
            </w:r>
          </w:p>
        </w:tc>
        <w:tc>
          <w:tcPr>
            <w:tcW w:w="567" w:type="dxa"/>
            <w:tcBorders>
              <w:top w:val="nil"/>
              <w:left w:val="nil"/>
              <w:bottom w:val="single" w:sz="8" w:space="0" w:color="000000"/>
              <w:right w:val="single" w:sz="8" w:space="0" w:color="000000"/>
            </w:tcBorders>
            <w:vAlign w:val="center"/>
            <w:hideMark/>
          </w:tcPr>
          <w:p w14:paraId="7FE46096"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3.110</w:t>
            </w:r>
          </w:p>
        </w:tc>
        <w:tc>
          <w:tcPr>
            <w:tcW w:w="567" w:type="dxa"/>
            <w:tcBorders>
              <w:top w:val="nil"/>
              <w:left w:val="nil"/>
              <w:bottom w:val="single" w:sz="8" w:space="0" w:color="000000"/>
              <w:right w:val="single" w:sz="8" w:space="0" w:color="000000"/>
            </w:tcBorders>
            <w:vAlign w:val="center"/>
            <w:hideMark/>
          </w:tcPr>
          <w:p w14:paraId="775A5093"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5ED221CB"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r>
      <w:tr w:rsidR="008F69A9" w:rsidRPr="00705F6F" w14:paraId="18C269D1"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1D46A594"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1637" w:type="dxa"/>
            <w:tcBorders>
              <w:top w:val="nil"/>
              <w:left w:val="nil"/>
              <w:bottom w:val="single" w:sz="8" w:space="0" w:color="000000"/>
              <w:right w:val="single" w:sz="8" w:space="0" w:color="000000"/>
            </w:tcBorders>
            <w:vAlign w:val="center"/>
            <w:hideMark/>
          </w:tcPr>
          <w:p w14:paraId="3A4ACF18"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958" w:type="dxa"/>
            <w:tcBorders>
              <w:top w:val="nil"/>
              <w:left w:val="nil"/>
              <w:bottom w:val="single" w:sz="8" w:space="0" w:color="000000"/>
              <w:right w:val="single" w:sz="8" w:space="0" w:color="000000"/>
            </w:tcBorders>
            <w:vAlign w:val="center"/>
            <w:hideMark/>
          </w:tcPr>
          <w:p w14:paraId="62F7ABA0"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1171" w:type="dxa"/>
            <w:tcBorders>
              <w:top w:val="nil"/>
              <w:left w:val="nil"/>
              <w:bottom w:val="single" w:sz="8" w:space="0" w:color="000000"/>
              <w:right w:val="single" w:sz="8" w:space="0" w:color="000000"/>
            </w:tcBorders>
            <w:vAlign w:val="center"/>
            <w:hideMark/>
          </w:tcPr>
          <w:p w14:paraId="52800625"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14789E4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725D8FD0"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78.45</w:t>
            </w:r>
          </w:p>
        </w:tc>
        <w:tc>
          <w:tcPr>
            <w:tcW w:w="567" w:type="dxa"/>
            <w:tcBorders>
              <w:top w:val="nil"/>
              <w:left w:val="nil"/>
              <w:bottom w:val="single" w:sz="8" w:space="0" w:color="000000"/>
              <w:right w:val="single" w:sz="8" w:space="0" w:color="000000"/>
            </w:tcBorders>
            <w:vAlign w:val="center"/>
            <w:hideMark/>
          </w:tcPr>
          <w:p w14:paraId="0A632656"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0.714</w:t>
            </w:r>
          </w:p>
        </w:tc>
      </w:tr>
      <w:tr w:rsidR="008F69A9" w:rsidRPr="00705F6F" w14:paraId="15C5219A"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75622FB8" w14:textId="77777777" w:rsidR="008F69A9" w:rsidRPr="00705F6F" w:rsidRDefault="008F69A9" w:rsidP="008F69A9">
            <w:pPr>
              <w:spacing w:before="0" w:after="0" w:line="240" w:lineRule="auto"/>
              <w:jc w:val="left"/>
              <w:rPr>
                <w:rFonts w:ascii="Arial Narrow" w:eastAsia="Times New Roman" w:hAnsi="Arial Narrow" w:cs="Arial"/>
                <w:b/>
                <w:bCs/>
                <w:color w:val="1F1F1F"/>
                <w:spacing w:val="0"/>
                <w:sz w:val="18"/>
                <w:szCs w:val="18"/>
                <w:lang w:val="es-EC" w:eastAsia="es-EC"/>
                <w14:numForm w14:val="default"/>
              </w:rPr>
            </w:pPr>
            <w:r w:rsidRPr="00705F6F">
              <w:rPr>
                <w:rFonts w:ascii="Arial Narrow" w:eastAsia="Times New Roman" w:hAnsi="Arial Narrow" w:cs="Arial"/>
                <w:b/>
                <w:bCs/>
                <w:color w:val="1F1F1F"/>
                <w:spacing w:val="0"/>
                <w:sz w:val="18"/>
                <w:szCs w:val="18"/>
                <w:lang w:val="es-EC" w:eastAsia="es-EC"/>
                <w14:numForm w14:val="default"/>
              </w:rPr>
              <w:t>Modelo 2</w:t>
            </w:r>
          </w:p>
        </w:tc>
        <w:tc>
          <w:tcPr>
            <w:tcW w:w="1637" w:type="dxa"/>
            <w:tcBorders>
              <w:top w:val="nil"/>
              <w:left w:val="nil"/>
              <w:bottom w:val="single" w:sz="8" w:space="0" w:color="000000"/>
              <w:right w:val="single" w:sz="8" w:space="0" w:color="000000"/>
            </w:tcBorders>
            <w:vAlign w:val="center"/>
            <w:hideMark/>
          </w:tcPr>
          <w:p w14:paraId="52CD99E8"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958" w:type="dxa"/>
            <w:tcBorders>
              <w:top w:val="nil"/>
              <w:left w:val="nil"/>
              <w:bottom w:val="single" w:sz="8" w:space="0" w:color="000000"/>
              <w:right w:val="single" w:sz="8" w:space="0" w:color="000000"/>
            </w:tcBorders>
            <w:vAlign w:val="center"/>
            <w:hideMark/>
          </w:tcPr>
          <w:p w14:paraId="3496410F"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1171" w:type="dxa"/>
            <w:tcBorders>
              <w:top w:val="nil"/>
              <w:left w:val="nil"/>
              <w:bottom w:val="single" w:sz="8" w:space="0" w:color="000000"/>
              <w:right w:val="single" w:sz="8" w:space="0" w:color="000000"/>
            </w:tcBorders>
            <w:vAlign w:val="center"/>
            <w:hideMark/>
          </w:tcPr>
          <w:p w14:paraId="034AA5E2"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61CA82E0"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310BB8E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29C215A5"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r>
      <w:tr w:rsidR="008F69A9" w:rsidRPr="00705F6F" w14:paraId="383BE9F6"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46A6CF6F"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Tangibilidad</w:t>
            </w:r>
          </w:p>
        </w:tc>
        <w:tc>
          <w:tcPr>
            <w:tcW w:w="1637" w:type="dxa"/>
            <w:tcBorders>
              <w:top w:val="nil"/>
              <w:left w:val="nil"/>
              <w:bottom w:val="single" w:sz="8" w:space="0" w:color="000000"/>
              <w:right w:val="single" w:sz="8" w:space="0" w:color="000000"/>
            </w:tcBorders>
            <w:vAlign w:val="center"/>
            <w:hideMark/>
          </w:tcPr>
          <w:p w14:paraId="0870C1E6"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0.154</w:t>
            </w:r>
          </w:p>
        </w:tc>
        <w:tc>
          <w:tcPr>
            <w:tcW w:w="958" w:type="dxa"/>
            <w:tcBorders>
              <w:top w:val="nil"/>
              <w:left w:val="nil"/>
              <w:bottom w:val="single" w:sz="8" w:space="0" w:color="000000"/>
              <w:right w:val="single" w:sz="8" w:space="0" w:color="000000"/>
            </w:tcBorders>
            <w:vAlign w:val="center"/>
            <w:hideMark/>
          </w:tcPr>
          <w:p w14:paraId="68CB4F99"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2.448</w:t>
            </w:r>
          </w:p>
        </w:tc>
        <w:tc>
          <w:tcPr>
            <w:tcW w:w="1171" w:type="dxa"/>
            <w:tcBorders>
              <w:top w:val="nil"/>
              <w:left w:val="nil"/>
              <w:bottom w:val="single" w:sz="8" w:space="0" w:color="000000"/>
              <w:right w:val="single" w:sz="8" w:space="0" w:color="000000"/>
            </w:tcBorders>
            <w:vAlign w:val="center"/>
            <w:hideMark/>
          </w:tcPr>
          <w:p w14:paraId="5AB97F84"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0.016</w:t>
            </w:r>
          </w:p>
        </w:tc>
        <w:tc>
          <w:tcPr>
            <w:tcW w:w="567" w:type="dxa"/>
            <w:tcBorders>
              <w:top w:val="nil"/>
              <w:left w:val="nil"/>
              <w:bottom w:val="single" w:sz="8" w:space="0" w:color="000000"/>
              <w:right w:val="single" w:sz="8" w:space="0" w:color="000000"/>
            </w:tcBorders>
            <w:vAlign w:val="center"/>
            <w:hideMark/>
          </w:tcPr>
          <w:p w14:paraId="195DCA1D"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2.052</w:t>
            </w:r>
          </w:p>
        </w:tc>
        <w:tc>
          <w:tcPr>
            <w:tcW w:w="567" w:type="dxa"/>
            <w:tcBorders>
              <w:top w:val="nil"/>
              <w:left w:val="nil"/>
              <w:bottom w:val="single" w:sz="8" w:space="0" w:color="000000"/>
              <w:right w:val="single" w:sz="8" w:space="0" w:color="000000"/>
            </w:tcBorders>
            <w:vAlign w:val="center"/>
            <w:hideMark/>
          </w:tcPr>
          <w:p w14:paraId="3E1F883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5ABA4D7F"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r>
      <w:tr w:rsidR="008F69A9" w:rsidRPr="00705F6F" w14:paraId="04563634"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6D8B60A0"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Fiabilidad</w:t>
            </w:r>
          </w:p>
        </w:tc>
        <w:tc>
          <w:tcPr>
            <w:tcW w:w="1637" w:type="dxa"/>
            <w:tcBorders>
              <w:top w:val="nil"/>
              <w:left w:val="nil"/>
              <w:bottom w:val="single" w:sz="8" w:space="0" w:color="000000"/>
              <w:right w:val="single" w:sz="8" w:space="0" w:color="000000"/>
            </w:tcBorders>
            <w:vAlign w:val="center"/>
            <w:hideMark/>
          </w:tcPr>
          <w:p w14:paraId="1706C74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0.320</w:t>
            </w:r>
          </w:p>
        </w:tc>
        <w:tc>
          <w:tcPr>
            <w:tcW w:w="958" w:type="dxa"/>
            <w:tcBorders>
              <w:top w:val="nil"/>
              <w:left w:val="nil"/>
              <w:bottom w:val="single" w:sz="8" w:space="0" w:color="000000"/>
              <w:right w:val="single" w:sz="8" w:space="0" w:color="000000"/>
            </w:tcBorders>
            <w:vAlign w:val="center"/>
            <w:hideMark/>
          </w:tcPr>
          <w:p w14:paraId="7A187B1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3.485</w:t>
            </w:r>
          </w:p>
        </w:tc>
        <w:tc>
          <w:tcPr>
            <w:tcW w:w="1171" w:type="dxa"/>
            <w:tcBorders>
              <w:top w:val="nil"/>
              <w:left w:val="nil"/>
              <w:bottom w:val="single" w:sz="8" w:space="0" w:color="000000"/>
              <w:right w:val="single" w:sz="8" w:space="0" w:color="000000"/>
            </w:tcBorders>
            <w:vAlign w:val="center"/>
            <w:hideMark/>
          </w:tcPr>
          <w:p w14:paraId="1837CC79"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0.001</w:t>
            </w:r>
          </w:p>
        </w:tc>
        <w:tc>
          <w:tcPr>
            <w:tcW w:w="567" w:type="dxa"/>
            <w:tcBorders>
              <w:top w:val="nil"/>
              <w:left w:val="nil"/>
              <w:bottom w:val="single" w:sz="8" w:space="0" w:color="000000"/>
              <w:right w:val="single" w:sz="8" w:space="0" w:color="000000"/>
            </w:tcBorders>
            <w:vAlign w:val="center"/>
            <w:hideMark/>
          </w:tcPr>
          <w:p w14:paraId="2FABF5A1"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3.210</w:t>
            </w:r>
          </w:p>
        </w:tc>
        <w:tc>
          <w:tcPr>
            <w:tcW w:w="567" w:type="dxa"/>
            <w:tcBorders>
              <w:top w:val="nil"/>
              <w:left w:val="nil"/>
              <w:bottom w:val="single" w:sz="8" w:space="0" w:color="000000"/>
              <w:right w:val="single" w:sz="8" w:space="0" w:color="000000"/>
            </w:tcBorders>
            <w:vAlign w:val="center"/>
            <w:hideMark/>
          </w:tcPr>
          <w:p w14:paraId="72FAF9C0"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214C39E8"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r>
      <w:tr w:rsidR="008F69A9" w:rsidRPr="00705F6F" w14:paraId="3191F7DE"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7A6A0FDA"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Seguridad</w:t>
            </w:r>
          </w:p>
        </w:tc>
        <w:tc>
          <w:tcPr>
            <w:tcW w:w="1637" w:type="dxa"/>
            <w:tcBorders>
              <w:top w:val="nil"/>
              <w:left w:val="nil"/>
              <w:bottom w:val="single" w:sz="8" w:space="0" w:color="000000"/>
              <w:right w:val="single" w:sz="8" w:space="0" w:color="000000"/>
            </w:tcBorders>
            <w:vAlign w:val="center"/>
            <w:hideMark/>
          </w:tcPr>
          <w:p w14:paraId="51EF096B"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-0.189</w:t>
            </w:r>
          </w:p>
        </w:tc>
        <w:tc>
          <w:tcPr>
            <w:tcW w:w="958" w:type="dxa"/>
            <w:tcBorders>
              <w:top w:val="nil"/>
              <w:left w:val="nil"/>
              <w:bottom w:val="single" w:sz="8" w:space="0" w:color="000000"/>
              <w:right w:val="single" w:sz="8" w:space="0" w:color="000000"/>
            </w:tcBorders>
            <w:vAlign w:val="center"/>
            <w:hideMark/>
          </w:tcPr>
          <w:p w14:paraId="5A492503"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-2.310</w:t>
            </w:r>
          </w:p>
        </w:tc>
        <w:tc>
          <w:tcPr>
            <w:tcW w:w="1171" w:type="dxa"/>
            <w:tcBorders>
              <w:top w:val="nil"/>
              <w:left w:val="nil"/>
              <w:bottom w:val="single" w:sz="8" w:space="0" w:color="000000"/>
              <w:right w:val="single" w:sz="8" w:space="0" w:color="000000"/>
            </w:tcBorders>
            <w:vAlign w:val="center"/>
            <w:hideMark/>
          </w:tcPr>
          <w:p w14:paraId="431DC772"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0.023</w:t>
            </w:r>
          </w:p>
        </w:tc>
        <w:tc>
          <w:tcPr>
            <w:tcW w:w="567" w:type="dxa"/>
            <w:tcBorders>
              <w:top w:val="nil"/>
              <w:left w:val="nil"/>
              <w:bottom w:val="single" w:sz="8" w:space="0" w:color="000000"/>
              <w:right w:val="single" w:sz="8" w:space="0" w:color="000000"/>
            </w:tcBorders>
            <w:vAlign w:val="center"/>
            <w:hideMark/>
          </w:tcPr>
          <w:p w14:paraId="687934B5"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3.012</w:t>
            </w:r>
          </w:p>
        </w:tc>
        <w:tc>
          <w:tcPr>
            <w:tcW w:w="567" w:type="dxa"/>
            <w:tcBorders>
              <w:top w:val="nil"/>
              <w:left w:val="nil"/>
              <w:bottom w:val="single" w:sz="8" w:space="0" w:color="000000"/>
              <w:right w:val="single" w:sz="8" w:space="0" w:color="000000"/>
            </w:tcBorders>
            <w:vAlign w:val="center"/>
            <w:hideMark/>
          </w:tcPr>
          <w:p w14:paraId="0CE7EAD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3829AB00"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r>
      <w:tr w:rsidR="008F69A9" w:rsidRPr="00705F6F" w14:paraId="13D50EBB"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47DEC375"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Empatía</w:t>
            </w:r>
          </w:p>
        </w:tc>
        <w:tc>
          <w:tcPr>
            <w:tcW w:w="1637" w:type="dxa"/>
            <w:tcBorders>
              <w:top w:val="nil"/>
              <w:left w:val="nil"/>
              <w:bottom w:val="single" w:sz="8" w:space="0" w:color="000000"/>
              <w:right w:val="single" w:sz="8" w:space="0" w:color="000000"/>
            </w:tcBorders>
            <w:vAlign w:val="center"/>
            <w:hideMark/>
          </w:tcPr>
          <w:p w14:paraId="47FD481B"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0.615</w:t>
            </w:r>
          </w:p>
        </w:tc>
        <w:tc>
          <w:tcPr>
            <w:tcW w:w="958" w:type="dxa"/>
            <w:tcBorders>
              <w:top w:val="nil"/>
              <w:left w:val="nil"/>
              <w:bottom w:val="single" w:sz="8" w:space="0" w:color="000000"/>
              <w:right w:val="single" w:sz="8" w:space="0" w:color="000000"/>
            </w:tcBorders>
            <w:vAlign w:val="center"/>
            <w:hideMark/>
          </w:tcPr>
          <w:p w14:paraId="5AC3FD29"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8.214</w:t>
            </w:r>
          </w:p>
        </w:tc>
        <w:tc>
          <w:tcPr>
            <w:tcW w:w="1171" w:type="dxa"/>
            <w:tcBorders>
              <w:top w:val="nil"/>
              <w:left w:val="nil"/>
              <w:bottom w:val="single" w:sz="8" w:space="0" w:color="000000"/>
              <w:right w:val="single" w:sz="8" w:space="0" w:color="000000"/>
            </w:tcBorders>
            <w:vAlign w:val="center"/>
            <w:hideMark/>
          </w:tcPr>
          <w:p w14:paraId="2BD4076E"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0.000</w:t>
            </w:r>
          </w:p>
        </w:tc>
        <w:tc>
          <w:tcPr>
            <w:tcW w:w="567" w:type="dxa"/>
            <w:tcBorders>
              <w:top w:val="nil"/>
              <w:left w:val="nil"/>
              <w:bottom w:val="single" w:sz="8" w:space="0" w:color="000000"/>
              <w:right w:val="single" w:sz="8" w:space="0" w:color="000000"/>
            </w:tcBorders>
            <w:vAlign w:val="center"/>
            <w:hideMark/>
          </w:tcPr>
          <w:p w14:paraId="002DD245"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2.450</w:t>
            </w:r>
          </w:p>
        </w:tc>
        <w:tc>
          <w:tcPr>
            <w:tcW w:w="567" w:type="dxa"/>
            <w:tcBorders>
              <w:top w:val="nil"/>
              <w:left w:val="nil"/>
              <w:bottom w:val="single" w:sz="8" w:space="0" w:color="000000"/>
              <w:right w:val="single" w:sz="8" w:space="0" w:color="000000"/>
            </w:tcBorders>
            <w:vAlign w:val="center"/>
            <w:hideMark/>
          </w:tcPr>
          <w:p w14:paraId="78E8433B"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0168280C"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r>
      <w:tr w:rsidR="008F69A9" w:rsidRPr="00705F6F" w14:paraId="323ADD5F" w14:textId="77777777" w:rsidTr="00705F6F">
        <w:trPr>
          <w:trHeight w:val="300"/>
        </w:trPr>
        <w:tc>
          <w:tcPr>
            <w:tcW w:w="1469" w:type="dxa"/>
            <w:tcBorders>
              <w:top w:val="nil"/>
              <w:left w:val="single" w:sz="8" w:space="0" w:color="000000"/>
              <w:bottom w:val="single" w:sz="8" w:space="0" w:color="000000"/>
              <w:right w:val="single" w:sz="8" w:space="0" w:color="000000"/>
            </w:tcBorders>
            <w:vAlign w:val="center"/>
            <w:hideMark/>
          </w:tcPr>
          <w:p w14:paraId="6FA2E284"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1637" w:type="dxa"/>
            <w:tcBorders>
              <w:top w:val="nil"/>
              <w:left w:val="nil"/>
              <w:bottom w:val="single" w:sz="8" w:space="0" w:color="000000"/>
              <w:right w:val="single" w:sz="8" w:space="0" w:color="000000"/>
            </w:tcBorders>
            <w:vAlign w:val="center"/>
            <w:hideMark/>
          </w:tcPr>
          <w:p w14:paraId="56D8CB57"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958" w:type="dxa"/>
            <w:tcBorders>
              <w:top w:val="nil"/>
              <w:left w:val="nil"/>
              <w:bottom w:val="single" w:sz="8" w:space="0" w:color="000000"/>
              <w:right w:val="single" w:sz="8" w:space="0" w:color="000000"/>
            </w:tcBorders>
            <w:vAlign w:val="center"/>
            <w:hideMark/>
          </w:tcPr>
          <w:p w14:paraId="55FDA1B2"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1171" w:type="dxa"/>
            <w:tcBorders>
              <w:top w:val="nil"/>
              <w:left w:val="nil"/>
              <w:bottom w:val="single" w:sz="8" w:space="0" w:color="000000"/>
              <w:right w:val="single" w:sz="8" w:space="0" w:color="000000"/>
            </w:tcBorders>
            <w:vAlign w:val="center"/>
            <w:hideMark/>
          </w:tcPr>
          <w:p w14:paraId="7E310260"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39351F7A"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 </w:t>
            </w:r>
          </w:p>
        </w:tc>
        <w:tc>
          <w:tcPr>
            <w:tcW w:w="567" w:type="dxa"/>
            <w:tcBorders>
              <w:top w:val="nil"/>
              <w:left w:val="nil"/>
              <w:bottom w:val="single" w:sz="8" w:space="0" w:color="000000"/>
              <w:right w:val="single" w:sz="8" w:space="0" w:color="000000"/>
            </w:tcBorders>
            <w:vAlign w:val="center"/>
            <w:hideMark/>
          </w:tcPr>
          <w:p w14:paraId="460555E0"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98.12</w:t>
            </w:r>
          </w:p>
        </w:tc>
        <w:tc>
          <w:tcPr>
            <w:tcW w:w="567" w:type="dxa"/>
            <w:tcBorders>
              <w:top w:val="nil"/>
              <w:left w:val="nil"/>
              <w:bottom w:val="single" w:sz="8" w:space="0" w:color="000000"/>
              <w:right w:val="single" w:sz="8" w:space="0" w:color="000000"/>
            </w:tcBorders>
            <w:vAlign w:val="center"/>
            <w:hideMark/>
          </w:tcPr>
          <w:p w14:paraId="55BC41F3" w14:textId="77777777" w:rsidR="008F69A9" w:rsidRPr="00705F6F" w:rsidRDefault="008F69A9" w:rsidP="008F69A9">
            <w:pPr>
              <w:spacing w:before="0" w:after="0" w:line="240" w:lineRule="auto"/>
              <w:jc w:val="left"/>
              <w:rPr>
                <w:rFonts w:ascii="Arial Narrow" w:eastAsia="Times New Roman" w:hAnsi="Arial Narrow" w:cs="Arial"/>
                <w:color w:val="1F1F1F"/>
                <w:spacing w:val="0"/>
                <w:sz w:val="18"/>
                <w:szCs w:val="18"/>
                <w:lang w:val="es-EC" w:eastAsia="es-EC"/>
                <w14:numForm w14:val="default"/>
              </w:rPr>
            </w:pPr>
            <w:r w:rsidRPr="00705F6F">
              <w:rPr>
                <w:rFonts w:ascii="Arial Narrow" w:eastAsia="Times New Roman" w:hAnsi="Arial Narrow" w:cs="Arial"/>
                <w:color w:val="1F1F1F"/>
                <w:spacing w:val="0"/>
                <w:sz w:val="18"/>
                <w:szCs w:val="18"/>
                <w:lang w:val="es-EC" w:eastAsia="es-EC"/>
                <w14:numForm w14:val="default"/>
              </w:rPr>
              <w:t>0.714</w:t>
            </w:r>
          </w:p>
        </w:tc>
      </w:tr>
    </w:tbl>
    <w:p w14:paraId="231C348B" w14:textId="53CDBC50" w:rsidR="004F1FBC" w:rsidRPr="00E457AC" w:rsidRDefault="008F69A9" w:rsidP="008A5C25">
      <w:pPr>
        <w:rPr>
          <w:sz w:val="22"/>
        </w:rPr>
      </w:pPr>
      <w:r w:rsidRPr="00E457AC">
        <w:rPr>
          <w:b/>
          <w:bCs/>
          <w:sz w:val="22"/>
        </w:rPr>
        <w:t>Fuente:</w:t>
      </w:r>
      <w:r w:rsidRPr="00E457AC">
        <w:rPr>
          <w:sz w:val="22"/>
        </w:rPr>
        <w:t xml:space="preserve"> Elaboración propia.</w:t>
      </w:r>
    </w:p>
    <w:p w14:paraId="740C7DA7" w14:textId="41541D09" w:rsidR="00CE0F4B" w:rsidRPr="000C3B8F" w:rsidRDefault="00CE0F4B" w:rsidP="008F69A9">
      <w:pPr>
        <w:pStyle w:val="Ttulo1"/>
        <w:numPr>
          <w:ilvl w:val="0"/>
          <w:numId w:val="45"/>
        </w:numPr>
        <w:rPr>
          <w:b/>
          <w:bCs/>
        </w:rPr>
      </w:pPr>
      <w:r w:rsidRPr="000C3B8F">
        <w:rPr>
          <w:b/>
          <w:bCs/>
        </w:rPr>
        <w:t>discusión</w:t>
      </w:r>
    </w:p>
    <w:p w14:paraId="1A86D2DD" w14:textId="2F566FF0" w:rsidR="008F69A9" w:rsidRPr="00806136" w:rsidRDefault="0053543A" w:rsidP="008F69A9">
      <w:pPr>
        <w:rPr>
          <w:rFonts w:eastAsiaTheme="minorEastAsia" w:cs="Times New Roman"/>
          <w:sz w:val="22"/>
        </w:rPr>
      </w:pPr>
      <w:r w:rsidRPr="00806136">
        <w:rPr>
          <w:rFonts w:cs="Times New Roman"/>
          <w:sz w:val="22"/>
        </w:rPr>
        <w:t xml:space="preserve">El análisis multivariado </w:t>
      </w:r>
      <w:r w:rsidR="009F26AF" w:rsidRPr="00806136">
        <w:rPr>
          <w:rFonts w:cs="Times New Roman"/>
          <w:sz w:val="22"/>
        </w:rPr>
        <w:t xml:space="preserve">ejecutado en el presente estudio aportó de forma empírica un sólido respaldo respecto </w:t>
      </w:r>
      <w:r w:rsidR="001341DF" w:rsidRPr="00806136">
        <w:rPr>
          <w:rFonts w:cs="Times New Roman"/>
          <w:sz w:val="22"/>
        </w:rPr>
        <w:t>a la importancia que poseen las dimensiones de la calidad de atención sobre la satisfacción del paciente con diagn</w:t>
      </w:r>
      <w:r w:rsidR="006B0FEF">
        <w:rPr>
          <w:rFonts w:cs="Times New Roman"/>
          <w:sz w:val="22"/>
        </w:rPr>
        <w:t>ó</w:t>
      </w:r>
      <w:r w:rsidR="001341DF" w:rsidRPr="00806136">
        <w:rPr>
          <w:rFonts w:cs="Times New Roman"/>
          <w:sz w:val="22"/>
        </w:rPr>
        <w:t>stico m</w:t>
      </w:r>
      <w:r w:rsidR="006B0FEF">
        <w:rPr>
          <w:rFonts w:cs="Times New Roman"/>
          <w:sz w:val="22"/>
        </w:rPr>
        <w:t>é</w:t>
      </w:r>
      <w:r w:rsidR="001341DF" w:rsidRPr="00806136">
        <w:rPr>
          <w:rFonts w:cs="Times New Roman"/>
          <w:sz w:val="22"/>
        </w:rPr>
        <w:t xml:space="preserve">dico de enfermedad renal crónica sometido a tratamiento de hemodiálisis convencional en programación trisemanal. El principal hallazgo evidenció que las variables independientes del modelo SERVQUAL logran explicar el 71.4% de la variabilidad observada en el nivel de satisfacción del usuario </w:t>
      </w:r>
      <m:oMath>
        <m:sSup>
          <m:sSupPr>
            <m:ctrlPr>
              <w:rPr>
                <w:rFonts w:ascii="Cambria Math" w:hAnsi="Cambria Math" w:cs="Times New Roman"/>
                <w:sz w:val="22"/>
              </w:rPr>
            </m:ctrlPr>
          </m:sSupPr>
          <m:e>
            <m:r>
              <w:rPr>
                <w:rFonts w:ascii="Cambria Math" w:hAnsi="Cambria Math" w:cs="Times New Roman"/>
                <w:sz w:val="22"/>
              </w:rPr>
              <m:t>(R</m:t>
            </m:r>
          </m:e>
          <m:sup>
            <m:r>
              <w:rPr>
                <w:rFonts w:ascii="Cambria Math" w:hAnsi="Cambria Math" w:cs="Times New Roman"/>
                <w:sz w:val="22"/>
              </w:rPr>
              <m:t>2</m:t>
            </m:r>
          </m:sup>
        </m:sSup>
        <m:r>
          <w:rPr>
            <w:rFonts w:ascii="Cambria Math" w:hAnsi="Cambria Math" w:cs="Times New Roman"/>
            <w:sz w:val="22"/>
          </w:rPr>
          <m:t>=0.714, F=78.45</m:t>
        </m:r>
      </m:oMath>
      <w:r w:rsidR="001341DF" w:rsidRPr="00806136">
        <w:rPr>
          <w:rFonts w:eastAsiaTheme="minorEastAsia" w:cs="Times New Roman"/>
          <w:sz w:val="22"/>
        </w:rPr>
        <w:t>)</w:t>
      </w:r>
      <w:r w:rsidR="00387467" w:rsidRPr="00806136">
        <w:rPr>
          <w:rFonts w:eastAsiaTheme="minorEastAsia" w:cs="Times New Roman"/>
          <w:sz w:val="22"/>
        </w:rPr>
        <w:t xml:space="preserve">. Este resultado se relaciona </w:t>
      </w:r>
      <w:r w:rsidR="00387467" w:rsidRPr="00806136">
        <w:rPr>
          <w:rFonts w:eastAsiaTheme="minorEastAsia" w:cs="Times New Roman"/>
          <w:sz w:val="22"/>
        </w:rPr>
        <w:lastRenderedPageBreak/>
        <w:t xml:space="preserve">de manera metodológica con la investigación de </w:t>
      </w:r>
      <w:proofErr w:type="spellStart"/>
      <w:r w:rsidR="00387467" w:rsidRPr="00806136">
        <w:rPr>
          <w:rFonts w:eastAsiaTheme="minorEastAsia" w:cs="Times New Roman"/>
          <w:sz w:val="22"/>
        </w:rPr>
        <w:t>De</w:t>
      </w:r>
      <w:proofErr w:type="spellEnd"/>
      <w:r w:rsidR="00387467" w:rsidRPr="00806136">
        <w:rPr>
          <w:rFonts w:eastAsiaTheme="minorEastAsia" w:cs="Times New Roman"/>
          <w:sz w:val="22"/>
        </w:rPr>
        <w:t xml:space="preserve"> la Garza-Carranza </w:t>
      </w:r>
      <w:proofErr w:type="gramStart"/>
      <w:r w:rsidR="00387467" w:rsidRPr="00806136">
        <w:rPr>
          <w:rFonts w:eastAsiaTheme="minorEastAsia" w:cs="Times New Roman"/>
          <w:sz w:val="22"/>
        </w:rPr>
        <w:t>et al.</w:t>
      </w:r>
      <w:r w:rsidR="00235A40" w:rsidRPr="00806136">
        <w:rPr>
          <w:rFonts w:eastAsiaTheme="minorEastAsia" w:cs="Times New Roman"/>
          <w:sz w:val="22"/>
        </w:rPr>
        <w:t>(</w:t>
      </w:r>
      <w:proofErr w:type="gramEnd"/>
      <w:r w:rsidR="00235A40" w:rsidRPr="00806136">
        <w:rPr>
          <w:rFonts w:eastAsiaTheme="minorEastAsia" w:cs="Times New Roman"/>
          <w:sz w:val="22"/>
        </w:rPr>
        <w:t>2024)</w:t>
      </w:r>
      <w:r w:rsidR="00387467" w:rsidRPr="00806136">
        <w:rPr>
          <w:rFonts w:eastAsiaTheme="minorEastAsia" w:cs="Times New Roman"/>
          <w:sz w:val="22"/>
        </w:rPr>
        <w:t>,</w:t>
      </w:r>
      <w:r w:rsidR="00387467" w:rsidRPr="00806136">
        <w:rPr>
          <w:rFonts w:eastAsiaTheme="minorEastAsia" w:cs="Times New Roman"/>
          <w:i/>
          <w:iCs/>
          <w:sz w:val="22"/>
        </w:rPr>
        <w:t xml:space="preserve"> </w:t>
      </w:r>
      <w:r w:rsidR="00387467" w:rsidRPr="00806136">
        <w:rPr>
          <w:rFonts w:eastAsiaTheme="minorEastAsia" w:cs="Times New Roman"/>
          <w:sz w:val="22"/>
        </w:rPr>
        <w:t>quiene</w:t>
      </w:r>
      <w:r w:rsidR="0065663E" w:rsidRPr="00806136">
        <w:rPr>
          <w:rFonts w:eastAsiaTheme="minorEastAsia" w:cs="Times New Roman"/>
          <w:sz w:val="22"/>
        </w:rPr>
        <w:t xml:space="preserve">s emplearon el abordaje lineal </w:t>
      </w:r>
      <w:r w:rsidR="00705F6F" w:rsidRPr="00806136">
        <w:rPr>
          <w:rFonts w:eastAsiaTheme="minorEastAsia" w:cs="Times New Roman"/>
          <w:sz w:val="22"/>
        </w:rPr>
        <w:t>múltiple</w:t>
      </w:r>
      <w:r w:rsidR="0065663E" w:rsidRPr="00806136">
        <w:rPr>
          <w:rFonts w:eastAsiaTheme="minorEastAsia" w:cs="Times New Roman"/>
          <w:sz w:val="22"/>
        </w:rPr>
        <w:t xml:space="preserve"> para validar la vigencia y el elevado poder de discriminación psicométrica para evaluar los entornos sanitarios de la red </w:t>
      </w:r>
      <w:r w:rsidR="00705F6F" w:rsidRPr="00806136">
        <w:rPr>
          <w:rFonts w:eastAsiaTheme="minorEastAsia" w:cs="Times New Roman"/>
          <w:sz w:val="22"/>
        </w:rPr>
        <w:t>pública</w:t>
      </w:r>
      <w:r w:rsidR="0065663E" w:rsidRPr="00806136">
        <w:rPr>
          <w:rFonts w:eastAsiaTheme="minorEastAsia" w:cs="Times New Roman"/>
          <w:sz w:val="22"/>
        </w:rPr>
        <w:t xml:space="preserve">. </w:t>
      </w:r>
      <w:r w:rsidR="004E02E1" w:rsidRPr="00806136">
        <w:rPr>
          <w:rFonts w:eastAsiaTheme="minorEastAsia" w:cs="Times New Roman"/>
          <w:sz w:val="22"/>
        </w:rPr>
        <w:t>La importancia predictiva del modelo converge con los hallazgos de Sáez Pulgar et al. (</w:t>
      </w:r>
      <w:r w:rsidR="00235A40" w:rsidRPr="00806136">
        <w:rPr>
          <w:rFonts w:eastAsiaTheme="minorEastAsia" w:cs="Times New Roman"/>
          <w:sz w:val="22"/>
        </w:rPr>
        <w:t>2025</w:t>
      </w:r>
      <w:r w:rsidR="004E02E1" w:rsidRPr="00806136">
        <w:rPr>
          <w:rFonts w:eastAsiaTheme="minorEastAsia" w:cs="Times New Roman"/>
          <w:sz w:val="22"/>
        </w:rPr>
        <w:t>) y Huaman-</w:t>
      </w:r>
      <w:proofErr w:type="spellStart"/>
      <w:r w:rsidR="004E02E1" w:rsidRPr="00806136">
        <w:rPr>
          <w:rFonts w:eastAsiaTheme="minorEastAsia" w:cs="Times New Roman"/>
          <w:sz w:val="22"/>
        </w:rPr>
        <w:t>Carhuas</w:t>
      </w:r>
      <w:proofErr w:type="spellEnd"/>
      <w:r w:rsidR="004E02E1" w:rsidRPr="00806136">
        <w:rPr>
          <w:rFonts w:eastAsiaTheme="minorEastAsia" w:cs="Times New Roman"/>
          <w:sz w:val="22"/>
        </w:rPr>
        <w:t xml:space="preserve"> et al.</w:t>
      </w:r>
      <w:r w:rsidR="00D26191" w:rsidRPr="00806136">
        <w:rPr>
          <w:rFonts w:eastAsiaTheme="minorEastAsia" w:cs="Times New Roman"/>
          <w:sz w:val="22"/>
        </w:rPr>
        <w:t xml:space="preserve"> (2023)</w:t>
      </w:r>
      <w:r w:rsidR="004E02E1" w:rsidRPr="00806136">
        <w:rPr>
          <w:rFonts w:eastAsiaTheme="minorEastAsia" w:cs="Times New Roman"/>
          <w:i/>
          <w:iCs/>
          <w:sz w:val="22"/>
        </w:rPr>
        <w:t xml:space="preserve"> </w:t>
      </w:r>
      <w:r w:rsidR="004E24ED" w:rsidRPr="00806136">
        <w:rPr>
          <w:rFonts w:eastAsiaTheme="minorEastAsia" w:cs="Times New Roman"/>
          <w:sz w:val="22"/>
        </w:rPr>
        <w:t>Que señalan que la evaluación e</w:t>
      </w:r>
      <w:r w:rsidR="00C63E65" w:rsidRPr="00806136">
        <w:rPr>
          <w:rFonts w:eastAsiaTheme="minorEastAsia" w:cs="Times New Roman"/>
          <w:sz w:val="22"/>
        </w:rPr>
        <w:t>s</w:t>
      </w:r>
      <w:r w:rsidR="004E24ED" w:rsidRPr="00806136">
        <w:rPr>
          <w:rFonts w:eastAsiaTheme="minorEastAsia" w:cs="Times New Roman"/>
          <w:sz w:val="22"/>
        </w:rPr>
        <w:t>tructurada de la percepción de la calidad constituye un predictor de suma importancia para diseñar estrategias de mejora continua dentro de unidades que brindan apoyo de sustitución renal.</w:t>
      </w:r>
    </w:p>
    <w:p w14:paraId="6522F366" w14:textId="3F130FFB" w:rsidR="000F6A1B" w:rsidRPr="00806136" w:rsidRDefault="00011CF1" w:rsidP="008F69A9">
      <w:pPr>
        <w:rPr>
          <w:rFonts w:cs="Times New Roman"/>
          <w:sz w:val="22"/>
        </w:rPr>
      </w:pPr>
      <w:r w:rsidRPr="00806136">
        <w:rPr>
          <w:rFonts w:eastAsiaTheme="minorEastAsia" w:cs="Times New Roman"/>
          <w:sz w:val="22"/>
        </w:rPr>
        <w:t xml:space="preserve">Al análisis de la dimensión perteneciente a la empatía se </w:t>
      </w:r>
      <w:r w:rsidR="009651FB" w:rsidRPr="00806136">
        <w:rPr>
          <w:rFonts w:eastAsiaTheme="minorEastAsia" w:cs="Times New Roman"/>
          <w:sz w:val="22"/>
        </w:rPr>
        <w:t>consolidó</w:t>
      </w:r>
      <w:r w:rsidRPr="00806136">
        <w:rPr>
          <w:rFonts w:eastAsiaTheme="minorEastAsia" w:cs="Times New Roman"/>
          <w:sz w:val="22"/>
        </w:rPr>
        <w:t xml:space="preserve"> como el factor con mayor peso predictivo y significancia estadística dentro del modelo general </w:t>
      </w:r>
      <w:r w:rsidR="004F4F30" w:rsidRPr="00806136">
        <w:rPr>
          <w:rFonts w:cs="Times New Roman"/>
          <w:sz w:val="22"/>
        </w:rPr>
        <w:t>β</w:t>
      </w:r>
      <w:r w:rsidR="004F4F30" w:rsidRPr="00806136">
        <w:rPr>
          <w:rFonts w:cs="Times New Roman"/>
          <w:sz w:val="22"/>
          <w:lang w:val="es-EC"/>
        </w:rPr>
        <w:t>= 0.</w:t>
      </w:r>
      <w:r w:rsidR="00BB2D1C">
        <w:rPr>
          <w:rFonts w:cs="Times New Roman"/>
          <w:sz w:val="22"/>
          <w:lang w:val="es-EC"/>
        </w:rPr>
        <w:t>615</w:t>
      </w:r>
      <w:r w:rsidR="004F4F30" w:rsidRPr="00806136">
        <w:rPr>
          <w:rFonts w:cs="Times New Roman"/>
          <w:sz w:val="22"/>
          <w:lang w:val="es-EC"/>
        </w:rPr>
        <w:t>, significancia de t = 0.000</w:t>
      </w:r>
      <w:r w:rsidR="000F6A1B" w:rsidRPr="00806136">
        <w:rPr>
          <w:rFonts w:cs="Times New Roman"/>
          <w:sz w:val="22"/>
          <w:lang w:val="es-EC"/>
        </w:rPr>
        <w:t xml:space="preserve">. Este comportamiento matemático brinda el fundamento empírico que explica por qué el 83% de los usuarios percibieron la </w:t>
      </w:r>
      <w:r w:rsidR="00C63E65" w:rsidRPr="00806136">
        <w:rPr>
          <w:rFonts w:cs="Times New Roman"/>
          <w:sz w:val="22"/>
          <w:lang w:val="es-EC"/>
        </w:rPr>
        <w:t>calidad de atención como buena</w:t>
      </w:r>
      <w:r w:rsidR="00253EC2" w:rsidRPr="00806136">
        <w:rPr>
          <w:rFonts w:cs="Times New Roman"/>
          <w:sz w:val="22"/>
          <w:lang w:val="es-EC"/>
        </w:rPr>
        <w:t xml:space="preserve">, haciendo énfasis en el trato digno y humanizado recibido. Esto coincide con </w:t>
      </w:r>
      <w:r w:rsidR="00BB150B" w:rsidRPr="00806136">
        <w:rPr>
          <w:rFonts w:cs="Times New Roman"/>
          <w:sz w:val="22"/>
        </w:rPr>
        <w:t>León Revelo et al.</w:t>
      </w:r>
      <w:r w:rsidR="00D26191" w:rsidRPr="00806136">
        <w:rPr>
          <w:rFonts w:cs="Times New Roman"/>
          <w:sz w:val="22"/>
        </w:rPr>
        <w:t xml:space="preserve"> (2024)</w:t>
      </w:r>
      <w:r w:rsidR="00BB150B" w:rsidRPr="00806136">
        <w:rPr>
          <w:rFonts w:cs="Times New Roman"/>
          <w:sz w:val="22"/>
        </w:rPr>
        <w:t xml:space="preserve"> y Contreras-Martos </w:t>
      </w:r>
      <w:proofErr w:type="gramStart"/>
      <w:r w:rsidR="00BB150B" w:rsidRPr="00806136">
        <w:rPr>
          <w:rFonts w:cs="Times New Roman"/>
          <w:sz w:val="22"/>
        </w:rPr>
        <w:t>et al.</w:t>
      </w:r>
      <w:r w:rsidR="008E0832" w:rsidRPr="00806136">
        <w:rPr>
          <w:rFonts w:cs="Times New Roman"/>
          <w:sz w:val="22"/>
        </w:rPr>
        <w:t>(</w:t>
      </w:r>
      <w:proofErr w:type="gramEnd"/>
      <w:r w:rsidR="008E0832" w:rsidRPr="00806136">
        <w:rPr>
          <w:rFonts w:cs="Times New Roman"/>
          <w:sz w:val="22"/>
        </w:rPr>
        <w:t>2023)</w:t>
      </w:r>
      <w:r w:rsidR="008E0832" w:rsidRPr="00806136">
        <w:rPr>
          <w:rFonts w:cs="Times New Roman"/>
          <w:i/>
          <w:iCs/>
          <w:sz w:val="22"/>
        </w:rPr>
        <w:t xml:space="preserve"> </w:t>
      </w:r>
      <w:r w:rsidR="00BB150B" w:rsidRPr="00806136">
        <w:rPr>
          <w:rFonts w:cs="Times New Roman"/>
          <w:sz w:val="22"/>
        </w:rPr>
        <w:t xml:space="preserve">quienes sostienen </w:t>
      </w:r>
      <w:r w:rsidR="008E0832" w:rsidRPr="00806136">
        <w:rPr>
          <w:rFonts w:cs="Times New Roman"/>
          <w:sz w:val="22"/>
        </w:rPr>
        <w:t>que,</w:t>
      </w:r>
      <w:r w:rsidR="00BB150B" w:rsidRPr="00806136">
        <w:rPr>
          <w:rFonts w:cs="Times New Roman"/>
          <w:sz w:val="22"/>
        </w:rPr>
        <w:t xml:space="preserve"> debido a la cronicidad del paciente, éste no solo </w:t>
      </w:r>
      <w:r w:rsidR="008E0832" w:rsidRPr="00806136">
        <w:rPr>
          <w:rFonts w:cs="Times New Roman"/>
          <w:sz w:val="22"/>
        </w:rPr>
        <w:t>evalúa</w:t>
      </w:r>
      <w:r w:rsidR="00BB150B" w:rsidRPr="00806136">
        <w:rPr>
          <w:rFonts w:cs="Times New Roman"/>
          <w:sz w:val="22"/>
        </w:rPr>
        <w:t xml:space="preserve"> el soporte instrumental o técnico, sino que prioriza la escucha actica, contención emocional y la personalización de las intervenciones del profesional enfermero</w:t>
      </w:r>
      <w:r w:rsidR="0058195E" w:rsidRPr="00806136">
        <w:rPr>
          <w:rFonts w:cs="Times New Roman"/>
          <w:sz w:val="22"/>
        </w:rPr>
        <w:t xml:space="preserve">. </w:t>
      </w:r>
    </w:p>
    <w:p w14:paraId="7C536420" w14:textId="7F03DD69" w:rsidR="0047658B" w:rsidRPr="00806136" w:rsidRDefault="0047658B" w:rsidP="008F69A9">
      <w:pPr>
        <w:rPr>
          <w:rFonts w:cs="Times New Roman"/>
          <w:sz w:val="22"/>
        </w:rPr>
      </w:pPr>
      <w:r w:rsidRPr="00806136">
        <w:rPr>
          <w:rFonts w:cs="Times New Roman"/>
          <w:sz w:val="22"/>
        </w:rPr>
        <w:t xml:space="preserve">La importancia de la calidez en el trato </w:t>
      </w:r>
      <w:r w:rsidR="00A27C2B" w:rsidRPr="00806136">
        <w:rPr>
          <w:rFonts w:cs="Times New Roman"/>
          <w:sz w:val="22"/>
        </w:rPr>
        <w:t xml:space="preserve">y el respeto </w:t>
      </w:r>
      <w:r w:rsidR="005648A8" w:rsidRPr="00806136">
        <w:rPr>
          <w:rFonts w:cs="Times New Roman"/>
          <w:sz w:val="22"/>
        </w:rPr>
        <w:t xml:space="preserve">a los usuarios como determinantes de una experiencia terapéutica exitosa ha sido subrayada en la literatura actúa. Es así </w:t>
      </w:r>
      <w:r w:rsidR="00E457AC" w:rsidRPr="00806136">
        <w:rPr>
          <w:rFonts w:cs="Times New Roman"/>
          <w:sz w:val="22"/>
        </w:rPr>
        <w:t>como</w:t>
      </w:r>
      <w:r w:rsidR="005648A8" w:rsidRPr="00806136">
        <w:rPr>
          <w:rFonts w:cs="Times New Roman"/>
          <w:sz w:val="22"/>
        </w:rPr>
        <w:t xml:space="preserve">, </w:t>
      </w:r>
      <w:r w:rsidR="0094619E" w:rsidRPr="00806136">
        <w:rPr>
          <w:rFonts w:cs="Times New Roman"/>
          <w:sz w:val="22"/>
        </w:rPr>
        <w:t xml:space="preserve">González et al. (2024) y Rivas Amable et al. (2025) relacionan estos factores con una percepción favorable del entorno clínico, mientras que </w:t>
      </w:r>
      <w:r w:rsidR="002C0463" w:rsidRPr="00806136">
        <w:rPr>
          <w:rFonts w:cs="Times New Roman"/>
          <w:sz w:val="22"/>
        </w:rPr>
        <w:t xml:space="preserve">Istrate et al. (2025) destacan cómo la relación enfermera- paciente disminuye la ansiedad en la sala. En el mismo sentido, estudios asociados a la vulnerabilidad, como los publicados por </w:t>
      </w:r>
      <w:r w:rsidR="002D63EF" w:rsidRPr="00806136">
        <w:rPr>
          <w:rFonts w:cs="Times New Roman"/>
          <w:sz w:val="22"/>
        </w:rPr>
        <w:t xml:space="preserve">Fernández de </w:t>
      </w:r>
      <w:proofErr w:type="gramStart"/>
      <w:r w:rsidR="002D63EF" w:rsidRPr="003012F9">
        <w:rPr>
          <w:rFonts w:cs="Times New Roman"/>
          <w:sz w:val="22"/>
        </w:rPr>
        <w:t>Alemán</w:t>
      </w:r>
      <w:proofErr w:type="gramEnd"/>
      <w:r w:rsidR="002D63EF" w:rsidRPr="003012F9">
        <w:rPr>
          <w:rFonts w:cs="Times New Roman"/>
          <w:sz w:val="22"/>
        </w:rPr>
        <w:t xml:space="preserve"> (2024)</w:t>
      </w:r>
      <w:r w:rsidR="002D63EF" w:rsidRPr="00806136">
        <w:rPr>
          <w:rFonts w:cs="Times New Roman"/>
          <w:sz w:val="22"/>
        </w:rPr>
        <w:t xml:space="preserve"> y Vivas y Alvarado (2025) realizan énfasis en que el cuidado humanizado </w:t>
      </w:r>
      <w:proofErr w:type="spellStart"/>
      <w:r w:rsidR="002D63EF" w:rsidRPr="00806136">
        <w:rPr>
          <w:rFonts w:cs="Times New Roman"/>
          <w:sz w:val="22"/>
        </w:rPr>
        <w:t>transcomplejo</w:t>
      </w:r>
      <w:proofErr w:type="spellEnd"/>
      <w:r w:rsidR="002D63EF" w:rsidRPr="00806136">
        <w:rPr>
          <w:rFonts w:cs="Times New Roman"/>
          <w:sz w:val="22"/>
        </w:rPr>
        <w:t xml:space="preserve"> es una necesidad vital en el adulto mayor, sector </w:t>
      </w:r>
      <w:r w:rsidR="008A6065" w:rsidRPr="00806136">
        <w:rPr>
          <w:rFonts w:cs="Times New Roman"/>
          <w:sz w:val="22"/>
        </w:rPr>
        <w:t xml:space="preserve">en el que la </w:t>
      </w:r>
      <w:r w:rsidR="00FB439B" w:rsidRPr="00806136">
        <w:rPr>
          <w:rFonts w:cs="Times New Roman"/>
          <w:sz w:val="22"/>
        </w:rPr>
        <w:t>dimensión</w:t>
      </w:r>
      <w:r w:rsidR="008A6065" w:rsidRPr="00806136">
        <w:rPr>
          <w:rFonts w:cs="Times New Roman"/>
          <w:sz w:val="22"/>
        </w:rPr>
        <w:t xml:space="preserve"> de la empatía actúa como engran</w:t>
      </w:r>
      <w:r w:rsidR="00FB439B" w:rsidRPr="00806136">
        <w:rPr>
          <w:rFonts w:cs="Times New Roman"/>
          <w:sz w:val="22"/>
        </w:rPr>
        <w:t>a</w:t>
      </w:r>
      <w:r w:rsidR="008A6065" w:rsidRPr="00806136">
        <w:rPr>
          <w:rFonts w:cs="Times New Roman"/>
          <w:sz w:val="22"/>
        </w:rPr>
        <w:t xml:space="preserve">je </w:t>
      </w:r>
      <w:r w:rsidR="00FB439B" w:rsidRPr="00806136">
        <w:rPr>
          <w:rFonts w:cs="Times New Roman"/>
          <w:sz w:val="22"/>
        </w:rPr>
        <w:t>biopsicosocial propio de la enfermedad renal crónica.</w:t>
      </w:r>
    </w:p>
    <w:p w14:paraId="7110D30B" w14:textId="7774EB32" w:rsidR="008D2A7D" w:rsidRPr="00806136" w:rsidRDefault="00724B85" w:rsidP="008F69A9">
      <w:pPr>
        <w:rPr>
          <w:rFonts w:cs="Times New Roman"/>
          <w:sz w:val="22"/>
        </w:rPr>
      </w:pPr>
      <w:r w:rsidRPr="00806136">
        <w:rPr>
          <w:rFonts w:cs="Times New Roman"/>
          <w:sz w:val="22"/>
        </w:rPr>
        <w:t xml:space="preserve">La variable de fiabilidad se posicionó como el segundo predictor positivo de mayor relevancia en el sistema </w:t>
      </w:r>
      <w:r w:rsidRPr="00806136">
        <w:rPr>
          <w:rFonts w:cs="Times New Roman"/>
          <w:sz w:val="22"/>
          <w:lang w:val="es-EC"/>
        </w:rPr>
        <w:t xml:space="preserve">fiabilidad </w:t>
      </w:r>
      <w:r w:rsidRPr="00806136">
        <w:rPr>
          <w:rFonts w:cs="Times New Roman"/>
          <w:sz w:val="22"/>
        </w:rPr>
        <w:t>β= 0.</w:t>
      </w:r>
      <w:r w:rsidR="00596E65">
        <w:rPr>
          <w:rFonts w:cs="Times New Roman"/>
          <w:sz w:val="22"/>
        </w:rPr>
        <w:t>320</w:t>
      </w:r>
      <w:r w:rsidRPr="00806136">
        <w:rPr>
          <w:rFonts w:cs="Times New Roman"/>
          <w:sz w:val="22"/>
        </w:rPr>
        <w:t xml:space="preserve">, significancia de </w:t>
      </w:r>
      <w:r w:rsidRPr="00806136">
        <w:rPr>
          <w:rFonts w:cs="Times New Roman"/>
          <w:sz w:val="22"/>
          <w:lang w:val="es-EC"/>
        </w:rPr>
        <w:t>t = 0.00</w:t>
      </w:r>
      <w:r w:rsidR="0025764C">
        <w:rPr>
          <w:rFonts w:cs="Times New Roman"/>
          <w:sz w:val="22"/>
          <w:lang w:val="es-EC"/>
        </w:rPr>
        <w:t>1</w:t>
      </w:r>
      <w:r w:rsidR="00FB12BA" w:rsidRPr="00806136">
        <w:rPr>
          <w:rFonts w:cs="Times New Roman"/>
          <w:sz w:val="22"/>
          <w:lang w:val="es-EC"/>
        </w:rPr>
        <w:t xml:space="preserve">. Esto demuestra que, el paciente concede una importancia critica a la precisión técnica y a la ausencia de errores durante el proceso de conexión y desconexión, lo cual </w:t>
      </w:r>
      <w:r w:rsidR="007D46DA" w:rsidRPr="00806136">
        <w:rPr>
          <w:rFonts w:cs="Times New Roman"/>
          <w:sz w:val="22"/>
          <w:lang w:val="es-EC"/>
        </w:rPr>
        <w:t xml:space="preserve">se respalda con </w:t>
      </w:r>
      <w:r w:rsidR="007D46DA" w:rsidRPr="00806136">
        <w:rPr>
          <w:rFonts w:cs="Times New Roman"/>
          <w:sz w:val="22"/>
        </w:rPr>
        <w:t>Ramos-Ramírez et al. (2022) al re</w:t>
      </w:r>
      <w:r w:rsidR="007D46DA" w:rsidRPr="00806136">
        <w:rPr>
          <w:rFonts w:cs="Times New Roman"/>
          <w:sz w:val="22"/>
        </w:rPr>
        <w:lastRenderedPageBreak/>
        <w:t xml:space="preserve">lacionar los parámetros clínicos con </w:t>
      </w:r>
      <w:r w:rsidR="00EA4F9D" w:rsidRPr="00806136">
        <w:rPr>
          <w:rFonts w:cs="Times New Roman"/>
          <w:sz w:val="22"/>
        </w:rPr>
        <w:t xml:space="preserve">la confianza depositada en el nosocomio. </w:t>
      </w:r>
      <w:r w:rsidR="00720BFB" w:rsidRPr="00806136">
        <w:rPr>
          <w:rFonts w:cs="Times New Roman"/>
          <w:sz w:val="22"/>
        </w:rPr>
        <w:t xml:space="preserve">La dimensión de tangibilidad aportó un impacto favorablemente significativo </w:t>
      </w:r>
      <w:r w:rsidR="0006745B" w:rsidRPr="00806136">
        <w:rPr>
          <w:rFonts w:cs="Times New Roman"/>
          <w:sz w:val="22"/>
        </w:rPr>
        <w:t>β= 0.</w:t>
      </w:r>
      <w:r w:rsidR="002A0521">
        <w:rPr>
          <w:rFonts w:cs="Times New Roman"/>
          <w:sz w:val="22"/>
        </w:rPr>
        <w:t>154</w:t>
      </w:r>
      <w:r w:rsidR="0006745B" w:rsidRPr="00806136">
        <w:rPr>
          <w:rFonts w:cs="Times New Roman"/>
          <w:sz w:val="22"/>
        </w:rPr>
        <w:t xml:space="preserve">, significancia de </w:t>
      </w:r>
      <w:r w:rsidR="0006745B" w:rsidRPr="00806136">
        <w:rPr>
          <w:rFonts w:cs="Times New Roman"/>
          <w:sz w:val="22"/>
          <w:lang w:val="es-EC"/>
        </w:rPr>
        <w:t>t = 0.0</w:t>
      </w:r>
      <w:r w:rsidR="002A0521">
        <w:rPr>
          <w:rFonts w:cs="Times New Roman"/>
          <w:sz w:val="22"/>
          <w:lang w:val="es-EC"/>
        </w:rPr>
        <w:t>16</w:t>
      </w:r>
      <w:r w:rsidR="000B7C52" w:rsidRPr="00806136">
        <w:rPr>
          <w:rFonts w:cs="Times New Roman"/>
          <w:sz w:val="22"/>
          <w:lang w:val="es-EC"/>
        </w:rPr>
        <w:t xml:space="preserve">, reafirmando que el confort físico, la climatización de la sala, </w:t>
      </w:r>
      <w:r w:rsidR="008D0AD4" w:rsidRPr="00806136">
        <w:rPr>
          <w:rFonts w:cs="Times New Roman"/>
          <w:sz w:val="22"/>
          <w:lang w:val="es-EC"/>
        </w:rPr>
        <w:t xml:space="preserve">y la infraestructura tecnológica ayudan a la percepción de calidad positiva, relacionado con el estudio reportado por </w:t>
      </w:r>
      <w:r w:rsidR="00A92589" w:rsidRPr="00806136">
        <w:rPr>
          <w:rFonts w:cs="Times New Roman"/>
          <w:sz w:val="22"/>
        </w:rPr>
        <w:t xml:space="preserve">Lladó Verdejo et al. (2025) realizado en centros de atención </w:t>
      </w:r>
      <w:proofErr w:type="spellStart"/>
      <w:r w:rsidR="00A92589" w:rsidRPr="00806136">
        <w:rPr>
          <w:rFonts w:cs="Times New Roman"/>
          <w:sz w:val="22"/>
        </w:rPr>
        <w:t>publica</w:t>
      </w:r>
      <w:proofErr w:type="spellEnd"/>
      <w:r w:rsidR="00A92589" w:rsidRPr="00806136">
        <w:rPr>
          <w:rFonts w:cs="Times New Roman"/>
          <w:sz w:val="22"/>
        </w:rPr>
        <w:t xml:space="preserve"> homólogos. </w:t>
      </w:r>
    </w:p>
    <w:p w14:paraId="03AB1619" w14:textId="3F01C712" w:rsidR="00DA2823" w:rsidRPr="00806136" w:rsidRDefault="00DA2823" w:rsidP="008F69A9">
      <w:pPr>
        <w:rPr>
          <w:rFonts w:cs="Times New Roman"/>
          <w:sz w:val="22"/>
          <w:lang w:val="es-EC"/>
        </w:rPr>
      </w:pPr>
      <w:r w:rsidRPr="00806136">
        <w:rPr>
          <w:rFonts w:cs="Times New Roman"/>
          <w:sz w:val="22"/>
        </w:rPr>
        <w:t xml:space="preserve">Por otro lado, se </w:t>
      </w:r>
      <w:r w:rsidR="00B1437C" w:rsidRPr="00806136">
        <w:rPr>
          <w:rFonts w:cs="Times New Roman"/>
          <w:sz w:val="22"/>
        </w:rPr>
        <w:t>detectó</w:t>
      </w:r>
      <w:r w:rsidRPr="00806136">
        <w:rPr>
          <w:rFonts w:cs="Times New Roman"/>
          <w:sz w:val="22"/>
        </w:rPr>
        <w:t xml:space="preserve"> una brecha analítica en la dimensión de seguridad, la cual </w:t>
      </w:r>
      <w:r w:rsidR="00D17E11" w:rsidRPr="00806136">
        <w:rPr>
          <w:rFonts w:cs="Times New Roman"/>
          <w:sz w:val="22"/>
        </w:rPr>
        <w:t>β= 0.1</w:t>
      </w:r>
      <w:r w:rsidR="00A11B9D" w:rsidRPr="00806136">
        <w:rPr>
          <w:rFonts w:cs="Times New Roman"/>
          <w:sz w:val="22"/>
        </w:rPr>
        <w:t>8</w:t>
      </w:r>
      <w:r w:rsidR="00DF5CAD">
        <w:rPr>
          <w:rFonts w:cs="Times New Roman"/>
          <w:sz w:val="22"/>
        </w:rPr>
        <w:t>9</w:t>
      </w:r>
      <w:r w:rsidR="00D17E11" w:rsidRPr="00806136">
        <w:rPr>
          <w:rFonts w:cs="Times New Roman"/>
          <w:sz w:val="22"/>
        </w:rPr>
        <w:t xml:space="preserve">, significancia de </w:t>
      </w:r>
      <w:r w:rsidR="00D17E11" w:rsidRPr="00806136">
        <w:rPr>
          <w:rFonts w:cs="Times New Roman"/>
          <w:sz w:val="22"/>
          <w:lang w:val="es-EC"/>
        </w:rPr>
        <w:t>t = 0.0</w:t>
      </w:r>
      <w:r w:rsidR="00107A52">
        <w:rPr>
          <w:rFonts w:cs="Times New Roman"/>
          <w:sz w:val="22"/>
          <w:lang w:val="es-EC"/>
        </w:rPr>
        <w:t>23</w:t>
      </w:r>
      <w:r w:rsidR="00EB5A8E" w:rsidRPr="00806136">
        <w:rPr>
          <w:rFonts w:cs="Times New Roman"/>
          <w:sz w:val="22"/>
          <w:lang w:val="es-EC"/>
        </w:rPr>
        <w:t xml:space="preserve">. Desde la perspectiva clínica este comportamiento inverso revela </w:t>
      </w:r>
      <w:r w:rsidR="007357DC" w:rsidRPr="00806136">
        <w:rPr>
          <w:rFonts w:cs="Times New Roman"/>
          <w:sz w:val="22"/>
          <w:lang w:val="es-EC"/>
        </w:rPr>
        <w:t xml:space="preserve">que estas fallas impactan de manera negativa en la tranquilidad del usuario. Este hallazgo matemático justifica el 17% de los pacientes que reportaron un a percepción regular del servicio, quienes señalaron específicamente los nudos críticos asociados a la falta de comunicación </w:t>
      </w:r>
      <w:r w:rsidR="00EA3E98" w:rsidRPr="00806136">
        <w:rPr>
          <w:rFonts w:cs="Times New Roman"/>
          <w:sz w:val="22"/>
          <w:lang w:val="es-EC"/>
        </w:rPr>
        <w:t>asertiva sobre cuidados a nivel nutricional y de su acceso vascular.</w:t>
      </w:r>
    </w:p>
    <w:p w14:paraId="51510F62" w14:textId="77777777" w:rsidR="00B36EEB" w:rsidRPr="00806136" w:rsidRDefault="00FB1129" w:rsidP="008F69A9">
      <w:pPr>
        <w:rPr>
          <w:rFonts w:cs="Times New Roman"/>
          <w:sz w:val="22"/>
        </w:rPr>
      </w:pPr>
      <w:r w:rsidRPr="00806136">
        <w:rPr>
          <w:rFonts w:cs="Times New Roman"/>
          <w:sz w:val="22"/>
        </w:rPr>
        <w:t xml:space="preserve">Casares-Cid et al. (2022) y González Rozo et al. (2025) postulan que el nivel de conocimiento del paciente renal crónico se encuentra estrechamente relacionado </w:t>
      </w:r>
      <w:r w:rsidR="004918FD" w:rsidRPr="00806136">
        <w:rPr>
          <w:rFonts w:cs="Times New Roman"/>
          <w:sz w:val="22"/>
        </w:rPr>
        <w:t xml:space="preserve">a la adherencia en su terapéutica y calidad de vida. </w:t>
      </w:r>
      <w:r w:rsidR="002660F1" w:rsidRPr="00806136">
        <w:rPr>
          <w:rFonts w:cs="Times New Roman"/>
          <w:sz w:val="22"/>
        </w:rPr>
        <w:t xml:space="preserve">En referencia al tema, Murguía et al. (2025) y Contreras Martos et al. (2024) en sus investigaciones indican que </w:t>
      </w:r>
      <w:r w:rsidR="00D87C13" w:rsidRPr="00806136">
        <w:rPr>
          <w:rFonts w:cs="Times New Roman"/>
          <w:sz w:val="22"/>
        </w:rPr>
        <w:t>la ausencia de programas educativos estructurados sobre salud debilita</w:t>
      </w:r>
      <w:r w:rsidR="00806C2A" w:rsidRPr="00806136">
        <w:rPr>
          <w:rFonts w:cs="Times New Roman"/>
          <w:sz w:val="22"/>
        </w:rPr>
        <w:t xml:space="preserve"> la capacidad en el autocuidado del acceso vascular en el usuario</w:t>
      </w:r>
      <w:r w:rsidR="008D5542" w:rsidRPr="00806136">
        <w:rPr>
          <w:rFonts w:cs="Times New Roman"/>
          <w:sz w:val="22"/>
        </w:rPr>
        <w:t xml:space="preserve">. </w:t>
      </w:r>
    </w:p>
    <w:p w14:paraId="0D6747FF" w14:textId="18FED7E5" w:rsidR="0010771C" w:rsidRPr="00806136" w:rsidRDefault="008D5542" w:rsidP="008F69A9">
      <w:pPr>
        <w:rPr>
          <w:rFonts w:cs="Times New Roman"/>
          <w:sz w:val="22"/>
        </w:rPr>
      </w:pPr>
      <w:r w:rsidRPr="00806136">
        <w:rPr>
          <w:rFonts w:cs="Times New Roman"/>
          <w:sz w:val="22"/>
        </w:rPr>
        <w:t xml:space="preserve">La literatura científica respalda que para alcanzar un cuidado de enfermería de alta calidad, la praxis debe articularse a dos ejes fundamentales: el primero consiste en la </w:t>
      </w:r>
      <w:r w:rsidR="003801F6" w:rsidRPr="00806136">
        <w:rPr>
          <w:rFonts w:cs="Times New Roman"/>
          <w:sz w:val="22"/>
        </w:rPr>
        <w:t xml:space="preserve">educación sanitaria </w:t>
      </w:r>
      <w:r w:rsidR="008E57B8" w:rsidRPr="00806136">
        <w:rPr>
          <w:rFonts w:cs="Times New Roman"/>
          <w:sz w:val="22"/>
        </w:rPr>
        <w:t xml:space="preserve">continua que es señalada por Lacasa et al. (2025) como un motor que empodera al usuario en su tratamiento; el segundo eje corresponde al mantenimiento de los dispositivos </w:t>
      </w:r>
      <w:r w:rsidR="0018120C" w:rsidRPr="00806136">
        <w:rPr>
          <w:rFonts w:cs="Times New Roman"/>
          <w:sz w:val="22"/>
        </w:rPr>
        <w:t>biomédicos que es un aspecto critico donde Ruiz et al. (2024) y Casanova-Vivas y López-Guardiola (2025) coinciden de ma</w:t>
      </w:r>
      <w:r w:rsidR="00EA692B">
        <w:rPr>
          <w:rFonts w:cs="Times New Roman"/>
          <w:sz w:val="22"/>
        </w:rPr>
        <w:t>n</w:t>
      </w:r>
      <w:r w:rsidR="0018120C" w:rsidRPr="00806136">
        <w:rPr>
          <w:rFonts w:cs="Times New Roman"/>
          <w:sz w:val="22"/>
        </w:rPr>
        <w:t xml:space="preserve">era </w:t>
      </w:r>
      <w:proofErr w:type="spellStart"/>
      <w:r w:rsidR="0018120C" w:rsidRPr="00806136">
        <w:rPr>
          <w:rFonts w:cs="Times New Roman"/>
          <w:sz w:val="22"/>
        </w:rPr>
        <w:t>especifica</w:t>
      </w:r>
      <w:proofErr w:type="spellEnd"/>
      <w:r w:rsidR="0018120C" w:rsidRPr="00806136">
        <w:rPr>
          <w:rFonts w:cs="Times New Roman"/>
          <w:sz w:val="22"/>
        </w:rPr>
        <w:t xml:space="preserve">. La unión de ambas intervenciones no solo pretende la prevención de complicaciones infecciosas graves, sino que asegura la viabilidad del abordaje </w:t>
      </w:r>
      <w:r w:rsidR="0079541F" w:rsidRPr="00806136">
        <w:rPr>
          <w:rFonts w:cs="Times New Roman"/>
          <w:sz w:val="22"/>
        </w:rPr>
        <w:t>terapéutico y la preservación de la vida del usuario.</w:t>
      </w:r>
    </w:p>
    <w:p w14:paraId="14F5FAD5" w14:textId="158BF967" w:rsidR="00FB439B" w:rsidRPr="00806136" w:rsidRDefault="004A782B" w:rsidP="008F69A9">
      <w:pPr>
        <w:rPr>
          <w:rFonts w:cs="Times New Roman"/>
          <w:sz w:val="22"/>
          <w:lang w:val="es-EC"/>
        </w:rPr>
      </w:pPr>
      <w:r w:rsidRPr="00806136">
        <w:rPr>
          <w:rFonts w:cs="Times New Roman"/>
          <w:sz w:val="22"/>
          <w:lang w:val="es-EC"/>
        </w:rPr>
        <w:t>Finalmente, la dimensión de capacidad de respuesta reportó</w:t>
      </w:r>
      <w:r w:rsidR="00780C77" w:rsidRPr="00806136">
        <w:rPr>
          <w:rFonts w:cs="Times New Roman"/>
          <w:sz w:val="22"/>
          <w:lang w:val="es-EC"/>
        </w:rPr>
        <w:t xml:space="preserve"> carencia significativa estadística individual en la </w:t>
      </w:r>
      <w:r w:rsidR="00E33533" w:rsidRPr="00806136">
        <w:rPr>
          <w:rFonts w:cs="Times New Roman"/>
          <w:sz w:val="22"/>
          <w:lang w:val="es-EC"/>
        </w:rPr>
        <w:t>regresión</w:t>
      </w:r>
      <w:r w:rsidR="00780C77" w:rsidRPr="00806136">
        <w:rPr>
          <w:rFonts w:cs="Times New Roman"/>
          <w:sz w:val="22"/>
          <w:lang w:val="es-EC"/>
        </w:rPr>
        <w:t xml:space="preserve"> </w:t>
      </w:r>
      <w:r w:rsidR="00E33533" w:rsidRPr="00806136">
        <w:rPr>
          <w:rFonts w:cs="Times New Roman"/>
          <w:sz w:val="22"/>
        </w:rPr>
        <w:t xml:space="preserve">β= 0.082, significancia de </w:t>
      </w:r>
      <w:r w:rsidR="00E33533" w:rsidRPr="00806136">
        <w:rPr>
          <w:rFonts w:cs="Times New Roman"/>
          <w:sz w:val="22"/>
          <w:lang w:val="es-EC"/>
        </w:rPr>
        <w:t>t = 0.327</w:t>
      </w:r>
      <w:r w:rsidR="00B9712F" w:rsidRPr="00806136">
        <w:rPr>
          <w:rFonts w:cs="Times New Roman"/>
          <w:sz w:val="22"/>
          <w:lang w:val="es-EC"/>
        </w:rPr>
        <w:t xml:space="preserve">. Esto se traduce como una insatisfacción latente vinculada a la gestión de los tiempos. </w:t>
      </w:r>
      <w:r w:rsidR="00934887" w:rsidRPr="00806136">
        <w:rPr>
          <w:rFonts w:cs="Times New Roman"/>
          <w:sz w:val="22"/>
          <w:lang w:val="es-EC"/>
        </w:rPr>
        <w:t xml:space="preserve">Los prolongados tiempos de espera entre los turnos de </w:t>
      </w:r>
      <w:r w:rsidR="00934887" w:rsidRPr="00806136">
        <w:rPr>
          <w:rFonts w:cs="Times New Roman"/>
          <w:sz w:val="22"/>
          <w:lang w:val="es-EC"/>
        </w:rPr>
        <w:lastRenderedPageBreak/>
        <w:t xml:space="preserve">conexión y desconexión </w:t>
      </w:r>
      <w:r w:rsidR="00091155" w:rsidRPr="00806136">
        <w:rPr>
          <w:rFonts w:cs="Times New Roman"/>
          <w:sz w:val="22"/>
          <w:lang w:val="es-EC"/>
        </w:rPr>
        <w:t xml:space="preserve">se convierten en un factor de fricción </w:t>
      </w:r>
      <w:r w:rsidR="00DF2EEC" w:rsidRPr="00806136">
        <w:rPr>
          <w:rFonts w:cs="Times New Roman"/>
          <w:sz w:val="22"/>
          <w:lang w:val="es-EC"/>
        </w:rPr>
        <w:t xml:space="preserve">que desgasta al usuario y merma su percepción, lo que concuerda con las asimetrías de flujo operativo señalas en el estudio </w:t>
      </w:r>
      <w:r w:rsidR="00E41F15" w:rsidRPr="00806136">
        <w:rPr>
          <w:rFonts w:cs="Times New Roman"/>
          <w:sz w:val="22"/>
          <w:lang w:val="es-EC"/>
        </w:rPr>
        <w:t xml:space="preserve">de </w:t>
      </w:r>
      <w:r w:rsidR="00E41F15" w:rsidRPr="00806136">
        <w:rPr>
          <w:rFonts w:cs="Times New Roman"/>
          <w:sz w:val="22"/>
        </w:rPr>
        <w:t xml:space="preserve">De la Garza-Carranza et al. (2024). </w:t>
      </w:r>
    </w:p>
    <w:p w14:paraId="568F694A" w14:textId="115AE9CE" w:rsidR="004307D4" w:rsidRPr="00E457AC" w:rsidRDefault="004307D4" w:rsidP="00816AE9">
      <w:pPr>
        <w:pStyle w:val="Ttulo1"/>
        <w:numPr>
          <w:ilvl w:val="0"/>
          <w:numId w:val="45"/>
        </w:numPr>
        <w:rPr>
          <w:b/>
          <w:bCs/>
        </w:rPr>
      </w:pPr>
      <w:r w:rsidRPr="00E457AC">
        <w:rPr>
          <w:b/>
          <w:bCs/>
        </w:rPr>
        <w:t xml:space="preserve">conclusiones </w:t>
      </w:r>
    </w:p>
    <w:p w14:paraId="183A5851" w14:textId="024F09BB" w:rsidR="00816AE9" w:rsidRPr="00806136" w:rsidRDefault="00816AE9" w:rsidP="00816AE9">
      <w:pPr>
        <w:rPr>
          <w:sz w:val="22"/>
        </w:rPr>
      </w:pPr>
      <w:r w:rsidRPr="00806136">
        <w:rPr>
          <w:sz w:val="22"/>
        </w:rPr>
        <w:t xml:space="preserve">La evidencia </w:t>
      </w:r>
      <w:r w:rsidR="00E56E04" w:rsidRPr="00806136">
        <w:rPr>
          <w:sz w:val="22"/>
        </w:rPr>
        <w:t>extraída en el análisis realizado corrobora que el paciente con diagn</w:t>
      </w:r>
      <w:r w:rsidR="006B0FEF">
        <w:rPr>
          <w:sz w:val="22"/>
        </w:rPr>
        <w:t>ó</w:t>
      </w:r>
      <w:r w:rsidR="00E56E04" w:rsidRPr="00806136">
        <w:rPr>
          <w:sz w:val="22"/>
        </w:rPr>
        <w:t>stico m</w:t>
      </w:r>
      <w:r w:rsidR="006B0FEF">
        <w:rPr>
          <w:sz w:val="22"/>
        </w:rPr>
        <w:t>é</w:t>
      </w:r>
      <w:r w:rsidR="00E56E04" w:rsidRPr="00806136">
        <w:rPr>
          <w:sz w:val="22"/>
        </w:rPr>
        <w:t xml:space="preserve">dico de enfermedad renal crónica en tratamiento de hemodiálisis convencional y en programación trisemanal, la satisfacción no se limita a ser un indicador administrativo, sino que por </w:t>
      </w:r>
      <w:r w:rsidR="00894EDD" w:rsidRPr="00806136">
        <w:rPr>
          <w:sz w:val="22"/>
        </w:rPr>
        <w:t>el contrario,</w:t>
      </w:r>
      <w:r w:rsidR="007F5C40" w:rsidRPr="00806136">
        <w:rPr>
          <w:sz w:val="22"/>
        </w:rPr>
        <w:t xml:space="preserve"> transciende </w:t>
      </w:r>
      <w:r w:rsidR="00A63D5F" w:rsidRPr="00806136">
        <w:rPr>
          <w:sz w:val="22"/>
        </w:rPr>
        <w:t xml:space="preserve"> a una respuesta integral donde la ciencia de la enfermería converge con los avances tecnológicos</w:t>
      </w:r>
      <w:r w:rsidR="006F3C97" w:rsidRPr="00806136">
        <w:rPr>
          <w:sz w:val="22"/>
        </w:rPr>
        <w:t>, enseñanza del acceso vascular y la calidez humana</w:t>
      </w:r>
      <w:r w:rsidR="001318BC" w:rsidRPr="00806136">
        <w:rPr>
          <w:sz w:val="22"/>
        </w:rPr>
        <w:t xml:space="preserve">, factores que son de indispensables para alcanzar la excelencia en el ámbito asistencial </w:t>
      </w:r>
      <w:r w:rsidR="00543BEC" w:rsidRPr="00806136">
        <w:rPr>
          <w:sz w:val="22"/>
        </w:rPr>
        <w:t>y a su vez garantiza la preservación de la vida del paciente</w:t>
      </w:r>
      <w:r w:rsidR="004356EB" w:rsidRPr="00806136">
        <w:rPr>
          <w:sz w:val="22"/>
        </w:rPr>
        <w:t>. Los resultados demuestra</w:t>
      </w:r>
      <w:r w:rsidR="004B3354" w:rsidRPr="00806136">
        <w:rPr>
          <w:sz w:val="22"/>
        </w:rPr>
        <w:t>n</w:t>
      </w:r>
      <w:r w:rsidR="004356EB" w:rsidRPr="00806136">
        <w:rPr>
          <w:sz w:val="22"/>
        </w:rPr>
        <w:t xml:space="preserve"> que el </w:t>
      </w:r>
      <w:r w:rsidR="003A2C5E" w:rsidRPr="00806136">
        <w:rPr>
          <w:sz w:val="22"/>
        </w:rPr>
        <w:t>cuidado de enfermería de alta calidad es un constructo multidimensional en el que la empatía y la fiabilidad convergen como pilares de la experiencia terapéutica.</w:t>
      </w:r>
    </w:p>
    <w:p w14:paraId="2E65F788" w14:textId="77777777" w:rsidR="00935ABE" w:rsidRDefault="003A2C5E" w:rsidP="00935ABE">
      <w:pPr>
        <w:rPr>
          <w:sz w:val="22"/>
        </w:rPr>
      </w:pPr>
      <w:r w:rsidRPr="00806136">
        <w:rPr>
          <w:sz w:val="22"/>
        </w:rPr>
        <w:t xml:space="preserve">En conclusión, la empatía es el predictor </w:t>
      </w:r>
      <w:r w:rsidR="00EF6CC1" w:rsidRPr="00806136">
        <w:rPr>
          <w:sz w:val="22"/>
        </w:rPr>
        <w:t xml:space="preserve">de mayor peso en la valoración positiva de la atención, ofreciendo un sustento estadístico que explica el 83% de los usuarios que percibieron la calidad de servicio como buena. Por otro lado, </w:t>
      </w:r>
      <w:r w:rsidR="00376CC6" w:rsidRPr="00806136">
        <w:rPr>
          <w:sz w:val="22"/>
        </w:rPr>
        <w:t xml:space="preserve">la organización de los flujos de tiempo y las brechas de comunicación de cuidado de accesos vasculares y régimen alimenticio </w:t>
      </w:r>
      <w:r w:rsidR="00032358" w:rsidRPr="00806136">
        <w:rPr>
          <w:sz w:val="22"/>
        </w:rPr>
        <w:t>configuran nudos críticos que explican el comportamiento del 17% de los pacientes con percepción regular</w:t>
      </w:r>
      <w:r w:rsidR="008E6018" w:rsidRPr="00806136">
        <w:rPr>
          <w:sz w:val="22"/>
        </w:rPr>
        <w:t>. Por tal motivo, es de vital impor</w:t>
      </w:r>
      <w:r w:rsidR="002B500B" w:rsidRPr="00806136">
        <w:rPr>
          <w:sz w:val="22"/>
        </w:rPr>
        <w:t xml:space="preserve">tancia el diseño e implementación de planes de </w:t>
      </w:r>
      <w:r w:rsidR="00A05006" w:rsidRPr="00806136">
        <w:rPr>
          <w:sz w:val="22"/>
        </w:rPr>
        <w:t xml:space="preserve">mejora que </w:t>
      </w:r>
      <w:r w:rsidR="0022737D" w:rsidRPr="00806136">
        <w:rPr>
          <w:sz w:val="22"/>
        </w:rPr>
        <w:t>consoliden programas de educación al paciente de forma continua, optimizando la gestión de los tiempos entre turnos de conexión y de desconexión</w:t>
      </w:r>
      <w:r w:rsidR="005919EF" w:rsidRPr="00806136">
        <w:rPr>
          <w:sz w:val="22"/>
        </w:rPr>
        <w:t xml:space="preserve"> mitigando la vulnerabilidad del paciente </w:t>
      </w:r>
      <w:r w:rsidR="00BC0197">
        <w:rPr>
          <w:sz w:val="22"/>
        </w:rPr>
        <w:t>y</w:t>
      </w:r>
      <w:r w:rsidR="005919EF" w:rsidRPr="00806136">
        <w:rPr>
          <w:sz w:val="22"/>
        </w:rPr>
        <w:t xml:space="preserve"> asegurando la sostenibilidad de la terapéutica del paciente.</w:t>
      </w:r>
    </w:p>
    <w:p w14:paraId="687F9D8C" w14:textId="69494B4F" w:rsidR="00935ABE" w:rsidRPr="00935ABE" w:rsidRDefault="00935ABE" w:rsidP="005919EF">
      <w:pPr>
        <w:pStyle w:val="Prrafodelista"/>
        <w:numPr>
          <w:ilvl w:val="0"/>
          <w:numId w:val="45"/>
        </w:numPr>
        <w:rPr>
          <w:sz w:val="22"/>
        </w:rPr>
      </w:pPr>
      <w:r w:rsidRPr="00935ABE">
        <w:rPr>
          <w:b/>
          <w:bCs/>
        </w:rPr>
        <w:t>AGRADECIMIENTOS/APOYOS</w:t>
      </w:r>
    </w:p>
    <w:p w14:paraId="6C5733CD" w14:textId="32DD2274" w:rsidR="002F3733" w:rsidRPr="00935ABE" w:rsidRDefault="00806136" w:rsidP="00935ABE">
      <w:pPr>
        <w:rPr>
          <w:sz w:val="22"/>
        </w:rPr>
      </w:pPr>
      <w:r w:rsidRPr="00935ABE">
        <w:rPr>
          <w:sz w:val="22"/>
          <w:szCs w:val="28"/>
        </w:rPr>
        <w:t>Agradezco a Dios y a mi familia.</w:t>
      </w:r>
      <w:r w:rsidR="00920563" w:rsidRPr="00935ABE">
        <w:rPr>
          <w:sz w:val="22"/>
          <w:szCs w:val="28"/>
        </w:rPr>
        <w:t xml:space="preserve"> </w:t>
      </w:r>
    </w:p>
    <w:p w14:paraId="019F3A40" w14:textId="567CB0F8" w:rsidR="008F3F8E" w:rsidRPr="00E457AC" w:rsidRDefault="00721EBE" w:rsidP="00F7508A">
      <w:pPr>
        <w:pStyle w:val="Ttulo1"/>
        <w:rPr>
          <w:b/>
          <w:bCs/>
          <w:color w:val="FF0000"/>
        </w:rPr>
      </w:pPr>
      <w:r w:rsidRPr="00E457AC">
        <w:rPr>
          <w:b/>
          <w:bCs/>
          <w:caps w:val="0"/>
        </w:rPr>
        <w:lastRenderedPageBreak/>
        <w:t>8.</w:t>
      </w:r>
      <w:r w:rsidRPr="00E457AC">
        <w:rPr>
          <w:b/>
          <w:bCs/>
        </w:rPr>
        <w:t xml:space="preserve"> </w:t>
      </w:r>
      <w:r w:rsidR="002F3733" w:rsidRPr="00E457AC">
        <w:rPr>
          <w:b/>
          <w:bCs/>
        </w:rPr>
        <w:t>Referencias</w:t>
      </w:r>
      <w:r w:rsidR="005417EB" w:rsidRPr="00E457AC">
        <w:rPr>
          <w:b/>
          <w:bCs/>
        </w:rPr>
        <w:t xml:space="preserve"> </w:t>
      </w:r>
    </w:p>
    <w:p w14:paraId="5F719A07" w14:textId="77777777" w:rsidR="00DC7D6A" w:rsidRPr="001B7A93" w:rsidRDefault="00DC7D6A"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shd w:val="clear" w:color="auto" w:fill="FFFFFF"/>
          <w:lang w:val="es-EC"/>
        </w:rPr>
        <w:t>Casanova-Vivas, S., &amp; López-Guardiola, P. (2025). Gestión del cuidado y mantenimiento de los dispositivos de accesos vasculares: un reto para el cuidado enfermero. </w:t>
      </w:r>
      <w:r w:rsidRPr="001B7A93">
        <w:rPr>
          <w:rFonts w:cs="Times New Roman"/>
          <w:i/>
          <w:iCs/>
          <w:color w:val="000000" w:themeColor="text1"/>
          <w:sz w:val="22"/>
          <w:shd w:val="clear" w:color="auto" w:fill="FFFFFF"/>
        </w:rPr>
        <w:t>Enfermería Clínica</w:t>
      </w:r>
      <w:r w:rsidRPr="001B7A93">
        <w:rPr>
          <w:rFonts w:cs="Times New Roman"/>
          <w:color w:val="000000" w:themeColor="text1"/>
          <w:sz w:val="22"/>
          <w:shd w:val="clear" w:color="auto" w:fill="FFFFFF"/>
        </w:rPr>
        <w:t>, </w:t>
      </w:r>
      <w:r w:rsidRPr="001B7A93">
        <w:rPr>
          <w:rFonts w:cs="Times New Roman"/>
          <w:i/>
          <w:iCs/>
          <w:color w:val="000000" w:themeColor="text1"/>
          <w:sz w:val="22"/>
          <w:shd w:val="clear" w:color="auto" w:fill="FFFFFF"/>
        </w:rPr>
        <w:t>35</w:t>
      </w:r>
      <w:r w:rsidRPr="001B7A93">
        <w:rPr>
          <w:rFonts w:cs="Times New Roman"/>
          <w:color w:val="000000" w:themeColor="text1"/>
          <w:sz w:val="22"/>
          <w:shd w:val="clear" w:color="auto" w:fill="FFFFFF"/>
        </w:rPr>
        <w:t>(4), 502284.</w:t>
      </w:r>
    </w:p>
    <w:p w14:paraId="242EEC04" w14:textId="77777777" w:rsidR="00DC7D6A" w:rsidRPr="001B7A93" w:rsidRDefault="00DC7D6A"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lang w:val="es-EC"/>
        </w:rPr>
        <w:t xml:space="preserve">Casares-Cid, Silvia, Goncalves-Vázquez, Penélope </w:t>
      </w:r>
      <w:proofErr w:type="spellStart"/>
      <w:r w:rsidRPr="001B7A93">
        <w:rPr>
          <w:rFonts w:cs="Times New Roman"/>
          <w:color w:val="000000" w:themeColor="text1"/>
          <w:sz w:val="22"/>
          <w:lang w:val="es-EC"/>
        </w:rPr>
        <w:t>Nathaly</w:t>
      </w:r>
      <w:proofErr w:type="spellEnd"/>
      <w:r w:rsidRPr="001B7A93">
        <w:rPr>
          <w:rFonts w:cs="Times New Roman"/>
          <w:color w:val="000000" w:themeColor="text1"/>
          <w:sz w:val="22"/>
          <w:lang w:val="es-EC"/>
        </w:rPr>
        <w:t>, Alonso-González, Alba, Remigio-Lorenzo, María José, Vázquez-Rivera, Josefa, &amp; Martínez-</w:t>
      </w:r>
      <w:proofErr w:type="spellStart"/>
      <w:r w:rsidRPr="001B7A93">
        <w:rPr>
          <w:rFonts w:cs="Times New Roman"/>
          <w:color w:val="000000" w:themeColor="text1"/>
          <w:sz w:val="22"/>
          <w:lang w:val="es-EC"/>
        </w:rPr>
        <w:t>Ques</w:t>
      </w:r>
      <w:proofErr w:type="spellEnd"/>
      <w:r w:rsidRPr="001B7A93">
        <w:rPr>
          <w:rFonts w:cs="Times New Roman"/>
          <w:color w:val="000000" w:themeColor="text1"/>
          <w:sz w:val="22"/>
          <w:lang w:val="es-EC"/>
        </w:rPr>
        <w:t>, Ángel Alfredo. (2022). Relación entre calidad de vida, adherencia al tratamiento y nivel de conocimiento del paciente en hemodiálisis. </w:t>
      </w:r>
      <w:r w:rsidRPr="001B7A93">
        <w:rPr>
          <w:rFonts w:cs="Times New Roman"/>
          <w:i/>
          <w:iCs/>
          <w:color w:val="000000" w:themeColor="text1"/>
          <w:sz w:val="22"/>
          <w:lang w:val="es-EC"/>
        </w:rPr>
        <w:t>Enfermería Nefrológica</w:t>
      </w:r>
      <w:r w:rsidRPr="001B7A93">
        <w:rPr>
          <w:rFonts w:cs="Times New Roman"/>
          <w:color w:val="000000" w:themeColor="text1"/>
          <w:sz w:val="22"/>
          <w:lang w:val="es-EC"/>
        </w:rPr>
        <w:t>, </w:t>
      </w:r>
      <w:r w:rsidRPr="001B7A93">
        <w:rPr>
          <w:rFonts w:cs="Times New Roman"/>
          <w:i/>
          <w:iCs/>
          <w:color w:val="000000" w:themeColor="text1"/>
          <w:sz w:val="22"/>
          <w:lang w:val="es-EC"/>
        </w:rPr>
        <w:t>25</w:t>
      </w:r>
      <w:r w:rsidRPr="001B7A93">
        <w:rPr>
          <w:rFonts w:cs="Times New Roman"/>
          <w:color w:val="000000" w:themeColor="text1"/>
          <w:sz w:val="22"/>
          <w:lang w:val="es-EC"/>
        </w:rPr>
        <w:t xml:space="preserve">(2), 140-148. </w:t>
      </w:r>
      <w:proofErr w:type="spellStart"/>
      <w:r w:rsidRPr="001B7A93">
        <w:rPr>
          <w:rFonts w:cs="Times New Roman"/>
          <w:color w:val="000000" w:themeColor="text1"/>
          <w:sz w:val="22"/>
          <w:lang w:val="es-EC"/>
        </w:rPr>
        <w:t>Epub</w:t>
      </w:r>
      <w:proofErr w:type="spellEnd"/>
      <w:r w:rsidRPr="001B7A93">
        <w:rPr>
          <w:rFonts w:cs="Times New Roman"/>
          <w:color w:val="000000" w:themeColor="text1"/>
          <w:sz w:val="22"/>
          <w:lang w:val="es-EC"/>
        </w:rPr>
        <w:t xml:space="preserve"> 27 de septiembre de 2022.</w:t>
      </w:r>
      <w:hyperlink r:id="rId9" w:history="1">
        <w:r w:rsidRPr="001B7A93">
          <w:rPr>
            <w:rStyle w:val="Hipervnculo"/>
            <w:rFonts w:cs="Times New Roman"/>
            <w:color w:val="000000" w:themeColor="text1"/>
            <w:sz w:val="22"/>
            <w:lang w:val="es-EC"/>
          </w:rPr>
          <w:t>https://dx.doi.org/10.37551/52254-28842022015</w:t>
        </w:r>
      </w:hyperlink>
    </w:p>
    <w:p w14:paraId="37211764" w14:textId="77777777" w:rsidR="00DC7D6A" w:rsidRPr="001B7A93" w:rsidRDefault="00DC7D6A" w:rsidP="001B7A93">
      <w:pPr>
        <w:spacing w:before="0" w:after="160" w:line="259" w:lineRule="auto"/>
        <w:jc w:val="left"/>
        <w:rPr>
          <w:rFonts w:cs="Times New Roman"/>
          <w:color w:val="000000" w:themeColor="text1"/>
          <w:sz w:val="22"/>
        </w:rPr>
      </w:pPr>
      <w:r w:rsidRPr="001B7A93">
        <w:rPr>
          <w:rFonts w:cs="Times New Roman"/>
          <w:color w:val="000000" w:themeColor="text1"/>
          <w:sz w:val="22"/>
          <w:lang w:val="es-EC"/>
        </w:rPr>
        <w:t xml:space="preserve">Contreras-Martos, Gustavo Manuel, Quesada-Armenteros, María Trinidad, Ila-García, Andrés, &amp; </w:t>
      </w:r>
      <w:proofErr w:type="spellStart"/>
      <w:r w:rsidRPr="001B7A93">
        <w:rPr>
          <w:rFonts w:cs="Times New Roman"/>
          <w:color w:val="000000" w:themeColor="text1"/>
          <w:sz w:val="22"/>
          <w:lang w:val="es-EC"/>
        </w:rPr>
        <w:t>Ochando</w:t>
      </w:r>
      <w:proofErr w:type="spellEnd"/>
      <w:r w:rsidRPr="001B7A93">
        <w:rPr>
          <w:rFonts w:cs="Times New Roman"/>
          <w:color w:val="000000" w:themeColor="text1"/>
          <w:sz w:val="22"/>
          <w:lang w:val="es-EC"/>
        </w:rPr>
        <w:t xml:space="preserve">-García, Antonio. </w:t>
      </w:r>
      <w:r w:rsidRPr="001B7A93">
        <w:rPr>
          <w:rFonts w:cs="Times New Roman"/>
          <w:color w:val="000000" w:themeColor="text1"/>
          <w:sz w:val="22"/>
        </w:rPr>
        <w:t xml:space="preserve">(2023). </w:t>
      </w:r>
      <w:proofErr w:type="spellStart"/>
      <w:r w:rsidRPr="001B7A93">
        <w:rPr>
          <w:rFonts w:cs="Times New Roman"/>
          <w:color w:val="000000" w:themeColor="text1"/>
          <w:sz w:val="22"/>
        </w:rPr>
        <w:t>Patients</w:t>
      </w:r>
      <w:proofErr w:type="spellEnd"/>
      <w:r w:rsidRPr="001B7A93">
        <w:rPr>
          <w:rFonts w:cs="Times New Roman"/>
          <w:color w:val="000000" w:themeColor="text1"/>
          <w:sz w:val="22"/>
        </w:rPr>
        <w:t xml:space="preserve">' </w:t>
      </w:r>
      <w:proofErr w:type="spellStart"/>
      <w:r w:rsidRPr="001B7A93">
        <w:rPr>
          <w:rFonts w:cs="Times New Roman"/>
          <w:color w:val="000000" w:themeColor="text1"/>
          <w:sz w:val="22"/>
        </w:rPr>
        <w:t>perception</w:t>
      </w:r>
      <w:proofErr w:type="spellEnd"/>
      <w:r w:rsidRPr="001B7A93">
        <w:rPr>
          <w:rFonts w:cs="Times New Roman"/>
          <w:color w:val="000000" w:themeColor="text1"/>
          <w:sz w:val="22"/>
        </w:rPr>
        <w:t xml:space="preserve"> </w:t>
      </w:r>
      <w:proofErr w:type="spellStart"/>
      <w:r w:rsidRPr="001B7A93">
        <w:rPr>
          <w:rFonts w:cs="Times New Roman"/>
          <w:color w:val="000000" w:themeColor="text1"/>
          <w:sz w:val="22"/>
        </w:rPr>
        <w:t>of</w:t>
      </w:r>
      <w:proofErr w:type="spellEnd"/>
      <w:r w:rsidRPr="001B7A93">
        <w:rPr>
          <w:rFonts w:cs="Times New Roman"/>
          <w:color w:val="000000" w:themeColor="text1"/>
          <w:sz w:val="22"/>
        </w:rPr>
        <w:t xml:space="preserve"> </w:t>
      </w:r>
      <w:proofErr w:type="spellStart"/>
      <w:r w:rsidRPr="001B7A93">
        <w:rPr>
          <w:rFonts w:cs="Times New Roman"/>
          <w:color w:val="000000" w:themeColor="text1"/>
          <w:sz w:val="22"/>
        </w:rPr>
        <w:t>nursing</w:t>
      </w:r>
      <w:proofErr w:type="spellEnd"/>
      <w:r w:rsidRPr="001B7A93">
        <w:rPr>
          <w:rFonts w:cs="Times New Roman"/>
          <w:color w:val="000000" w:themeColor="text1"/>
          <w:sz w:val="22"/>
        </w:rPr>
        <w:t xml:space="preserve"> care </w:t>
      </w:r>
      <w:proofErr w:type="spellStart"/>
      <w:r w:rsidRPr="001B7A93">
        <w:rPr>
          <w:rFonts w:cs="Times New Roman"/>
          <w:color w:val="000000" w:themeColor="text1"/>
          <w:sz w:val="22"/>
        </w:rPr>
        <w:t>humanization</w:t>
      </w:r>
      <w:proofErr w:type="spellEnd"/>
      <w:r w:rsidRPr="001B7A93">
        <w:rPr>
          <w:rFonts w:cs="Times New Roman"/>
          <w:color w:val="000000" w:themeColor="text1"/>
          <w:sz w:val="22"/>
        </w:rPr>
        <w:t xml:space="preserve"> in a </w:t>
      </w:r>
      <w:proofErr w:type="spellStart"/>
      <w:r w:rsidRPr="001B7A93">
        <w:rPr>
          <w:rFonts w:cs="Times New Roman"/>
          <w:color w:val="000000" w:themeColor="text1"/>
          <w:sz w:val="22"/>
        </w:rPr>
        <w:t>hemodialysis</w:t>
      </w:r>
      <w:proofErr w:type="spellEnd"/>
      <w:r w:rsidRPr="001B7A93">
        <w:rPr>
          <w:rFonts w:cs="Times New Roman"/>
          <w:color w:val="000000" w:themeColor="text1"/>
          <w:sz w:val="22"/>
        </w:rPr>
        <w:t xml:space="preserve"> </w:t>
      </w:r>
      <w:proofErr w:type="spellStart"/>
      <w:r w:rsidRPr="001B7A93">
        <w:rPr>
          <w:rFonts w:cs="Times New Roman"/>
          <w:color w:val="000000" w:themeColor="text1"/>
          <w:sz w:val="22"/>
        </w:rPr>
        <w:t>unit</w:t>
      </w:r>
      <w:proofErr w:type="spellEnd"/>
      <w:r w:rsidRPr="001B7A93">
        <w:rPr>
          <w:rFonts w:cs="Times New Roman"/>
          <w:color w:val="000000" w:themeColor="text1"/>
          <w:sz w:val="22"/>
        </w:rPr>
        <w:t>. </w:t>
      </w:r>
      <w:r w:rsidRPr="001B7A93">
        <w:rPr>
          <w:rFonts w:cs="Times New Roman"/>
          <w:i/>
          <w:iCs/>
          <w:color w:val="000000" w:themeColor="text1"/>
          <w:sz w:val="22"/>
          <w:lang w:val="es-EC"/>
        </w:rPr>
        <w:t>Enfermería Nefrológica</w:t>
      </w:r>
      <w:r w:rsidRPr="001B7A93">
        <w:rPr>
          <w:rFonts w:cs="Times New Roman"/>
          <w:color w:val="000000" w:themeColor="text1"/>
          <w:sz w:val="22"/>
          <w:lang w:val="es-EC"/>
        </w:rPr>
        <w:t>, </w:t>
      </w:r>
      <w:r w:rsidRPr="001B7A93">
        <w:rPr>
          <w:rFonts w:cs="Times New Roman"/>
          <w:i/>
          <w:iCs/>
          <w:color w:val="000000" w:themeColor="text1"/>
          <w:sz w:val="22"/>
          <w:lang w:val="es-EC"/>
        </w:rPr>
        <w:t>26</w:t>
      </w:r>
      <w:r w:rsidRPr="001B7A93">
        <w:rPr>
          <w:rFonts w:cs="Times New Roman"/>
          <w:color w:val="000000" w:themeColor="text1"/>
          <w:sz w:val="22"/>
          <w:lang w:val="es-EC"/>
        </w:rPr>
        <w:t xml:space="preserve">(4), 326-335. </w:t>
      </w:r>
      <w:proofErr w:type="spellStart"/>
      <w:r w:rsidRPr="001B7A93">
        <w:rPr>
          <w:rFonts w:cs="Times New Roman"/>
          <w:color w:val="000000" w:themeColor="text1"/>
          <w:sz w:val="22"/>
          <w:lang w:val="es-EC"/>
        </w:rPr>
        <w:t>Epub</w:t>
      </w:r>
      <w:proofErr w:type="spellEnd"/>
      <w:r w:rsidRPr="001B7A93">
        <w:rPr>
          <w:rFonts w:cs="Times New Roman"/>
          <w:color w:val="000000" w:themeColor="text1"/>
          <w:sz w:val="22"/>
          <w:lang w:val="es-EC"/>
        </w:rPr>
        <w:t xml:space="preserve"> 04 de abril de 2024.</w:t>
      </w:r>
      <w:hyperlink r:id="rId10" w:history="1">
        <w:r w:rsidRPr="001B7A93">
          <w:rPr>
            <w:rStyle w:val="Hipervnculo"/>
            <w:rFonts w:cs="Times New Roman"/>
            <w:color w:val="000000" w:themeColor="text1"/>
            <w:sz w:val="22"/>
            <w:lang w:val="es-EC"/>
          </w:rPr>
          <w:t>https://dx.doi.org/10.37551/s2254-28842023031</w:t>
        </w:r>
      </w:hyperlink>
    </w:p>
    <w:p w14:paraId="0B8B2B2D" w14:textId="77777777" w:rsidR="00DC7D6A" w:rsidRPr="001B7A93" w:rsidRDefault="00DC7D6A"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rPr>
        <w:t xml:space="preserve">De la </w:t>
      </w:r>
      <w:r w:rsidRPr="001B7A93">
        <w:rPr>
          <w:rFonts w:cs="Times New Roman"/>
          <w:color w:val="000000" w:themeColor="text1"/>
          <w:sz w:val="22"/>
          <w:lang w:val="es-EC"/>
        </w:rPr>
        <w:t xml:space="preserve">Garza-Carranza, María Teresa, Calderón-Pérez, Alejandra, Reyes-Berlanga, Mónica Lucía, &amp; García-Torres, María Angélica. (2024). Calidad en el servicio mediante la metodología </w:t>
      </w:r>
      <w:proofErr w:type="spellStart"/>
      <w:r w:rsidRPr="001B7A93">
        <w:rPr>
          <w:rFonts w:cs="Times New Roman"/>
          <w:color w:val="000000" w:themeColor="text1"/>
          <w:sz w:val="22"/>
          <w:lang w:val="es-EC"/>
        </w:rPr>
        <w:t>Servqual</w:t>
      </w:r>
      <w:proofErr w:type="spellEnd"/>
      <w:r w:rsidRPr="001B7A93">
        <w:rPr>
          <w:rFonts w:cs="Times New Roman"/>
          <w:color w:val="000000" w:themeColor="text1"/>
          <w:sz w:val="22"/>
          <w:lang w:val="es-EC"/>
        </w:rPr>
        <w:t xml:space="preserve"> y satisfacción en pacientes hospitalizados. </w:t>
      </w:r>
      <w:r w:rsidRPr="001B7A93">
        <w:rPr>
          <w:rFonts w:cs="Times New Roman"/>
          <w:i/>
          <w:iCs/>
          <w:color w:val="000000" w:themeColor="text1"/>
          <w:sz w:val="22"/>
          <w:lang w:val="es-EC"/>
        </w:rPr>
        <w:t>Horizonte sanitario</w:t>
      </w:r>
      <w:r w:rsidRPr="001B7A93">
        <w:rPr>
          <w:rFonts w:cs="Times New Roman"/>
          <w:color w:val="000000" w:themeColor="text1"/>
          <w:sz w:val="22"/>
          <w:lang w:val="es-EC"/>
        </w:rPr>
        <w:t>, </w:t>
      </w:r>
      <w:r w:rsidRPr="001B7A93">
        <w:rPr>
          <w:rFonts w:cs="Times New Roman"/>
          <w:i/>
          <w:iCs/>
          <w:color w:val="000000" w:themeColor="text1"/>
          <w:sz w:val="22"/>
          <w:lang w:val="es-EC"/>
        </w:rPr>
        <w:t>23</w:t>
      </w:r>
      <w:r w:rsidRPr="001B7A93">
        <w:rPr>
          <w:rFonts w:cs="Times New Roman"/>
          <w:color w:val="000000" w:themeColor="text1"/>
          <w:sz w:val="22"/>
          <w:lang w:val="es-EC"/>
        </w:rPr>
        <w:t xml:space="preserve">(1), 73-81. </w:t>
      </w:r>
      <w:proofErr w:type="spellStart"/>
      <w:r w:rsidRPr="001B7A93">
        <w:rPr>
          <w:rFonts w:cs="Times New Roman"/>
          <w:color w:val="000000" w:themeColor="text1"/>
          <w:sz w:val="22"/>
          <w:lang w:val="es-EC"/>
        </w:rPr>
        <w:t>Epub</w:t>
      </w:r>
      <w:proofErr w:type="spellEnd"/>
      <w:r w:rsidRPr="001B7A93">
        <w:rPr>
          <w:rFonts w:cs="Times New Roman"/>
          <w:color w:val="000000" w:themeColor="text1"/>
          <w:sz w:val="22"/>
          <w:lang w:val="es-EC"/>
        </w:rPr>
        <w:t xml:space="preserve"> 02 de septiembre de 2024.</w:t>
      </w:r>
      <w:hyperlink r:id="rId11" w:history="1">
        <w:r w:rsidRPr="001B7A93">
          <w:rPr>
            <w:rStyle w:val="Hipervnculo"/>
            <w:rFonts w:cs="Times New Roman"/>
            <w:color w:val="000000" w:themeColor="text1"/>
            <w:sz w:val="22"/>
            <w:lang w:val="es-EC"/>
          </w:rPr>
          <w:t>https://doi.org/10.19136/hs.a23n1.5697</w:t>
        </w:r>
      </w:hyperlink>
    </w:p>
    <w:p w14:paraId="23DEC4C9" w14:textId="07DA6ABD" w:rsidR="00D4301F" w:rsidRPr="001B7A93" w:rsidRDefault="00F2609F" w:rsidP="001B7A93">
      <w:pPr>
        <w:rPr>
          <w:rFonts w:cs="Times New Roman"/>
          <w:color w:val="000000" w:themeColor="text1"/>
          <w:sz w:val="22"/>
          <w:lang w:val="es-EC"/>
        </w:rPr>
      </w:pPr>
      <w:r w:rsidRPr="001B7A93">
        <w:rPr>
          <w:rFonts w:cs="Times New Roman"/>
          <w:color w:val="000000" w:themeColor="text1"/>
          <w:sz w:val="22"/>
          <w:lang w:val="es-EC"/>
        </w:rPr>
        <w:t xml:space="preserve">Fernández de </w:t>
      </w:r>
      <w:proofErr w:type="gramStart"/>
      <w:r w:rsidRPr="001B7A93">
        <w:rPr>
          <w:rFonts w:cs="Times New Roman"/>
          <w:color w:val="000000" w:themeColor="text1"/>
          <w:sz w:val="22"/>
          <w:lang w:val="es-EC"/>
        </w:rPr>
        <w:t>Alemán</w:t>
      </w:r>
      <w:proofErr w:type="gramEnd"/>
      <w:r w:rsidRPr="001B7A93">
        <w:rPr>
          <w:rFonts w:cs="Times New Roman"/>
          <w:color w:val="000000" w:themeColor="text1"/>
          <w:sz w:val="22"/>
          <w:lang w:val="es-EC"/>
        </w:rPr>
        <w:t xml:space="preserve">, E. (2024). Atención a las necesidades del adulto mayor desde el cuidado de enfermería en una visión </w:t>
      </w:r>
      <w:proofErr w:type="spellStart"/>
      <w:r w:rsidRPr="001B7A93">
        <w:rPr>
          <w:rFonts w:cs="Times New Roman"/>
          <w:color w:val="000000" w:themeColor="text1"/>
          <w:sz w:val="22"/>
          <w:lang w:val="es-EC"/>
        </w:rPr>
        <w:t>transcompleja</w:t>
      </w:r>
      <w:proofErr w:type="spellEnd"/>
      <w:r w:rsidRPr="001B7A93">
        <w:rPr>
          <w:rFonts w:cs="Times New Roman"/>
          <w:color w:val="000000" w:themeColor="text1"/>
          <w:sz w:val="22"/>
          <w:lang w:val="es-EC"/>
        </w:rPr>
        <w:t xml:space="preserve">. </w:t>
      </w:r>
      <w:r w:rsidRPr="001B7A93">
        <w:rPr>
          <w:rFonts w:cs="Times New Roman"/>
          <w:i/>
          <w:iCs/>
          <w:color w:val="000000" w:themeColor="text1"/>
          <w:sz w:val="22"/>
          <w:lang w:val="es-EC"/>
        </w:rPr>
        <w:t xml:space="preserve">Investigación, </w:t>
      </w:r>
      <w:proofErr w:type="spellStart"/>
      <w:r w:rsidRPr="001B7A93">
        <w:rPr>
          <w:rFonts w:cs="Times New Roman"/>
          <w:i/>
          <w:iCs/>
          <w:color w:val="000000" w:themeColor="text1"/>
          <w:sz w:val="22"/>
          <w:lang w:val="es-EC"/>
        </w:rPr>
        <w:t>transcomplejidad</w:t>
      </w:r>
      <w:proofErr w:type="spellEnd"/>
      <w:r w:rsidRPr="001B7A93">
        <w:rPr>
          <w:rFonts w:cs="Times New Roman"/>
          <w:i/>
          <w:iCs/>
          <w:color w:val="000000" w:themeColor="text1"/>
          <w:sz w:val="22"/>
          <w:lang w:val="es-EC"/>
        </w:rPr>
        <w:t xml:space="preserve"> y ciencia, 5</w:t>
      </w:r>
      <w:r w:rsidRPr="001B7A93">
        <w:rPr>
          <w:rFonts w:cs="Times New Roman"/>
          <w:color w:val="000000" w:themeColor="text1"/>
          <w:sz w:val="22"/>
          <w:lang w:val="es-EC"/>
        </w:rPr>
        <w:t>(1). Recuperado a partir de https://revistasuba.com/index.php/INVESTIGACIONTRANSCOMPLEJIDADYCI/article/view/990</w:t>
      </w:r>
    </w:p>
    <w:p w14:paraId="75041AA3" w14:textId="77777777" w:rsidR="00DC7D6A" w:rsidRPr="001B7A93" w:rsidRDefault="00DC7D6A"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shd w:val="clear" w:color="auto" w:fill="FFFFFF"/>
          <w:lang w:val="es-EC"/>
        </w:rPr>
        <w:t>González Rozo, A. M., González Villarreal, M. C., Triviño Beleño, P. A., Nieto Martínez, M., &amp; Rodríguez Escobar, M. A. (2025). Atención primaria y enfermedad renal crónica: percepción de pacientes y profesionales de la salud involucrados. </w:t>
      </w:r>
      <w:r w:rsidRPr="001B7A93">
        <w:rPr>
          <w:rFonts w:cs="Times New Roman"/>
          <w:i/>
          <w:iCs/>
          <w:color w:val="000000" w:themeColor="text1"/>
          <w:sz w:val="22"/>
          <w:shd w:val="clear" w:color="auto" w:fill="FFFFFF"/>
        </w:rPr>
        <w:t>Revista Med</w:t>
      </w:r>
      <w:r w:rsidRPr="001B7A93">
        <w:rPr>
          <w:rFonts w:cs="Times New Roman"/>
          <w:color w:val="000000" w:themeColor="text1"/>
          <w:sz w:val="22"/>
          <w:shd w:val="clear" w:color="auto" w:fill="FFFFFF"/>
        </w:rPr>
        <w:t>, </w:t>
      </w:r>
      <w:r w:rsidRPr="001B7A93">
        <w:rPr>
          <w:rFonts w:cs="Times New Roman"/>
          <w:i/>
          <w:iCs/>
          <w:color w:val="000000" w:themeColor="text1"/>
          <w:sz w:val="22"/>
          <w:shd w:val="clear" w:color="auto" w:fill="FFFFFF"/>
        </w:rPr>
        <w:t>33</w:t>
      </w:r>
      <w:r w:rsidRPr="001B7A93">
        <w:rPr>
          <w:rFonts w:cs="Times New Roman"/>
          <w:color w:val="000000" w:themeColor="text1"/>
          <w:sz w:val="22"/>
          <w:shd w:val="clear" w:color="auto" w:fill="FFFFFF"/>
        </w:rPr>
        <w:t xml:space="preserve">(2), 49–67. </w:t>
      </w:r>
      <w:hyperlink r:id="rId12" w:history="1">
        <w:r w:rsidRPr="001B7A93">
          <w:rPr>
            <w:rStyle w:val="Hipervnculo"/>
            <w:rFonts w:cs="Times New Roman"/>
            <w:color w:val="000000" w:themeColor="text1"/>
            <w:sz w:val="22"/>
            <w:shd w:val="clear" w:color="auto" w:fill="FFFFFF"/>
          </w:rPr>
          <w:t>https://doi.org/10.18359/rmed.7768</w:t>
        </w:r>
      </w:hyperlink>
    </w:p>
    <w:p w14:paraId="397ECF62" w14:textId="77777777" w:rsidR="00DC7D6A" w:rsidRPr="001B7A93" w:rsidRDefault="00DC7D6A"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shd w:val="clear" w:color="auto" w:fill="FFFFFF"/>
          <w:lang w:val="es-EC"/>
        </w:rPr>
        <w:t>González, D. N. G., Miranda, H. M. C., &amp; Jaramillo, M. J. R. (2024). Trato digno en los cuidados de enfermería al paciente renal. </w:t>
      </w:r>
      <w:r w:rsidRPr="001B7A93">
        <w:rPr>
          <w:rFonts w:cs="Times New Roman"/>
          <w:i/>
          <w:iCs/>
          <w:color w:val="000000" w:themeColor="text1"/>
          <w:sz w:val="22"/>
          <w:shd w:val="clear" w:color="auto" w:fill="FFFFFF"/>
        </w:rPr>
        <w:t>Ciencia Latina: Revista Multidisciplinar</w:t>
      </w:r>
      <w:r w:rsidRPr="001B7A93">
        <w:rPr>
          <w:rFonts w:cs="Times New Roman"/>
          <w:color w:val="000000" w:themeColor="text1"/>
          <w:sz w:val="22"/>
          <w:shd w:val="clear" w:color="auto" w:fill="FFFFFF"/>
        </w:rPr>
        <w:t>, </w:t>
      </w:r>
      <w:r w:rsidRPr="001B7A93">
        <w:rPr>
          <w:rFonts w:cs="Times New Roman"/>
          <w:i/>
          <w:iCs/>
          <w:color w:val="000000" w:themeColor="text1"/>
          <w:sz w:val="22"/>
          <w:shd w:val="clear" w:color="auto" w:fill="FFFFFF"/>
        </w:rPr>
        <w:t>8</w:t>
      </w:r>
      <w:r w:rsidRPr="001B7A93">
        <w:rPr>
          <w:rFonts w:cs="Times New Roman"/>
          <w:color w:val="000000" w:themeColor="text1"/>
          <w:sz w:val="22"/>
          <w:shd w:val="clear" w:color="auto" w:fill="FFFFFF"/>
        </w:rPr>
        <w:t>(1), 378-394.</w:t>
      </w:r>
    </w:p>
    <w:p w14:paraId="50E6B94B" w14:textId="77777777" w:rsidR="00DC7D6A" w:rsidRPr="001B7A93" w:rsidRDefault="00DC7D6A" w:rsidP="001B7A93">
      <w:pPr>
        <w:rPr>
          <w:rFonts w:cs="Times New Roman"/>
          <w:color w:val="000000" w:themeColor="text1"/>
          <w:sz w:val="22"/>
          <w:lang w:val="es-EC"/>
        </w:rPr>
      </w:pPr>
      <w:r w:rsidRPr="001B7A93">
        <w:rPr>
          <w:rFonts w:cs="Times New Roman"/>
          <w:color w:val="000000" w:themeColor="text1"/>
          <w:sz w:val="22"/>
          <w:lang w:val="es-EC"/>
        </w:rPr>
        <w:t>https://dialnet.unirioja.es/servlet/articulo?codigo=9844844</w:t>
      </w:r>
    </w:p>
    <w:p w14:paraId="3E5F5228" w14:textId="77777777" w:rsidR="00DC7D6A" w:rsidRPr="001B7A93" w:rsidRDefault="00DC7D6A" w:rsidP="001B7A93">
      <w:pPr>
        <w:rPr>
          <w:rFonts w:cs="Times New Roman"/>
          <w:color w:val="000000" w:themeColor="text1"/>
          <w:sz w:val="22"/>
          <w:lang w:val="es-EC"/>
        </w:rPr>
      </w:pPr>
      <w:hyperlink r:id="rId13" w:history="1">
        <w:r w:rsidRPr="001B7A93">
          <w:rPr>
            <w:rStyle w:val="Hipervnculo"/>
            <w:rFonts w:cs="Times New Roman"/>
            <w:color w:val="000000" w:themeColor="text1"/>
            <w:sz w:val="22"/>
            <w:lang w:val="es-EC"/>
          </w:rPr>
          <w:t>https://revibiomedica.sld.cu/index.php/ibi/article/view/3656</w:t>
        </w:r>
      </w:hyperlink>
    </w:p>
    <w:p w14:paraId="69DF8F30" w14:textId="77777777" w:rsidR="00DC7D6A" w:rsidRPr="001B7A93" w:rsidRDefault="00DC7D6A"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lang w:val="es-EC"/>
        </w:rPr>
        <w:t>Huaman-</w:t>
      </w:r>
      <w:proofErr w:type="spellStart"/>
      <w:r w:rsidRPr="001B7A93">
        <w:rPr>
          <w:rFonts w:cs="Times New Roman"/>
          <w:color w:val="000000" w:themeColor="text1"/>
          <w:sz w:val="22"/>
          <w:lang w:val="es-EC"/>
        </w:rPr>
        <w:t>Carhuas</w:t>
      </w:r>
      <w:proofErr w:type="spellEnd"/>
      <w:r w:rsidRPr="001B7A93">
        <w:rPr>
          <w:rFonts w:cs="Times New Roman"/>
          <w:color w:val="000000" w:themeColor="text1"/>
          <w:sz w:val="22"/>
          <w:lang w:val="es-EC"/>
        </w:rPr>
        <w:t xml:space="preserve">, Luis, Melo-Flores, Catherine Mabel, &amp; Gutiérrez-Carranza, Marianela </w:t>
      </w:r>
      <w:proofErr w:type="spellStart"/>
      <w:r w:rsidRPr="001B7A93">
        <w:rPr>
          <w:rFonts w:cs="Times New Roman"/>
          <w:color w:val="000000" w:themeColor="text1"/>
          <w:sz w:val="22"/>
          <w:lang w:val="es-EC"/>
        </w:rPr>
        <w:t>Dayanna</w:t>
      </w:r>
      <w:proofErr w:type="spellEnd"/>
      <w:r w:rsidRPr="001B7A93">
        <w:rPr>
          <w:rFonts w:cs="Times New Roman"/>
          <w:color w:val="000000" w:themeColor="text1"/>
          <w:sz w:val="22"/>
          <w:lang w:val="es-EC"/>
        </w:rPr>
        <w:t>. (2023). Calidad percibida y su relación con la satisfacción del paciente en tratamiento con hemodiálisis en un hospital público de Perú. </w:t>
      </w:r>
      <w:r w:rsidRPr="001B7A93">
        <w:rPr>
          <w:rFonts w:cs="Times New Roman"/>
          <w:i/>
          <w:iCs/>
          <w:color w:val="000000" w:themeColor="text1"/>
          <w:sz w:val="22"/>
          <w:lang w:val="es-EC"/>
        </w:rPr>
        <w:t>Enfermería Nefrológica</w:t>
      </w:r>
      <w:r w:rsidRPr="001B7A93">
        <w:rPr>
          <w:rFonts w:cs="Times New Roman"/>
          <w:color w:val="000000" w:themeColor="text1"/>
          <w:sz w:val="22"/>
          <w:lang w:val="es-EC"/>
        </w:rPr>
        <w:t>, </w:t>
      </w:r>
      <w:r w:rsidRPr="001B7A93">
        <w:rPr>
          <w:rFonts w:cs="Times New Roman"/>
          <w:i/>
          <w:iCs/>
          <w:color w:val="000000" w:themeColor="text1"/>
          <w:sz w:val="22"/>
          <w:lang w:val="es-EC"/>
        </w:rPr>
        <w:t>26</w:t>
      </w:r>
      <w:r w:rsidRPr="001B7A93">
        <w:rPr>
          <w:rFonts w:cs="Times New Roman"/>
          <w:color w:val="000000" w:themeColor="text1"/>
          <w:sz w:val="22"/>
          <w:lang w:val="es-EC"/>
        </w:rPr>
        <w:t xml:space="preserve">(2), 159-166. </w:t>
      </w:r>
      <w:proofErr w:type="spellStart"/>
      <w:r w:rsidRPr="001B7A93">
        <w:rPr>
          <w:rFonts w:cs="Times New Roman"/>
          <w:color w:val="000000" w:themeColor="text1"/>
          <w:sz w:val="22"/>
          <w:lang w:val="es-EC"/>
        </w:rPr>
        <w:t>Epub</w:t>
      </w:r>
      <w:proofErr w:type="spellEnd"/>
      <w:r w:rsidRPr="001B7A93">
        <w:rPr>
          <w:rFonts w:cs="Times New Roman"/>
          <w:color w:val="000000" w:themeColor="text1"/>
          <w:sz w:val="22"/>
          <w:lang w:val="es-EC"/>
        </w:rPr>
        <w:t xml:space="preserve"> 25 de septiembre de 2023.</w:t>
      </w:r>
      <w:hyperlink r:id="rId14" w:history="1">
        <w:r w:rsidRPr="001B7A93">
          <w:rPr>
            <w:rStyle w:val="Hipervnculo"/>
            <w:rFonts w:cs="Times New Roman"/>
            <w:color w:val="000000" w:themeColor="text1"/>
            <w:sz w:val="22"/>
            <w:lang w:val="es-EC"/>
          </w:rPr>
          <w:t>https://dx.doi.org/10.37551/s2254-28842023016</w:t>
        </w:r>
      </w:hyperlink>
    </w:p>
    <w:p w14:paraId="4085094B" w14:textId="77777777" w:rsidR="00DC7D6A" w:rsidRPr="001B7A93" w:rsidRDefault="00DC7D6A" w:rsidP="001B7A93">
      <w:pPr>
        <w:spacing w:before="0" w:after="160" w:line="259" w:lineRule="auto"/>
        <w:jc w:val="left"/>
        <w:rPr>
          <w:rFonts w:cs="Times New Roman"/>
          <w:color w:val="000000" w:themeColor="text1"/>
          <w:sz w:val="22"/>
        </w:rPr>
      </w:pPr>
      <w:r w:rsidRPr="001B7A93">
        <w:rPr>
          <w:rFonts w:cs="Times New Roman"/>
          <w:color w:val="000000" w:themeColor="text1"/>
          <w:sz w:val="22"/>
          <w:shd w:val="clear" w:color="auto" w:fill="FFFFFF"/>
          <w:lang w:val="es-EC"/>
        </w:rPr>
        <w:t>Istrate, R., JM, V. C., JA, T. S., Maza, E., VA, P., &amp; GC, I. R. (2025). Vivencias de pacientes en hemodiálisis respecto a la relación terapéutica con el personal de enfermería: un estudio cualitativo descriptivo. </w:t>
      </w:r>
      <w:r w:rsidRPr="001B7A93">
        <w:rPr>
          <w:rFonts w:cs="Times New Roman"/>
          <w:i/>
          <w:iCs/>
          <w:color w:val="000000" w:themeColor="text1"/>
          <w:sz w:val="22"/>
          <w:shd w:val="clear" w:color="auto" w:fill="FFFFFF"/>
        </w:rPr>
        <w:t xml:space="preserve">Revista Electrónica de </w:t>
      </w:r>
      <w:proofErr w:type="spellStart"/>
      <w:r w:rsidRPr="001B7A93">
        <w:rPr>
          <w:rFonts w:cs="Times New Roman"/>
          <w:i/>
          <w:iCs/>
          <w:color w:val="000000" w:themeColor="text1"/>
          <w:sz w:val="22"/>
          <w:shd w:val="clear" w:color="auto" w:fill="FFFFFF"/>
        </w:rPr>
        <w:t>PortalesMedicos</w:t>
      </w:r>
      <w:proofErr w:type="spellEnd"/>
      <w:r w:rsidRPr="001B7A93">
        <w:rPr>
          <w:rFonts w:cs="Times New Roman"/>
          <w:i/>
          <w:iCs/>
          <w:color w:val="000000" w:themeColor="text1"/>
          <w:sz w:val="22"/>
          <w:shd w:val="clear" w:color="auto" w:fill="FFFFFF"/>
        </w:rPr>
        <w:t xml:space="preserve">. </w:t>
      </w:r>
      <w:proofErr w:type="spellStart"/>
      <w:r w:rsidRPr="001B7A93">
        <w:rPr>
          <w:rFonts w:cs="Times New Roman"/>
          <w:i/>
          <w:iCs/>
          <w:color w:val="000000" w:themeColor="text1"/>
          <w:sz w:val="22"/>
          <w:shd w:val="clear" w:color="auto" w:fill="FFFFFF"/>
        </w:rPr>
        <w:t>com</w:t>
      </w:r>
      <w:proofErr w:type="spellEnd"/>
      <w:r w:rsidRPr="001B7A93">
        <w:rPr>
          <w:rFonts w:cs="Times New Roman"/>
          <w:color w:val="000000" w:themeColor="text1"/>
          <w:sz w:val="22"/>
          <w:shd w:val="clear" w:color="auto" w:fill="FFFFFF"/>
        </w:rPr>
        <w:t>, </w:t>
      </w:r>
      <w:r w:rsidRPr="001B7A93">
        <w:rPr>
          <w:rFonts w:cs="Times New Roman"/>
          <w:i/>
          <w:iCs/>
          <w:color w:val="000000" w:themeColor="text1"/>
          <w:sz w:val="22"/>
          <w:shd w:val="clear" w:color="auto" w:fill="FFFFFF"/>
        </w:rPr>
        <w:t>20</w:t>
      </w:r>
      <w:r w:rsidRPr="001B7A93">
        <w:rPr>
          <w:rFonts w:cs="Times New Roman"/>
          <w:color w:val="000000" w:themeColor="text1"/>
          <w:sz w:val="22"/>
          <w:shd w:val="clear" w:color="auto" w:fill="FFFFFF"/>
        </w:rPr>
        <w:t>(24), 1155-1155.</w:t>
      </w:r>
    </w:p>
    <w:p w14:paraId="4AC24874" w14:textId="77777777" w:rsidR="00DC7D6A" w:rsidRPr="001B7A93" w:rsidRDefault="00DC7D6A"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shd w:val="clear" w:color="auto" w:fill="FFFFFF"/>
          <w:lang w:val="es-EC"/>
        </w:rPr>
        <w:t xml:space="preserve">Lacasa, S. F., Galindo, O. S., Gode, M. M., Lizandra, T. R., &amp; </w:t>
      </w:r>
      <w:proofErr w:type="spellStart"/>
      <w:r w:rsidRPr="001B7A93">
        <w:rPr>
          <w:rFonts w:cs="Times New Roman"/>
          <w:color w:val="000000" w:themeColor="text1"/>
          <w:sz w:val="22"/>
          <w:shd w:val="clear" w:color="auto" w:fill="FFFFFF"/>
          <w:lang w:val="es-EC"/>
        </w:rPr>
        <w:t>Raluy</w:t>
      </w:r>
      <w:proofErr w:type="spellEnd"/>
      <w:r w:rsidRPr="001B7A93">
        <w:rPr>
          <w:rFonts w:cs="Times New Roman"/>
          <w:color w:val="000000" w:themeColor="text1"/>
          <w:sz w:val="22"/>
          <w:shd w:val="clear" w:color="auto" w:fill="FFFFFF"/>
          <w:lang w:val="es-EC"/>
        </w:rPr>
        <w:t>, R. L. (2025). Educación sanitaria en hemodiálisis: promoviendo el autocuidado y la adherencia al tratamiento. </w:t>
      </w:r>
      <w:r w:rsidRPr="001B7A93">
        <w:rPr>
          <w:rFonts w:cs="Times New Roman"/>
          <w:i/>
          <w:iCs/>
          <w:color w:val="000000" w:themeColor="text1"/>
          <w:sz w:val="22"/>
          <w:shd w:val="clear" w:color="auto" w:fill="FFFFFF"/>
        </w:rPr>
        <w:t>Revista Sanitaria de Investigación</w:t>
      </w:r>
      <w:r w:rsidRPr="001B7A93">
        <w:rPr>
          <w:rFonts w:cs="Times New Roman"/>
          <w:color w:val="000000" w:themeColor="text1"/>
          <w:sz w:val="22"/>
          <w:shd w:val="clear" w:color="auto" w:fill="FFFFFF"/>
        </w:rPr>
        <w:t>, </w:t>
      </w:r>
      <w:r w:rsidRPr="001B7A93">
        <w:rPr>
          <w:rFonts w:cs="Times New Roman"/>
          <w:i/>
          <w:iCs/>
          <w:color w:val="000000" w:themeColor="text1"/>
          <w:sz w:val="22"/>
          <w:shd w:val="clear" w:color="auto" w:fill="FFFFFF"/>
        </w:rPr>
        <w:t>6</w:t>
      </w:r>
      <w:r w:rsidRPr="001B7A93">
        <w:rPr>
          <w:rFonts w:cs="Times New Roman"/>
          <w:color w:val="000000" w:themeColor="text1"/>
          <w:sz w:val="22"/>
          <w:shd w:val="clear" w:color="auto" w:fill="FFFFFF"/>
        </w:rPr>
        <w:t>(4), 83.</w:t>
      </w:r>
    </w:p>
    <w:p w14:paraId="1A626B8D" w14:textId="77777777" w:rsidR="00DC7D6A" w:rsidRPr="001B7A93" w:rsidRDefault="00DC7D6A" w:rsidP="001B7A93">
      <w:pPr>
        <w:spacing w:before="0" w:after="160" w:line="259" w:lineRule="auto"/>
        <w:jc w:val="left"/>
        <w:rPr>
          <w:rFonts w:cs="Times New Roman"/>
          <w:color w:val="000000" w:themeColor="text1"/>
          <w:sz w:val="22"/>
          <w:shd w:val="clear" w:color="auto" w:fill="FFFFFF"/>
          <w:lang w:val="es-EC"/>
        </w:rPr>
      </w:pPr>
      <w:r w:rsidRPr="001B7A93">
        <w:rPr>
          <w:rFonts w:cs="Times New Roman"/>
          <w:color w:val="000000" w:themeColor="text1"/>
          <w:sz w:val="22"/>
          <w:shd w:val="clear" w:color="auto" w:fill="FFFFFF"/>
          <w:lang w:val="es-EC"/>
        </w:rPr>
        <w:t xml:space="preserve">León Revelo, E. M., Ruano Yarpaz, L. G., &amp; </w:t>
      </w:r>
      <w:proofErr w:type="spellStart"/>
      <w:r w:rsidRPr="001B7A93">
        <w:rPr>
          <w:rFonts w:cs="Times New Roman"/>
          <w:color w:val="000000" w:themeColor="text1"/>
          <w:sz w:val="22"/>
          <w:shd w:val="clear" w:color="auto" w:fill="FFFFFF"/>
          <w:lang w:val="es-EC"/>
        </w:rPr>
        <w:t>Chicaíza</w:t>
      </w:r>
      <w:proofErr w:type="spellEnd"/>
      <w:r w:rsidRPr="001B7A93">
        <w:rPr>
          <w:rFonts w:cs="Times New Roman"/>
          <w:color w:val="000000" w:themeColor="text1"/>
          <w:sz w:val="22"/>
          <w:shd w:val="clear" w:color="auto" w:fill="FFFFFF"/>
          <w:lang w:val="es-EC"/>
        </w:rPr>
        <w:t xml:space="preserve"> Enríquez, M. L. (2024). Percepción de cuidados humanizados de enfermería en pacientes con insuficiencia renal crónica de la </w:t>
      </w:r>
      <w:proofErr w:type="spellStart"/>
      <w:r w:rsidRPr="001B7A93">
        <w:rPr>
          <w:rFonts w:cs="Times New Roman"/>
          <w:color w:val="000000" w:themeColor="text1"/>
          <w:sz w:val="22"/>
          <w:shd w:val="clear" w:color="auto" w:fill="FFFFFF"/>
          <w:lang w:val="es-EC"/>
        </w:rPr>
        <w:t>clinica</w:t>
      </w:r>
      <w:proofErr w:type="spellEnd"/>
      <w:r w:rsidRPr="001B7A93">
        <w:rPr>
          <w:rFonts w:cs="Times New Roman"/>
          <w:color w:val="000000" w:themeColor="text1"/>
          <w:sz w:val="22"/>
          <w:shd w:val="clear" w:color="auto" w:fill="FFFFFF"/>
          <w:lang w:val="es-EC"/>
        </w:rPr>
        <w:t xml:space="preserve"> </w:t>
      </w:r>
      <w:proofErr w:type="spellStart"/>
      <w:r w:rsidRPr="001B7A93">
        <w:rPr>
          <w:rFonts w:cs="Times New Roman"/>
          <w:color w:val="000000" w:themeColor="text1"/>
          <w:sz w:val="22"/>
          <w:shd w:val="clear" w:color="auto" w:fill="FFFFFF"/>
          <w:lang w:val="es-EC"/>
        </w:rPr>
        <w:t>menydial</w:t>
      </w:r>
      <w:proofErr w:type="spellEnd"/>
      <w:r w:rsidRPr="001B7A93">
        <w:rPr>
          <w:rFonts w:cs="Times New Roman"/>
          <w:color w:val="000000" w:themeColor="text1"/>
          <w:sz w:val="22"/>
          <w:shd w:val="clear" w:color="auto" w:fill="FFFFFF"/>
          <w:lang w:val="es-EC"/>
        </w:rPr>
        <w:t>. </w:t>
      </w:r>
      <w:r w:rsidRPr="001B7A93">
        <w:rPr>
          <w:rFonts w:cs="Times New Roman"/>
          <w:i/>
          <w:iCs/>
          <w:color w:val="000000" w:themeColor="text1"/>
          <w:sz w:val="22"/>
          <w:shd w:val="clear" w:color="auto" w:fill="FFFFFF"/>
          <w:lang w:val="es-EC"/>
        </w:rPr>
        <w:t>Revista Cubana De Investigaciones Biomédicas</w:t>
      </w:r>
      <w:r w:rsidRPr="001B7A93">
        <w:rPr>
          <w:rFonts w:cs="Times New Roman"/>
          <w:color w:val="000000" w:themeColor="text1"/>
          <w:sz w:val="22"/>
          <w:shd w:val="clear" w:color="auto" w:fill="FFFFFF"/>
          <w:lang w:val="es-EC"/>
        </w:rPr>
        <w:t>, </w:t>
      </w:r>
      <w:r w:rsidRPr="001B7A93">
        <w:rPr>
          <w:rFonts w:cs="Times New Roman"/>
          <w:i/>
          <w:iCs/>
          <w:color w:val="000000" w:themeColor="text1"/>
          <w:sz w:val="22"/>
          <w:shd w:val="clear" w:color="auto" w:fill="FFFFFF"/>
          <w:lang w:val="es-EC"/>
        </w:rPr>
        <w:t>43</w:t>
      </w:r>
      <w:r w:rsidRPr="001B7A93">
        <w:rPr>
          <w:rFonts w:cs="Times New Roman"/>
          <w:color w:val="000000" w:themeColor="text1"/>
          <w:sz w:val="22"/>
          <w:shd w:val="clear" w:color="auto" w:fill="FFFFFF"/>
          <w:lang w:val="es-EC"/>
        </w:rPr>
        <w:t xml:space="preserve">. Recuperado a partir de </w:t>
      </w:r>
      <w:hyperlink r:id="rId15" w:history="1">
        <w:r w:rsidRPr="001B7A93">
          <w:rPr>
            <w:rStyle w:val="Hipervnculo"/>
            <w:rFonts w:cs="Times New Roman"/>
            <w:color w:val="000000" w:themeColor="text1"/>
            <w:sz w:val="22"/>
            <w:shd w:val="clear" w:color="auto" w:fill="FFFFFF"/>
            <w:lang w:val="es-EC"/>
          </w:rPr>
          <w:t>https://revibiomedica.sld.cu/index.php/ibi/article/view/3656</w:t>
        </w:r>
      </w:hyperlink>
    </w:p>
    <w:p w14:paraId="34EAC364" w14:textId="77777777" w:rsidR="00B333A2" w:rsidRPr="001B7A93" w:rsidRDefault="00B333A2"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shd w:val="clear" w:color="auto" w:fill="FFFFFF"/>
          <w:lang w:val="es-EC"/>
        </w:rPr>
        <w:t xml:space="preserve">Lladó Verdejo, A. A., Santos Padrón, H., Albarrán Metzer, J. A., &amp; Ávalos Díaz, C. (2025). Calidad percibida en el servicio de hemodiálisis en un hospital público de Tabasco, México. </w:t>
      </w:r>
      <w:r w:rsidRPr="001B7A93">
        <w:rPr>
          <w:rFonts w:cs="Times New Roman"/>
          <w:color w:val="000000" w:themeColor="text1"/>
          <w:sz w:val="22"/>
          <w:shd w:val="clear" w:color="auto" w:fill="FFFFFF"/>
        </w:rPr>
        <w:t xml:space="preserve">2023: </w:t>
      </w:r>
      <w:proofErr w:type="spellStart"/>
      <w:r w:rsidRPr="001B7A93">
        <w:rPr>
          <w:rFonts w:cs="Times New Roman"/>
          <w:color w:val="000000" w:themeColor="text1"/>
          <w:sz w:val="22"/>
          <w:shd w:val="clear" w:color="auto" w:fill="FFFFFF"/>
        </w:rPr>
        <w:t>Perceived</w:t>
      </w:r>
      <w:proofErr w:type="spellEnd"/>
      <w:r w:rsidRPr="001B7A93">
        <w:rPr>
          <w:rFonts w:cs="Times New Roman"/>
          <w:color w:val="000000" w:themeColor="text1"/>
          <w:sz w:val="22"/>
          <w:shd w:val="clear" w:color="auto" w:fill="FFFFFF"/>
        </w:rPr>
        <w:t xml:space="preserve"> </w:t>
      </w:r>
      <w:proofErr w:type="spellStart"/>
      <w:r w:rsidRPr="001B7A93">
        <w:rPr>
          <w:rFonts w:cs="Times New Roman"/>
          <w:color w:val="000000" w:themeColor="text1"/>
          <w:sz w:val="22"/>
          <w:shd w:val="clear" w:color="auto" w:fill="FFFFFF"/>
        </w:rPr>
        <w:t>quality</w:t>
      </w:r>
      <w:proofErr w:type="spellEnd"/>
      <w:r w:rsidRPr="001B7A93">
        <w:rPr>
          <w:rFonts w:cs="Times New Roman"/>
          <w:color w:val="000000" w:themeColor="text1"/>
          <w:sz w:val="22"/>
          <w:shd w:val="clear" w:color="auto" w:fill="FFFFFF"/>
        </w:rPr>
        <w:t xml:space="preserve"> </w:t>
      </w:r>
      <w:proofErr w:type="spellStart"/>
      <w:r w:rsidRPr="001B7A93">
        <w:rPr>
          <w:rFonts w:cs="Times New Roman"/>
          <w:color w:val="000000" w:themeColor="text1"/>
          <w:sz w:val="22"/>
          <w:shd w:val="clear" w:color="auto" w:fill="FFFFFF"/>
        </w:rPr>
        <w:t>of</w:t>
      </w:r>
      <w:proofErr w:type="spellEnd"/>
      <w:r w:rsidRPr="001B7A93">
        <w:rPr>
          <w:rFonts w:cs="Times New Roman"/>
          <w:color w:val="000000" w:themeColor="text1"/>
          <w:sz w:val="22"/>
          <w:shd w:val="clear" w:color="auto" w:fill="FFFFFF"/>
        </w:rPr>
        <w:t xml:space="preserve"> </w:t>
      </w:r>
      <w:proofErr w:type="spellStart"/>
      <w:r w:rsidRPr="001B7A93">
        <w:rPr>
          <w:rFonts w:cs="Times New Roman"/>
          <w:color w:val="000000" w:themeColor="text1"/>
          <w:sz w:val="22"/>
          <w:shd w:val="clear" w:color="auto" w:fill="FFFFFF"/>
        </w:rPr>
        <w:t>hemodialysis</w:t>
      </w:r>
      <w:proofErr w:type="spellEnd"/>
      <w:r w:rsidRPr="001B7A93">
        <w:rPr>
          <w:rFonts w:cs="Times New Roman"/>
          <w:color w:val="000000" w:themeColor="text1"/>
          <w:sz w:val="22"/>
          <w:shd w:val="clear" w:color="auto" w:fill="FFFFFF"/>
        </w:rPr>
        <w:t xml:space="preserve"> </w:t>
      </w:r>
      <w:proofErr w:type="spellStart"/>
      <w:r w:rsidRPr="001B7A93">
        <w:rPr>
          <w:rFonts w:cs="Times New Roman"/>
          <w:color w:val="000000" w:themeColor="text1"/>
          <w:sz w:val="22"/>
          <w:shd w:val="clear" w:color="auto" w:fill="FFFFFF"/>
        </w:rPr>
        <w:t>services</w:t>
      </w:r>
      <w:proofErr w:type="spellEnd"/>
      <w:r w:rsidRPr="001B7A93">
        <w:rPr>
          <w:rFonts w:cs="Times New Roman"/>
          <w:color w:val="000000" w:themeColor="text1"/>
          <w:sz w:val="22"/>
          <w:shd w:val="clear" w:color="auto" w:fill="FFFFFF"/>
        </w:rPr>
        <w:t xml:space="preserve"> in a </w:t>
      </w:r>
      <w:proofErr w:type="spellStart"/>
      <w:r w:rsidRPr="001B7A93">
        <w:rPr>
          <w:rFonts w:cs="Times New Roman"/>
          <w:color w:val="000000" w:themeColor="text1"/>
          <w:sz w:val="22"/>
          <w:shd w:val="clear" w:color="auto" w:fill="FFFFFF"/>
        </w:rPr>
        <w:t>public</w:t>
      </w:r>
      <w:proofErr w:type="spellEnd"/>
      <w:r w:rsidRPr="001B7A93">
        <w:rPr>
          <w:rFonts w:cs="Times New Roman"/>
          <w:color w:val="000000" w:themeColor="text1"/>
          <w:sz w:val="22"/>
          <w:shd w:val="clear" w:color="auto" w:fill="FFFFFF"/>
        </w:rPr>
        <w:t xml:space="preserve"> hospital in Tabasco, México. </w:t>
      </w:r>
      <w:r w:rsidRPr="001B7A93">
        <w:rPr>
          <w:rFonts w:cs="Times New Roman"/>
          <w:color w:val="000000" w:themeColor="text1"/>
          <w:sz w:val="22"/>
          <w:shd w:val="clear" w:color="auto" w:fill="FFFFFF"/>
          <w:lang w:val="es-EC"/>
        </w:rPr>
        <w:t>2023. </w:t>
      </w:r>
      <w:r w:rsidRPr="001B7A93">
        <w:rPr>
          <w:rFonts w:cs="Times New Roman"/>
          <w:i/>
          <w:iCs/>
          <w:color w:val="000000" w:themeColor="text1"/>
          <w:sz w:val="22"/>
          <w:shd w:val="clear" w:color="auto" w:fill="FFFFFF"/>
          <w:lang w:val="es-EC"/>
        </w:rPr>
        <w:t>LATAM Revista Latinoamericana De Ciencias Sociales Y Humanidades</w:t>
      </w:r>
      <w:r w:rsidRPr="001B7A93">
        <w:rPr>
          <w:rFonts w:cs="Times New Roman"/>
          <w:color w:val="000000" w:themeColor="text1"/>
          <w:sz w:val="22"/>
          <w:shd w:val="clear" w:color="auto" w:fill="FFFFFF"/>
          <w:lang w:val="es-EC"/>
        </w:rPr>
        <w:t>, </w:t>
      </w:r>
      <w:r w:rsidRPr="001B7A93">
        <w:rPr>
          <w:rFonts w:cs="Times New Roman"/>
          <w:i/>
          <w:iCs/>
          <w:color w:val="000000" w:themeColor="text1"/>
          <w:sz w:val="22"/>
          <w:shd w:val="clear" w:color="auto" w:fill="FFFFFF"/>
          <w:lang w:val="es-EC"/>
        </w:rPr>
        <w:t>6</w:t>
      </w:r>
      <w:r w:rsidRPr="001B7A93">
        <w:rPr>
          <w:rFonts w:cs="Times New Roman"/>
          <w:color w:val="000000" w:themeColor="text1"/>
          <w:sz w:val="22"/>
          <w:shd w:val="clear" w:color="auto" w:fill="FFFFFF"/>
          <w:lang w:val="es-EC"/>
        </w:rPr>
        <w:t xml:space="preserve">(5), 1465 – 1475. </w:t>
      </w:r>
      <w:hyperlink r:id="rId16" w:history="1">
        <w:r w:rsidRPr="001B7A93">
          <w:rPr>
            <w:rStyle w:val="Hipervnculo"/>
            <w:rFonts w:cs="Times New Roman"/>
            <w:color w:val="000000" w:themeColor="text1"/>
            <w:sz w:val="22"/>
            <w:shd w:val="clear" w:color="auto" w:fill="FFFFFF"/>
            <w:lang w:val="es-EC"/>
          </w:rPr>
          <w:t>https://doi.org/10.56712/latam.v6i5.4683</w:t>
        </w:r>
      </w:hyperlink>
    </w:p>
    <w:p w14:paraId="2D56B111" w14:textId="77777777" w:rsidR="00B333A2" w:rsidRPr="00B333A2" w:rsidRDefault="00B333A2" w:rsidP="00B333A2">
      <w:pPr>
        <w:spacing w:before="0" w:after="160" w:line="259" w:lineRule="auto"/>
        <w:jc w:val="left"/>
        <w:rPr>
          <w:rFonts w:cs="Times New Roman"/>
          <w:color w:val="000000" w:themeColor="text1"/>
          <w:sz w:val="22"/>
          <w:shd w:val="clear" w:color="auto" w:fill="FFFFFF"/>
          <w:lang w:val="es-EC"/>
        </w:rPr>
      </w:pPr>
      <w:r w:rsidRPr="001B7A93">
        <w:rPr>
          <w:rFonts w:cs="Times New Roman"/>
          <w:color w:val="000000" w:themeColor="text1"/>
          <w:sz w:val="22"/>
          <w:shd w:val="clear" w:color="auto" w:fill="FFFFFF"/>
          <w:lang w:val="es-EC"/>
        </w:rPr>
        <w:t xml:space="preserve">Murguía, A. B. V., Guillén, D. S., Pascual, M. I. A., </w:t>
      </w:r>
      <w:proofErr w:type="spellStart"/>
      <w:r w:rsidRPr="001B7A93">
        <w:rPr>
          <w:rFonts w:cs="Times New Roman"/>
          <w:color w:val="000000" w:themeColor="text1"/>
          <w:sz w:val="22"/>
          <w:shd w:val="clear" w:color="auto" w:fill="FFFFFF"/>
          <w:lang w:val="es-EC"/>
        </w:rPr>
        <w:t>Cubeles</w:t>
      </w:r>
      <w:proofErr w:type="spellEnd"/>
      <w:r w:rsidRPr="001B7A93">
        <w:rPr>
          <w:rFonts w:cs="Times New Roman"/>
          <w:color w:val="000000" w:themeColor="text1"/>
          <w:sz w:val="22"/>
          <w:shd w:val="clear" w:color="auto" w:fill="FFFFFF"/>
          <w:lang w:val="es-EC"/>
        </w:rPr>
        <w:t xml:space="preserve">, M. C. A., </w:t>
      </w:r>
      <w:proofErr w:type="spellStart"/>
      <w:r w:rsidRPr="001B7A93">
        <w:rPr>
          <w:rFonts w:cs="Times New Roman"/>
          <w:color w:val="000000" w:themeColor="text1"/>
          <w:sz w:val="22"/>
          <w:shd w:val="clear" w:color="auto" w:fill="FFFFFF"/>
          <w:lang w:val="es-EC"/>
        </w:rPr>
        <w:t>Marcén</w:t>
      </w:r>
      <w:proofErr w:type="spellEnd"/>
      <w:r w:rsidRPr="001B7A93">
        <w:rPr>
          <w:rFonts w:cs="Times New Roman"/>
          <w:color w:val="000000" w:themeColor="text1"/>
          <w:sz w:val="22"/>
          <w:shd w:val="clear" w:color="auto" w:fill="FFFFFF"/>
          <w:lang w:val="es-EC"/>
        </w:rPr>
        <w:t xml:space="preserve">, R. G., &amp; Murillo, E. N. O. (2025). Acceso vascular en hemodiálisis: importancia del autocuidado del paciente con </w:t>
      </w:r>
      <w:proofErr w:type="spellStart"/>
      <w:r w:rsidRPr="001B7A93">
        <w:rPr>
          <w:rFonts w:cs="Times New Roman"/>
          <w:color w:val="000000" w:themeColor="text1"/>
          <w:sz w:val="22"/>
          <w:shd w:val="clear" w:color="auto" w:fill="FFFFFF"/>
          <w:lang w:val="es-EC"/>
        </w:rPr>
        <w:t>FAVn</w:t>
      </w:r>
      <w:proofErr w:type="spellEnd"/>
      <w:r w:rsidRPr="001B7A93">
        <w:rPr>
          <w:rFonts w:cs="Times New Roman"/>
          <w:color w:val="000000" w:themeColor="text1"/>
          <w:sz w:val="22"/>
          <w:shd w:val="clear" w:color="auto" w:fill="FFFFFF"/>
          <w:lang w:val="es-EC"/>
        </w:rPr>
        <w:t>. </w:t>
      </w:r>
      <w:r w:rsidRPr="001B7A93">
        <w:rPr>
          <w:rFonts w:cs="Times New Roman"/>
          <w:i/>
          <w:iCs/>
          <w:color w:val="000000" w:themeColor="text1"/>
          <w:sz w:val="22"/>
          <w:shd w:val="clear" w:color="auto" w:fill="FFFFFF"/>
        </w:rPr>
        <w:t>Revista Sanitaria de Investigación</w:t>
      </w:r>
      <w:r w:rsidRPr="001B7A93">
        <w:rPr>
          <w:rFonts w:cs="Times New Roman"/>
          <w:color w:val="000000" w:themeColor="text1"/>
          <w:sz w:val="22"/>
          <w:shd w:val="clear" w:color="auto" w:fill="FFFFFF"/>
        </w:rPr>
        <w:t>, </w:t>
      </w:r>
      <w:r w:rsidRPr="001B7A93">
        <w:rPr>
          <w:rFonts w:cs="Times New Roman"/>
          <w:i/>
          <w:iCs/>
          <w:color w:val="000000" w:themeColor="text1"/>
          <w:sz w:val="22"/>
          <w:shd w:val="clear" w:color="auto" w:fill="FFFFFF"/>
        </w:rPr>
        <w:t>6</w:t>
      </w:r>
      <w:r w:rsidRPr="001B7A93">
        <w:rPr>
          <w:rFonts w:cs="Times New Roman"/>
          <w:color w:val="000000" w:themeColor="text1"/>
          <w:sz w:val="22"/>
          <w:shd w:val="clear" w:color="auto" w:fill="FFFFFF"/>
        </w:rPr>
        <w:t>(7), 120.</w:t>
      </w:r>
    </w:p>
    <w:p w14:paraId="71D39591" w14:textId="77777777" w:rsidR="00B333A2" w:rsidRPr="00B333A2" w:rsidRDefault="00B333A2" w:rsidP="00B333A2">
      <w:pPr>
        <w:spacing w:before="0" w:after="160" w:line="259" w:lineRule="auto"/>
        <w:jc w:val="left"/>
        <w:rPr>
          <w:rFonts w:cs="Times New Roman"/>
          <w:color w:val="000000" w:themeColor="text1"/>
          <w:sz w:val="22"/>
          <w:shd w:val="clear" w:color="auto" w:fill="FFFFFF"/>
          <w:lang w:val="es-EC"/>
        </w:rPr>
      </w:pPr>
      <w:r w:rsidRPr="00B333A2">
        <w:rPr>
          <w:rFonts w:cs="Times New Roman"/>
          <w:color w:val="000000" w:themeColor="text1"/>
          <w:sz w:val="22"/>
          <w:shd w:val="clear" w:color="auto" w:fill="FFFFFF"/>
          <w:lang w:val="es-EC"/>
        </w:rPr>
        <w:t xml:space="preserve">Page, M., McKenzie, J., Bossuyt, P., </w:t>
      </w:r>
      <w:proofErr w:type="spellStart"/>
      <w:r w:rsidRPr="00B333A2">
        <w:rPr>
          <w:rFonts w:cs="Times New Roman"/>
          <w:color w:val="000000" w:themeColor="text1"/>
          <w:sz w:val="22"/>
          <w:shd w:val="clear" w:color="auto" w:fill="FFFFFF"/>
          <w:lang w:val="es-EC"/>
        </w:rPr>
        <w:t>Boutron</w:t>
      </w:r>
      <w:proofErr w:type="spellEnd"/>
      <w:r w:rsidRPr="00B333A2">
        <w:rPr>
          <w:rFonts w:cs="Times New Roman"/>
          <w:color w:val="000000" w:themeColor="text1"/>
          <w:sz w:val="22"/>
          <w:shd w:val="clear" w:color="auto" w:fill="FFFFFF"/>
          <w:lang w:val="es-EC"/>
        </w:rPr>
        <w:t xml:space="preserve">, I., Hoffmann, T., </w:t>
      </w:r>
      <w:proofErr w:type="spellStart"/>
      <w:r w:rsidRPr="00B333A2">
        <w:rPr>
          <w:rFonts w:cs="Times New Roman"/>
          <w:color w:val="000000" w:themeColor="text1"/>
          <w:sz w:val="22"/>
          <w:shd w:val="clear" w:color="auto" w:fill="FFFFFF"/>
          <w:lang w:val="es-EC"/>
        </w:rPr>
        <w:t>Mulrow</w:t>
      </w:r>
      <w:proofErr w:type="spellEnd"/>
      <w:r w:rsidRPr="00B333A2">
        <w:rPr>
          <w:rFonts w:cs="Times New Roman"/>
          <w:color w:val="000000" w:themeColor="text1"/>
          <w:sz w:val="22"/>
          <w:shd w:val="clear" w:color="auto" w:fill="FFFFFF"/>
          <w:lang w:val="es-EC"/>
        </w:rPr>
        <w:t>, C., . . . Moher, D. (2021). Declaración PRISMA</w:t>
      </w:r>
      <w:r>
        <w:rPr>
          <w:rFonts w:cs="Times New Roman"/>
          <w:color w:val="000000" w:themeColor="text1"/>
          <w:sz w:val="22"/>
          <w:shd w:val="clear" w:color="auto" w:fill="FFFFFF"/>
          <w:lang w:val="es-EC"/>
        </w:rPr>
        <w:t xml:space="preserve"> </w:t>
      </w:r>
      <w:r w:rsidRPr="00B333A2">
        <w:rPr>
          <w:rFonts w:cs="Times New Roman"/>
          <w:color w:val="000000" w:themeColor="text1"/>
          <w:sz w:val="22"/>
          <w:shd w:val="clear" w:color="auto" w:fill="FFFFFF"/>
          <w:lang w:val="es-EC"/>
        </w:rPr>
        <w:t>2020: una guía actualizada para la publicación de revisiones sistemáticas</w:t>
      </w:r>
      <w:r w:rsidRPr="00B333A2">
        <w:rPr>
          <w:rFonts w:cs="Times New Roman"/>
          <w:i/>
          <w:iCs/>
          <w:color w:val="000000" w:themeColor="text1"/>
          <w:sz w:val="22"/>
          <w:shd w:val="clear" w:color="auto" w:fill="FFFFFF"/>
          <w:lang w:val="es-EC"/>
        </w:rPr>
        <w:t>. Revista Española de Cardiología, 74</w:t>
      </w:r>
      <w:r w:rsidRPr="00B333A2">
        <w:rPr>
          <w:rFonts w:cs="Times New Roman"/>
          <w:color w:val="000000" w:themeColor="text1"/>
          <w:sz w:val="22"/>
          <w:shd w:val="clear" w:color="auto" w:fill="FFFFFF"/>
          <w:lang w:val="es-EC"/>
        </w:rPr>
        <w:t xml:space="preserve">(9), 790-799. </w:t>
      </w:r>
      <w:hyperlink r:id="rId17" w:history="1">
        <w:r w:rsidRPr="00B333A2">
          <w:rPr>
            <w:rStyle w:val="Hipervnculo"/>
            <w:rFonts w:cs="Times New Roman"/>
            <w:color w:val="000000" w:themeColor="text1"/>
            <w:sz w:val="22"/>
            <w:u w:val="none"/>
            <w:shd w:val="clear" w:color="auto" w:fill="FFFFFF"/>
            <w:lang w:val="es-EC"/>
          </w:rPr>
          <w:t>https://www.revespcardiol.org/es-declaracion-prisma-2020-una-guia-articulo-S0300893221002748</w:t>
        </w:r>
      </w:hyperlink>
    </w:p>
    <w:p w14:paraId="3131EBFC" w14:textId="77777777" w:rsidR="00DC7D6A" w:rsidRPr="001B7A93" w:rsidRDefault="00DC7D6A"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shd w:val="clear" w:color="auto" w:fill="FFFFFF"/>
          <w:lang w:val="es-EC"/>
        </w:rPr>
        <w:lastRenderedPageBreak/>
        <w:t xml:space="preserve">Ramos-Ramírez, M. E., Méndez-Cázares, J. A., Castro-Valverde, K. I., &amp; Flores-Vidovich, Y. K. (2022). Satisfacción con la calidad de atención en pacientes en hemodiálisis de un hospital de Sonora / </w:t>
      </w:r>
      <w:proofErr w:type="spellStart"/>
      <w:r w:rsidRPr="001B7A93">
        <w:rPr>
          <w:rFonts w:cs="Times New Roman"/>
          <w:color w:val="000000" w:themeColor="text1"/>
          <w:sz w:val="22"/>
          <w:shd w:val="clear" w:color="auto" w:fill="FFFFFF"/>
          <w:lang w:val="es-EC"/>
        </w:rPr>
        <w:t>Satisfaction</w:t>
      </w:r>
      <w:proofErr w:type="spellEnd"/>
      <w:r w:rsidRPr="001B7A93">
        <w:rPr>
          <w:rFonts w:cs="Times New Roman"/>
          <w:color w:val="000000" w:themeColor="text1"/>
          <w:sz w:val="22"/>
          <w:shd w:val="clear" w:color="auto" w:fill="FFFFFF"/>
          <w:lang w:val="es-EC"/>
        </w:rPr>
        <w:t xml:space="preserve"> </w:t>
      </w:r>
      <w:proofErr w:type="spellStart"/>
      <w:r w:rsidRPr="001B7A93">
        <w:rPr>
          <w:rFonts w:cs="Times New Roman"/>
          <w:color w:val="000000" w:themeColor="text1"/>
          <w:sz w:val="22"/>
          <w:shd w:val="clear" w:color="auto" w:fill="FFFFFF"/>
          <w:lang w:val="es-EC"/>
        </w:rPr>
        <w:t>with</w:t>
      </w:r>
      <w:proofErr w:type="spellEnd"/>
      <w:r w:rsidRPr="001B7A93">
        <w:rPr>
          <w:rFonts w:cs="Times New Roman"/>
          <w:color w:val="000000" w:themeColor="text1"/>
          <w:sz w:val="22"/>
          <w:shd w:val="clear" w:color="auto" w:fill="FFFFFF"/>
          <w:lang w:val="es-EC"/>
        </w:rPr>
        <w:t xml:space="preserve"> </w:t>
      </w:r>
      <w:proofErr w:type="spellStart"/>
      <w:r w:rsidRPr="001B7A93">
        <w:rPr>
          <w:rFonts w:cs="Times New Roman"/>
          <w:color w:val="000000" w:themeColor="text1"/>
          <w:sz w:val="22"/>
          <w:shd w:val="clear" w:color="auto" w:fill="FFFFFF"/>
          <w:lang w:val="es-EC"/>
        </w:rPr>
        <w:t>quality</w:t>
      </w:r>
      <w:proofErr w:type="spellEnd"/>
      <w:r w:rsidRPr="001B7A93">
        <w:rPr>
          <w:rFonts w:cs="Times New Roman"/>
          <w:color w:val="000000" w:themeColor="text1"/>
          <w:sz w:val="22"/>
          <w:shd w:val="clear" w:color="auto" w:fill="FFFFFF"/>
          <w:lang w:val="es-EC"/>
        </w:rPr>
        <w:t xml:space="preserve"> </w:t>
      </w:r>
      <w:proofErr w:type="spellStart"/>
      <w:r w:rsidRPr="001B7A93">
        <w:rPr>
          <w:rFonts w:cs="Times New Roman"/>
          <w:color w:val="000000" w:themeColor="text1"/>
          <w:sz w:val="22"/>
          <w:shd w:val="clear" w:color="auto" w:fill="FFFFFF"/>
          <w:lang w:val="es-EC"/>
        </w:rPr>
        <w:t>of</w:t>
      </w:r>
      <w:proofErr w:type="spellEnd"/>
      <w:r w:rsidRPr="001B7A93">
        <w:rPr>
          <w:rFonts w:cs="Times New Roman"/>
          <w:color w:val="000000" w:themeColor="text1"/>
          <w:sz w:val="22"/>
          <w:shd w:val="clear" w:color="auto" w:fill="FFFFFF"/>
          <w:lang w:val="es-EC"/>
        </w:rPr>
        <w:t xml:space="preserve"> care in </w:t>
      </w:r>
      <w:proofErr w:type="spellStart"/>
      <w:r w:rsidRPr="001B7A93">
        <w:rPr>
          <w:rFonts w:cs="Times New Roman"/>
          <w:color w:val="000000" w:themeColor="text1"/>
          <w:sz w:val="22"/>
          <w:shd w:val="clear" w:color="auto" w:fill="FFFFFF"/>
          <w:lang w:val="es-EC"/>
        </w:rPr>
        <w:t>patients</w:t>
      </w:r>
      <w:proofErr w:type="spellEnd"/>
      <w:r w:rsidRPr="001B7A93">
        <w:rPr>
          <w:rFonts w:cs="Times New Roman"/>
          <w:color w:val="000000" w:themeColor="text1"/>
          <w:sz w:val="22"/>
          <w:shd w:val="clear" w:color="auto" w:fill="FFFFFF"/>
          <w:lang w:val="es-EC"/>
        </w:rPr>
        <w:t xml:space="preserve"> </w:t>
      </w:r>
      <w:proofErr w:type="spellStart"/>
      <w:r w:rsidRPr="001B7A93">
        <w:rPr>
          <w:rFonts w:cs="Times New Roman"/>
          <w:color w:val="000000" w:themeColor="text1"/>
          <w:sz w:val="22"/>
          <w:shd w:val="clear" w:color="auto" w:fill="FFFFFF"/>
          <w:lang w:val="es-EC"/>
        </w:rPr>
        <w:t>on</w:t>
      </w:r>
      <w:proofErr w:type="spellEnd"/>
      <w:r w:rsidRPr="001B7A93">
        <w:rPr>
          <w:rFonts w:cs="Times New Roman"/>
          <w:color w:val="000000" w:themeColor="text1"/>
          <w:sz w:val="22"/>
          <w:shd w:val="clear" w:color="auto" w:fill="FFFFFF"/>
          <w:lang w:val="es-EC"/>
        </w:rPr>
        <w:t xml:space="preserve"> </w:t>
      </w:r>
      <w:proofErr w:type="spellStart"/>
      <w:r w:rsidRPr="001B7A93">
        <w:rPr>
          <w:rFonts w:cs="Times New Roman"/>
          <w:color w:val="000000" w:themeColor="text1"/>
          <w:sz w:val="22"/>
          <w:shd w:val="clear" w:color="auto" w:fill="FFFFFF"/>
          <w:lang w:val="es-EC"/>
        </w:rPr>
        <w:t>hemodialysis</w:t>
      </w:r>
      <w:proofErr w:type="spellEnd"/>
      <w:r w:rsidRPr="001B7A93">
        <w:rPr>
          <w:rFonts w:cs="Times New Roman"/>
          <w:color w:val="000000" w:themeColor="text1"/>
          <w:sz w:val="22"/>
          <w:shd w:val="clear" w:color="auto" w:fill="FFFFFF"/>
          <w:lang w:val="es-EC"/>
        </w:rPr>
        <w:t xml:space="preserve"> in a hospital </w:t>
      </w:r>
      <w:proofErr w:type="gramStart"/>
      <w:r w:rsidRPr="001B7A93">
        <w:rPr>
          <w:rFonts w:cs="Times New Roman"/>
          <w:color w:val="000000" w:themeColor="text1"/>
          <w:sz w:val="22"/>
          <w:shd w:val="clear" w:color="auto" w:fill="FFFFFF"/>
          <w:lang w:val="es-EC"/>
        </w:rPr>
        <w:t>in Sonora</w:t>
      </w:r>
      <w:proofErr w:type="gramEnd"/>
      <w:r w:rsidRPr="001B7A93">
        <w:rPr>
          <w:rFonts w:cs="Times New Roman"/>
          <w:color w:val="000000" w:themeColor="text1"/>
          <w:sz w:val="22"/>
          <w:shd w:val="clear" w:color="auto" w:fill="FFFFFF"/>
          <w:lang w:val="es-EC"/>
        </w:rPr>
        <w:t>. </w:t>
      </w:r>
      <w:r w:rsidRPr="001B7A93">
        <w:rPr>
          <w:rFonts w:cs="Times New Roman"/>
          <w:i/>
          <w:iCs/>
          <w:color w:val="000000" w:themeColor="text1"/>
          <w:sz w:val="22"/>
          <w:shd w:val="clear" w:color="auto" w:fill="FFFFFF"/>
          <w:lang w:val="es-EC"/>
        </w:rPr>
        <w:t>Revista De Enfermerí</w:t>
      </w:r>
      <w:r w:rsidRPr="001B7A93">
        <w:rPr>
          <w:rFonts w:cs="Times New Roman"/>
          <w:i/>
          <w:iCs/>
          <w:color w:val="000000" w:themeColor="text1"/>
          <w:sz w:val="22"/>
          <w:shd w:val="clear" w:color="auto" w:fill="FFFFFF"/>
          <w:lang w:val="es-EC"/>
        </w:rPr>
        <w:softHyphen/>
        <w:t>a Del Instituto Mexicano Del Seguro Social</w:t>
      </w:r>
      <w:r w:rsidRPr="001B7A93">
        <w:rPr>
          <w:rFonts w:cs="Times New Roman"/>
          <w:color w:val="000000" w:themeColor="text1"/>
          <w:sz w:val="22"/>
          <w:shd w:val="clear" w:color="auto" w:fill="FFFFFF"/>
          <w:lang w:val="es-EC"/>
        </w:rPr>
        <w:t>, </w:t>
      </w:r>
      <w:r w:rsidRPr="001B7A93">
        <w:rPr>
          <w:rFonts w:cs="Times New Roman"/>
          <w:i/>
          <w:iCs/>
          <w:color w:val="000000" w:themeColor="text1"/>
          <w:sz w:val="22"/>
          <w:shd w:val="clear" w:color="auto" w:fill="FFFFFF"/>
          <w:lang w:val="es-EC"/>
        </w:rPr>
        <w:t>30</w:t>
      </w:r>
      <w:r w:rsidRPr="001B7A93">
        <w:rPr>
          <w:rFonts w:cs="Times New Roman"/>
          <w:color w:val="000000" w:themeColor="text1"/>
          <w:sz w:val="22"/>
          <w:shd w:val="clear" w:color="auto" w:fill="FFFFFF"/>
          <w:lang w:val="es-EC"/>
        </w:rPr>
        <w:t>(3), 54-9. </w:t>
      </w:r>
      <w:hyperlink r:id="rId18" w:history="1">
        <w:r w:rsidRPr="001B7A93">
          <w:rPr>
            <w:rStyle w:val="Hipervnculo"/>
            <w:rFonts w:cs="Times New Roman"/>
            <w:color w:val="000000" w:themeColor="text1"/>
            <w:sz w:val="22"/>
            <w:shd w:val="clear" w:color="auto" w:fill="FFFFFF"/>
            <w:lang w:val="es-EC"/>
          </w:rPr>
          <w:t>https://revistaenfermeria.imss.gob.mx/index.php/revista_enfermeria/article/view/1237</w:t>
        </w:r>
      </w:hyperlink>
    </w:p>
    <w:p w14:paraId="6336E3E2" w14:textId="77777777" w:rsidR="00DC7D6A" w:rsidRPr="001B7A93" w:rsidRDefault="00DC7D6A"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lang w:val="es-EC"/>
        </w:rPr>
        <w:t xml:space="preserve">Rivas Amable, O. R., Iznaga Morales, L., Reyes Saborit, A., &amp; </w:t>
      </w:r>
      <w:proofErr w:type="spellStart"/>
      <w:r w:rsidRPr="001B7A93">
        <w:rPr>
          <w:rFonts w:cs="Times New Roman"/>
          <w:color w:val="000000" w:themeColor="text1"/>
          <w:sz w:val="22"/>
          <w:lang w:val="es-EC"/>
        </w:rPr>
        <w:t>Molerio</w:t>
      </w:r>
      <w:proofErr w:type="spellEnd"/>
      <w:r w:rsidRPr="001B7A93">
        <w:rPr>
          <w:rFonts w:cs="Times New Roman"/>
          <w:color w:val="000000" w:themeColor="text1"/>
          <w:sz w:val="22"/>
          <w:lang w:val="es-EC"/>
        </w:rPr>
        <w:t xml:space="preserve"> Pérez, O. (2025). Satisfacción con servicios de salud en hemodiálisis. Su expresión desde el acompañante. </w:t>
      </w:r>
      <w:r w:rsidRPr="001B7A93">
        <w:rPr>
          <w:rFonts w:cs="Times New Roman"/>
          <w:i/>
          <w:iCs/>
          <w:color w:val="000000" w:themeColor="text1"/>
          <w:sz w:val="22"/>
          <w:lang w:val="es-EC"/>
        </w:rPr>
        <w:t>Maestro Y Sociedad</w:t>
      </w:r>
      <w:r w:rsidRPr="001B7A93">
        <w:rPr>
          <w:rFonts w:cs="Times New Roman"/>
          <w:color w:val="000000" w:themeColor="text1"/>
          <w:sz w:val="22"/>
          <w:lang w:val="es-EC"/>
        </w:rPr>
        <w:t>, </w:t>
      </w:r>
      <w:r w:rsidRPr="001B7A93">
        <w:rPr>
          <w:rFonts w:cs="Times New Roman"/>
          <w:i/>
          <w:iCs/>
          <w:color w:val="000000" w:themeColor="text1"/>
          <w:sz w:val="22"/>
          <w:lang w:val="es-EC"/>
        </w:rPr>
        <w:t>22</w:t>
      </w:r>
      <w:r w:rsidRPr="001B7A93">
        <w:rPr>
          <w:rFonts w:cs="Times New Roman"/>
          <w:color w:val="000000" w:themeColor="text1"/>
          <w:sz w:val="22"/>
          <w:lang w:val="es-EC"/>
        </w:rPr>
        <w:t xml:space="preserve">(4), 3612–3617. Recuperado a partir de </w:t>
      </w:r>
      <w:hyperlink r:id="rId19" w:history="1">
        <w:r w:rsidRPr="001B7A93">
          <w:rPr>
            <w:rStyle w:val="Hipervnculo"/>
            <w:rFonts w:cs="Times New Roman"/>
            <w:color w:val="000000" w:themeColor="text1"/>
            <w:sz w:val="22"/>
            <w:lang w:val="es-EC"/>
          </w:rPr>
          <w:t>https://maestroysociedad.uo.edu.cu/index.php/MyS/article/view/7280</w:t>
        </w:r>
      </w:hyperlink>
    </w:p>
    <w:p w14:paraId="4BD13DED" w14:textId="77777777" w:rsidR="00DC7D6A" w:rsidRPr="001B7A93" w:rsidRDefault="00DC7D6A"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shd w:val="clear" w:color="auto" w:fill="FFFFFF"/>
          <w:lang w:val="es-EC"/>
        </w:rPr>
        <w:t>Ruiz, V. M. A., González, R. S., Romero, I. P., Peman, E. A., Fernández, C. M. S., &amp; Carcas, T. M. (2024). Cuidados en el manejo de catéteres venosos centrales como acceso vascular para hemodiálisis. </w:t>
      </w:r>
      <w:r w:rsidRPr="001B7A93">
        <w:rPr>
          <w:rFonts w:cs="Times New Roman"/>
          <w:i/>
          <w:iCs/>
          <w:color w:val="000000" w:themeColor="text1"/>
          <w:sz w:val="22"/>
          <w:shd w:val="clear" w:color="auto" w:fill="FFFFFF"/>
        </w:rPr>
        <w:t>Revista Sanitaria de Investigación</w:t>
      </w:r>
      <w:r w:rsidRPr="001B7A93">
        <w:rPr>
          <w:rFonts w:cs="Times New Roman"/>
          <w:color w:val="000000" w:themeColor="text1"/>
          <w:sz w:val="22"/>
          <w:shd w:val="clear" w:color="auto" w:fill="FFFFFF"/>
        </w:rPr>
        <w:t>, </w:t>
      </w:r>
      <w:r w:rsidRPr="001B7A93">
        <w:rPr>
          <w:rFonts w:cs="Times New Roman"/>
          <w:i/>
          <w:iCs/>
          <w:color w:val="000000" w:themeColor="text1"/>
          <w:sz w:val="22"/>
          <w:shd w:val="clear" w:color="auto" w:fill="FFFFFF"/>
        </w:rPr>
        <w:t>5</w:t>
      </w:r>
      <w:r w:rsidRPr="001B7A93">
        <w:rPr>
          <w:rFonts w:cs="Times New Roman"/>
          <w:color w:val="000000" w:themeColor="text1"/>
          <w:sz w:val="22"/>
          <w:shd w:val="clear" w:color="auto" w:fill="FFFFFF"/>
        </w:rPr>
        <w:t>(8), 418.</w:t>
      </w:r>
    </w:p>
    <w:p w14:paraId="35418B5C" w14:textId="77777777" w:rsidR="00DC7D6A" w:rsidRPr="001B7A93" w:rsidRDefault="00DC7D6A" w:rsidP="001B7A93">
      <w:pPr>
        <w:spacing w:before="0" w:after="160" w:line="259" w:lineRule="auto"/>
        <w:jc w:val="left"/>
        <w:rPr>
          <w:rFonts w:cs="Times New Roman"/>
          <w:color w:val="000000" w:themeColor="text1"/>
          <w:sz w:val="22"/>
          <w:shd w:val="clear" w:color="auto" w:fill="FFFFFF"/>
          <w:lang w:val="es-EC"/>
        </w:rPr>
      </w:pPr>
      <w:r w:rsidRPr="001B7A93">
        <w:rPr>
          <w:rFonts w:cs="Times New Roman"/>
          <w:color w:val="000000" w:themeColor="text1"/>
          <w:sz w:val="22"/>
          <w:shd w:val="clear" w:color="auto" w:fill="FFFFFF"/>
          <w:lang w:val="es-EC"/>
        </w:rPr>
        <w:t xml:space="preserve">Sáez Pulgar, K. </w:t>
      </w:r>
      <w:proofErr w:type="gramStart"/>
      <w:r w:rsidRPr="001B7A93">
        <w:rPr>
          <w:rFonts w:cs="Times New Roman"/>
          <w:color w:val="000000" w:themeColor="text1"/>
          <w:sz w:val="22"/>
          <w:shd w:val="clear" w:color="auto" w:fill="FFFFFF"/>
          <w:lang w:val="es-EC"/>
        </w:rPr>
        <w:t>A. .</w:t>
      </w:r>
      <w:proofErr w:type="gramEnd"/>
      <w:r w:rsidRPr="001B7A93">
        <w:rPr>
          <w:rFonts w:cs="Times New Roman"/>
          <w:color w:val="000000" w:themeColor="text1"/>
          <w:sz w:val="22"/>
          <w:shd w:val="clear" w:color="auto" w:fill="FFFFFF"/>
          <w:lang w:val="es-EC"/>
        </w:rPr>
        <w:t xml:space="preserve">, Jofré Aravena, </w:t>
      </w:r>
      <w:proofErr w:type="gramStart"/>
      <w:r w:rsidRPr="001B7A93">
        <w:rPr>
          <w:rFonts w:cs="Times New Roman"/>
          <w:color w:val="000000" w:themeColor="text1"/>
          <w:sz w:val="22"/>
          <w:shd w:val="clear" w:color="auto" w:fill="FFFFFF"/>
          <w:lang w:val="es-EC"/>
        </w:rPr>
        <w:t>V. .</w:t>
      </w:r>
      <w:proofErr w:type="gramEnd"/>
      <w:r w:rsidRPr="001B7A93">
        <w:rPr>
          <w:rFonts w:cs="Times New Roman"/>
          <w:color w:val="000000" w:themeColor="text1"/>
          <w:sz w:val="22"/>
          <w:shd w:val="clear" w:color="auto" w:fill="FFFFFF"/>
          <w:lang w:val="es-EC"/>
        </w:rPr>
        <w:t xml:space="preserve">, &amp; Lagos </w:t>
      </w:r>
      <w:proofErr w:type="gramStart"/>
      <w:r w:rsidRPr="001B7A93">
        <w:rPr>
          <w:rFonts w:cs="Times New Roman"/>
          <w:color w:val="000000" w:themeColor="text1"/>
          <w:sz w:val="22"/>
          <w:shd w:val="clear" w:color="auto" w:fill="FFFFFF"/>
          <w:lang w:val="es-EC"/>
        </w:rPr>
        <w:t>Garrido ,</w:t>
      </w:r>
      <w:proofErr w:type="gramEnd"/>
      <w:r w:rsidRPr="001B7A93">
        <w:rPr>
          <w:rFonts w:cs="Times New Roman"/>
          <w:color w:val="000000" w:themeColor="text1"/>
          <w:sz w:val="22"/>
          <w:shd w:val="clear" w:color="auto" w:fill="FFFFFF"/>
          <w:lang w:val="es-EC"/>
        </w:rPr>
        <w:t xml:space="preserve"> M. </w:t>
      </w:r>
      <w:proofErr w:type="gramStart"/>
      <w:r w:rsidRPr="001B7A93">
        <w:rPr>
          <w:rFonts w:cs="Times New Roman"/>
          <w:color w:val="000000" w:themeColor="text1"/>
          <w:sz w:val="22"/>
          <w:shd w:val="clear" w:color="auto" w:fill="FFFFFF"/>
          <w:lang w:val="es-EC"/>
        </w:rPr>
        <w:t>E. .</w:t>
      </w:r>
      <w:proofErr w:type="gramEnd"/>
      <w:r w:rsidRPr="001B7A93">
        <w:rPr>
          <w:rFonts w:cs="Times New Roman"/>
          <w:color w:val="000000" w:themeColor="text1"/>
          <w:sz w:val="22"/>
          <w:shd w:val="clear" w:color="auto" w:fill="FFFFFF"/>
          <w:lang w:val="es-EC"/>
        </w:rPr>
        <w:t xml:space="preserve"> (2025). Percepción de la persona en hemodiálisis sobre la calidad de la atención </w:t>
      </w:r>
      <w:proofErr w:type="gramStart"/>
      <w:r w:rsidRPr="001B7A93">
        <w:rPr>
          <w:rFonts w:cs="Times New Roman"/>
          <w:color w:val="000000" w:themeColor="text1"/>
          <w:sz w:val="22"/>
          <w:shd w:val="clear" w:color="auto" w:fill="FFFFFF"/>
          <w:lang w:val="es-EC"/>
        </w:rPr>
        <w:t>sanitaria .</w:t>
      </w:r>
      <w:proofErr w:type="gramEnd"/>
      <w:r w:rsidRPr="001B7A93">
        <w:rPr>
          <w:rFonts w:cs="Times New Roman"/>
          <w:color w:val="000000" w:themeColor="text1"/>
          <w:sz w:val="22"/>
          <w:shd w:val="clear" w:color="auto" w:fill="FFFFFF"/>
          <w:lang w:val="es-EC"/>
        </w:rPr>
        <w:t> </w:t>
      </w:r>
      <w:r w:rsidRPr="001B7A93">
        <w:rPr>
          <w:rFonts w:cs="Times New Roman"/>
          <w:i/>
          <w:iCs/>
          <w:color w:val="000000" w:themeColor="text1"/>
          <w:sz w:val="22"/>
          <w:shd w:val="clear" w:color="auto" w:fill="FFFFFF"/>
          <w:lang w:val="es-EC"/>
        </w:rPr>
        <w:t>Horizonte De Enfermería</w:t>
      </w:r>
      <w:r w:rsidRPr="001B7A93">
        <w:rPr>
          <w:rFonts w:cs="Times New Roman"/>
          <w:color w:val="000000" w:themeColor="text1"/>
          <w:sz w:val="22"/>
          <w:shd w:val="clear" w:color="auto" w:fill="FFFFFF"/>
          <w:lang w:val="es-EC"/>
        </w:rPr>
        <w:t>, </w:t>
      </w:r>
      <w:r w:rsidRPr="001B7A93">
        <w:rPr>
          <w:rFonts w:cs="Times New Roman"/>
          <w:i/>
          <w:iCs/>
          <w:color w:val="000000" w:themeColor="text1"/>
          <w:sz w:val="22"/>
          <w:shd w:val="clear" w:color="auto" w:fill="FFFFFF"/>
          <w:lang w:val="es-EC"/>
        </w:rPr>
        <w:t>36</w:t>
      </w:r>
      <w:r w:rsidRPr="001B7A93">
        <w:rPr>
          <w:rFonts w:cs="Times New Roman"/>
          <w:color w:val="000000" w:themeColor="text1"/>
          <w:sz w:val="22"/>
          <w:shd w:val="clear" w:color="auto" w:fill="FFFFFF"/>
          <w:lang w:val="es-EC"/>
        </w:rPr>
        <w:t xml:space="preserve">(1), 404–420. </w:t>
      </w:r>
      <w:hyperlink r:id="rId20" w:history="1">
        <w:r w:rsidRPr="001B7A93">
          <w:rPr>
            <w:rStyle w:val="Hipervnculo"/>
            <w:rFonts w:cs="Times New Roman"/>
            <w:color w:val="000000" w:themeColor="text1"/>
            <w:sz w:val="22"/>
            <w:shd w:val="clear" w:color="auto" w:fill="FFFFFF"/>
            <w:lang w:val="es-EC"/>
          </w:rPr>
          <w:t>https://doi.org/10.7764/Horiz_Enferm.36.1.404-420</w:t>
        </w:r>
      </w:hyperlink>
    </w:p>
    <w:p w14:paraId="3944D8C3" w14:textId="1B121F34" w:rsidR="00CE0F4B" w:rsidRPr="001B7A93" w:rsidRDefault="00DC7D6A" w:rsidP="001B7A93">
      <w:pPr>
        <w:spacing w:before="0" w:after="160" w:line="259" w:lineRule="auto"/>
        <w:jc w:val="left"/>
        <w:rPr>
          <w:rFonts w:cs="Times New Roman"/>
          <w:color w:val="000000" w:themeColor="text1"/>
          <w:sz w:val="22"/>
          <w:lang w:val="es-EC"/>
        </w:rPr>
      </w:pPr>
      <w:r w:rsidRPr="001B7A93">
        <w:rPr>
          <w:rFonts w:cs="Times New Roman"/>
          <w:color w:val="000000" w:themeColor="text1"/>
          <w:sz w:val="22"/>
          <w:shd w:val="clear" w:color="auto" w:fill="FFFFFF"/>
          <w:lang w:val="es-EC"/>
        </w:rPr>
        <w:t>Vivas, C. A. A., &amp; Alvarado, L. G. G. (2025). Calidad de vida y vulnerabilidad de las personas adultas mayores en tratamiento de diálisis en el hospital Delfina Torres de Concha. </w:t>
      </w:r>
      <w:r w:rsidRPr="001B7A93">
        <w:rPr>
          <w:rFonts w:cs="Times New Roman"/>
          <w:i/>
          <w:iCs/>
          <w:color w:val="000000" w:themeColor="text1"/>
          <w:sz w:val="22"/>
          <w:shd w:val="clear" w:color="auto" w:fill="FFFFFF"/>
        </w:rPr>
        <w:t>Sinergia Académica</w:t>
      </w:r>
      <w:r w:rsidRPr="001B7A93">
        <w:rPr>
          <w:rFonts w:cs="Times New Roman"/>
          <w:color w:val="000000" w:themeColor="text1"/>
          <w:sz w:val="22"/>
          <w:shd w:val="clear" w:color="auto" w:fill="FFFFFF"/>
        </w:rPr>
        <w:t>, </w:t>
      </w:r>
      <w:r w:rsidRPr="001B7A93">
        <w:rPr>
          <w:rFonts w:cs="Times New Roman"/>
          <w:i/>
          <w:iCs/>
          <w:color w:val="000000" w:themeColor="text1"/>
          <w:sz w:val="22"/>
          <w:shd w:val="clear" w:color="auto" w:fill="FFFFFF"/>
        </w:rPr>
        <w:t>8</w:t>
      </w:r>
      <w:r w:rsidRPr="001B7A93">
        <w:rPr>
          <w:rFonts w:cs="Times New Roman"/>
          <w:color w:val="000000" w:themeColor="text1"/>
          <w:sz w:val="22"/>
          <w:shd w:val="clear" w:color="auto" w:fill="FFFFFF"/>
        </w:rPr>
        <w:t>(6), 374-393.</w:t>
      </w:r>
    </w:p>
    <w:p w14:paraId="1CED1DA4" w14:textId="77777777" w:rsidR="00CE0F4B" w:rsidRPr="00806136" w:rsidRDefault="00CE0F4B" w:rsidP="001B7A93">
      <w:pPr>
        <w:rPr>
          <w:rFonts w:cs="Times New Roman"/>
          <w:color w:val="000000" w:themeColor="text1"/>
          <w:sz w:val="22"/>
        </w:rPr>
      </w:pPr>
    </w:p>
    <w:sectPr w:rsidR="00CE0F4B" w:rsidRPr="00806136"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480C" w14:textId="77777777" w:rsidR="00287824" w:rsidRDefault="00287824" w:rsidP="00EB0247">
      <w:pPr>
        <w:spacing w:after="0" w:line="240" w:lineRule="auto"/>
      </w:pPr>
      <w:r>
        <w:separator/>
      </w:r>
    </w:p>
  </w:endnote>
  <w:endnote w:type="continuationSeparator" w:id="0">
    <w:p w14:paraId="3AD1D0BE" w14:textId="77777777" w:rsidR="00287824" w:rsidRDefault="00287824"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626D3" w14:textId="77777777" w:rsidR="00287824" w:rsidRDefault="00287824" w:rsidP="00EB0247">
      <w:pPr>
        <w:spacing w:after="0" w:line="240" w:lineRule="auto"/>
      </w:pPr>
      <w:r>
        <w:separator/>
      </w:r>
    </w:p>
  </w:footnote>
  <w:footnote w:type="continuationSeparator" w:id="0">
    <w:p w14:paraId="4E15CF99" w14:textId="77777777" w:rsidR="00287824" w:rsidRDefault="00287824"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939429A"/>
    <w:multiLevelType w:val="hybridMultilevel"/>
    <w:tmpl w:val="98DA659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5551E3"/>
    <w:multiLevelType w:val="hybridMultilevel"/>
    <w:tmpl w:val="4DA294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4046D6"/>
    <w:multiLevelType w:val="hybridMultilevel"/>
    <w:tmpl w:val="958CB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715199876">
    <w:abstractNumId w:val="8"/>
  </w:num>
  <w:num w:numId="2" w16cid:durableId="388579169">
    <w:abstractNumId w:val="3"/>
  </w:num>
  <w:num w:numId="3" w16cid:durableId="142548816">
    <w:abstractNumId w:val="2"/>
  </w:num>
  <w:num w:numId="4" w16cid:durableId="375853928">
    <w:abstractNumId w:val="1"/>
  </w:num>
  <w:num w:numId="5" w16cid:durableId="873271907">
    <w:abstractNumId w:val="0"/>
  </w:num>
  <w:num w:numId="6" w16cid:durableId="1447888587">
    <w:abstractNumId w:val="9"/>
  </w:num>
  <w:num w:numId="7" w16cid:durableId="884871216">
    <w:abstractNumId w:val="7"/>
  </w:num>
  <w:num w:numId="8" w16cid:durableId="1626153992">
    <w:abstractNumId w:val="6"/>
  </w:num>
  <w:num w:numId="9" w16cid:durableId="1818764108">
    <w:abstractNumId w:val="5"/>
  </w:num>
  <w:num w:numId="10" w16cid:durableId="252393729">
    <w:abstractNumId w:val="4"/>
  </w:num>
  <w:num w:numId="11" w16cid:durableId="1508858889">
    <w:abstractNumId w:val="11"/>
  </w:num>
  <w:num w:numId="12" w16cid:durableId="1699160399">
    <w:abstractNumId w:val="13"/>
  </w:num>
  <w:num w:numId="13" w16cid:durableId="153381601">
    <w:abstractNumId w:val="16"/>
  </w:num>
  <w:num w:numId="14" w16cid:durableId="1430541479">
    <w:abstractNumId w:val="17"/>
  </w:num>
  <w:num w:numId="15" w16cid:durableId="940644229">
    <w:abstractNumId w:val="18"/>
  </w:num>
  <w:num w:numId="16" w16cid:durableId="1899389622">
    <w:abstractNumId w:val="31"/>
  </w:num>
  <w:num w:numId="17" w16cid:durableId="1007756934">
    <w:abstractNumId w:val="25"/>
  </w:num>
  <w:num w:numId="18" w16cid:durableId="1385134746">
    <w:abstractNumId w:val="10"/>
  </w:num>
  <w:num w:numId="19" w16cid:durableId="1437020642">
    <w:abstractNumId w:val="24"/>
  </w:num>
  <w:num w:numId="20" w16cid:durableId="521556568">
    <w:abstractNumId w:val="32"/>
  </w:num>
  <w:num w:numId="21" w16cid:durableId="1167284940">
    <w:abstractNumId w:val="33"/>
  </w:num>
  <w:num w:numId="22" w16cid:durableId="1128281040">
    <w:abstractNumId w:val="21"/>
  </w:num>
  <w:num w:numId="23" w16cid:durableId="843666510">
    <w:abstractNumId w:val="33"/>
    <w:lvlOverride w:ilvl="0">
      <w:startOverride w:val="1"/>
    </w:lvlOverride>
  </w:num>
  <w:num w:numId="24" w16cid:durableId="383409257">
    <w:abstractNumId w:val="33"/>
    <w:lvlOverride w:ilvl="0">
      <w:startOverride w:val="1"/>
    </w:lvlOverride>
  </w:num>
  <w:num w:numId="25" w16cid:durableId="1799446950">
    <w:abstractNumId w:val="12"/>
  </w:num>
  <w:num w:numId="26" w16cid:durableId="913468988">
    <w:abstractNumId w:val="34"/>
  </w:num>
  <w:num w:numId="27" w16cid:durableId="898594266">
    <w:abstractNumId w:val="19"/>
  </w:num>
  <w:num w:numId="28" w16cid:durableId="639073116">
    <w:abstractNumId w:val="20"/>
  </w:num>
  <w:num w:numId="29" w16cid:durableId="1676107766">
    <w:abstractNumId w:val="22"/>
  </w:num>
  <w:num w:numId="30" w16cid:durableId="1073620034">
    <w:abstractNumId w:val="15"/>
  </w:num>
  <w:num w:numId="31" w16cid:durableId="1262495619">
    <w:abstractNumId w:val="23"/>
  </w:num>
  <w:num w:numId="32" w16cid:durableId="887373392">
    <w:abstractNumId w:val="14"/>
  </w:num>
  <w:num w:numId="33" w16cid:durableId="912934800">
    <w:abstractNumId w:val="27"/>
  </w:num>
  <w:num w:numId="34" w16cid:durableId="788205411">
    <w:abstractNumId w:val="29"/>
  </w:num>
  <w:num w:numId="35" w16cid:durableId="1773285413">
    <w:abstractNumId w:val="35"/>
  </w:num>
  <w:num w:numId="36" w16cid:durableId="404843218">
    <w:abstractNumId w:val="33"/>
    <w:lvlOverride w:ilvl="0">
      <w:startOverride w:val="1"/>
    </w:lvlOverride>
  </w:num>
  <w:num w:numId="37" w16cid:durableId="1793943323">
    <w:abstractNumId w:val="33"/>
    <w:lvlOverride w:ilvl="0">
      <w:startOverride w:val="1"/>
    </w:lvlOverride>
  </w:num>
  <w:num w:numId="38" w16cid:durableId="1489593246">
    <w:abstractNumId w:val="33"/>
    <w:lvlOverride w:ilvl="0">
      <w:startOverride w:val="1"/>
    </w:lvlOverride>
  </w:num>
  <w:num w:numId="39" w16cid:durableId="1892032174">
    <w:abstractNumId w:val="35"/>
    <w:lvlOverride w:ilvl="0">
      <w:startOverride w:val="1"/>
    </w:lvlOverride>
  </w:num>
  <w:num w:numId="40" w16cid:durableId="445275637">
    <w:abstractNumId w:val="35"/>
    <w:lvlOverride w:ilvl="0">
      <w:startOverride w:val="1"/>
    </w:lvlOverride>
  </w:num>
  <w:num w:numId="41" w16cid:durableId="1986933391">
    <w:abstractNumId w:val="33"/>
    <w:lvlOverride w:ilvl="0">
      <w:startOverride w:val="1"/>
    </w:lvlOverride>
  </w:num>
  <w:num w:numId="42" w16cid:durableId="348876121">
    <w:abstractNumId w:val="35"/>
    <w:lvlOverride w:ilvl="0">
      <w:startOverride w:val="1"/>
    </w:lvlOverride>
  </w:num>
  <w:num w:numId="43" w16cid:durableId="977761423">
    <w:abstractNumId w:val="33"/>
    <w:lvlOverride w:ilvl="0">
      <w:startOverride w:val="1"/>
    </w:lvlOverride>
  </w:num>
  <w:num w:numId="44" w16cid:durableId="1995445897">
    <w:abstractNumId w:val="35"/>
    <w:lvlOverride w:ilvl="0">
      <w:startOverride w:val="1"/>
    </w:lvlOverride>
  </w:num>
  <w:num w:numId="45" w16cid:durableId="1413621934">
    <w:abstractNumId w:val="26"/>
  </w:num>
  <w:num w:numId="46" w16cid:durableId="480971708">
    <w:abstractNumId w:val="28"/>
  </w:num>
  <w:num w:numId="47" w16cid:durableId="134959637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4687"/>
    <w:rsid w:val="00005858"/>
    <w:rsid w:val="000068CF"/>
    <w:rsid w:val="00010911"/>
    <w:rsid w:val="00011270"/>
    <w:rsid w:val="00011CF1"/>
    <w:rsid w:val="0001208E"/>
    <w:rsid w:val="00012517"/>
    <w:rsid w:val="00032358"/>
    <w:rsid w:val="00033E3E"/>
    <w:rsid w:val="00063421"/>
    <w:rsid w:val="0006567D"/>
    <w:rsid w:val="00065A0A"/>
    <w:rsid w:val="0006745B"/>
    <w:rsid w:val="0008022B"/>
    <w:rsid w:val="00081978"/>
    <w:rsid w:val="00085908"/>
    <w:rsid w:val="00090D24"/>
    <w:rsid w:val="00091155"/>
    <w:rsid w:val="00091E49"/>
    <w:rsid w:val="00097EEF"/>
    <w:rsid w:val="000B7C52"/>
    <w:rsid w:val="000C3B8F"/>
    <w:rsid w:val="000C4A28"/>
    <w:rsid w:val="000C4B1D"/>
    <w:rsid w:val="000C5EDB"/>
    <w:rsid w:val="000D3BB8"/>
    <w:rsid w:val="000F05A7"/>
    <w:rsid w:val="000F6A1B"/>
    <w:rsid w:val="0010771C"/>
    <w:rsid w:val="00107A52"/>
    <w:rsid w:val="00111BF5"/>
    <w:rsid w:val="001318BC"/>
    <w:rsid w:val="001341DF"/>
    <w:rsid w:val="001348A0"/>
    <w:rsid w:val="00137732"/>
    <w:rsid w:val="00140844"/>
    <w:rsid w:val="0014252D"/>
    <w:rsid w:val="001468AC"/>
    <w:rsid w:val="00147B9C"/>
    <w:rsid w:val="0015066B"/>
    <w:rsid w:val="00155966"/>
    <w:rsid w:val="00156F2B"/>
    <w:rsid w:val="00157CAF"/>
    <w:rsid w:val="0018120C"/>
    <w:rsid w:val="00182667"/>
    <w:rsid w:val="00182AE3"/>
    <w:rsid w:val="001831B8"/>
    <w:rsid w:val="00185A00"/>
    <w:rsid w:val="0018654D"/>
    <w:rsid w:val="001867D7"/>
    <w:rsid w:val="00191282"/>
    <w:rsid w:val="001950D8"/>
    <w:rsid w:val="0019795A"/>
    <w:rsid w:val="00197D57"/>
    <w:rsid w:val="001A7AD8"/>
    <w:rsid w:val="001B24BF"/>
    <w:rsid w:val="001B2D5B"/>
    <w:rsid w:val="001B6D19"/>
    <w:rsid w:val="001B6EA7"/>
    <w:rsid w:val="001B7A93"/>
    <w:rsid w:val="001F2974"/>
    <w:rsid w:val="0021107C"/>
    <w:rsid w:val="00214B7F"/>
    <w:rsid w:val="00217432"/>
    <w:rsid w:val="00221548"/>
    <w:rsid w:val="00227268"/>
    <w:rsid w:val="0022737D"/>
    <w:rsid w:val="002273CB"/>
    <w:rsid w:val="00235A40"/>
    <w:rsid w:val="00242EFB"/>
    <w:rsid w:val="002433EC"/>
    <w:rsid w:val="00253EC2"/>
    <w:rsid w:val="00254F0F"/>
    <w:rsid w:val="0025764C"/>
    <w:rsid w:val="002660F1"/>
    <w:rsid w:val="00280126"/>
    <w:rsid w:val="00281564"/>
    <w:rsid w:val="00282F17"/>
    <w:rsid w:val="00285B53"/>
    <w:rsid w:val="0028730E"/>
    <w:rsid w:val="00287824"/>
    <w:rsid w:val="00290C27"/>
    <w:rsid w:val="002A0521"/>
    <w:rsid w:val="002A10CC"/>
    <w:rsid w:val="002A34FB"/>
    <w:rsid w:val="002A43CD"/>
    <w:rsid w:val="002A7701"/>
    <w:rsid w:val="002B500B"/>
    <w:rsid w:val="002C0463"/>
    <w:rsid w:val="002C5703"/>
    <w:rsid w:val="002C578C"/>
    <w:rsid w:val="002C759C"/>
    <w:rsid w:val="002D23FB"/>
    <w:rsid w:val="002D268C"/>
    <w:rsid w:val="002D63EF"/>
    <w:rsid w:val="002D7151"/>
    <w:rsid w:val="002E1BF0"/>
    <w:rsid w:val="002F0711"/>
    <w:rsid w:val="002F3733"/>
    <w:rsid w:val="003012F9"/>
    <w:rsid w:val="00301E3C"/>
    <w:rsid w:val="003033C4"/>
    <w:rsid w:val="0030779E"/>
    <w:rsid w:val="00331F3A"/>
    <w:rsid w:val="00342652"/>
    <w:rsid w:val="00345797"/>
    <w:rsid w:val="003512A0"/>
    <w:rsid w:val="00354DA1"/>
    <w:rsid w:val="00361B17"/>
    <w:rsid w:val="003655AC"/>
    <w:rsid w:val="00365B32"/>
    <w:rsid w:val="00372414"/>
    <w:rsid w:val="00375999"/>
    <w:rsid w:val="00376CC6"/>
    <w:rsid w:val="003801F6"/>
    <w:rsid w:val="00387467"/>
    <w:rsid w:val="0039591A"/>
    <w:rsid w:val="00396CAF"/>
    <w:rsid w:val="003A2C5E"/>
    <w:rsid w:val="003C4D9F"/>
    <w:rsid w:val="003C7426"/>
    <w:rsid w:val="003D1159"/>
    <w:rsid w:val="003D11B1"/>
    <w:rsid w:val="003E076A"/>
    <w:rsid w:val="003E66FB"/>
    <w:rsid w:val="003F15C6"/>
    <w:rsid w:val="003F6353"/>
    <w:rsid w:val="00415AE5"/>
    <w:rsid w:val="004179B0"/>
    <w:rsid w:val="00422CDA"/>
    <w:rsid w:val="004307D4"/>
    <w:rsid w:val="0043311C"/>
    <w:rsid w:val="0043516E"/>
    <w:rsid w:val="004356EB"/>
    <w:rsid w:val="00435966"/>
    <w:rsid w:val="00437ED3"/>
    <w:rsid w:val="0044345A"/>
    <w:rsid w:val="004534D9"/>
    <w:rsid w:val="00453738"/>
    <w:rsid w:val="00457F63"/>
    <w:rsid w:val="004621AC"/>
    <w:rsid w:val="0047312B"/>
    <w:rsid w:val="00474EFE"/>
    <w:rsid w:val="0047658B"/>
    <w:rsid w:val="00477173"/>
    <w:rsid w:val="0048120B"/>
    <w:rsid w:val="004819D7"/>
    <w:rsid w:val="004842F0"/>
    <w:rsid w:val="00484413"/>
    <w:rsid w:val="00487592"/>
    <w:rsid w:val="004878C2"/>
    <w:rsid w:val="004918FD"/>
    <w:rsid w:val="00493A17"/>
    <w:rsid w:val="00493B53"/>
    <w:rsid w:val="004A3749"/>
    <w:rsid w:val="004A782B"/>
    <w:rsid w:val="004B17DA"/>
    <w:rsid w:val="004B3354"/>
    <w:rsid w:val="004B61E5"/>
    <w:rsid w:val="004C0202"/>
    <w:rsid w:val="004D0180"/>
    <w:rsid w:val="004D4CAB"/>
    <w:rsid w:val="004E02E1"/>
    <w:rsid w:val="004E17F3"/>
    <w:rsid w:val="004E1CA8"/>
    <w:rsid w:val="004E24ED"/>
    <w:rsid w:val="004E3780"/>
    <w:rsid w:val="004F1FBC"/>
    <w:rsid w:val="004F4342"/>
    <w:rsid w:val="004F4F30"/>
    <w:rsid w:val="005064C3"/>
    <w:rsid w:val="00510A44"/>
    <w:rsid w:val="00510C0A"/>
    <w:rsid w:val="005167CE"/>
    <w:rsid w:val="00521F09"/>
    <w:rsid w:val="005335DF"/>
    <w:rsid w:val="0053384A"/>
    <w:rsid w:val="0053543A"/>
    <w:rsid w:val="0054031C"/>
    <w:rsid w:val="005417EB"/>
    <w:rsid w:val="005430EA"/>
    <w:rsid w:val="00543BEC"/>
    <w:rsid w:val="0055756A"/>
    <w:rsid w:val="005648A8"/>
    <w:rsid w:val="005747D4"/>
    <w:rsid w:val="00575E71"/>
    <w:rsid w:val="00581116"/>
    <w:rsid w:val="0058195E"/>
    <w:rsid w:val="00584BB4"/>
    <w:rsid w:val="00586AFB"/>
    <w:rsid w:val="005919EF"/>
    <w:rsid w:val="00596E65"/>
    <w:rsid w:val="005A0A97"/>
    <w:rsid w:val="005A3EB4"/>
    <w:rsid w:val="005A43E3"/>
    <w:rsid w:val="005A4AFE"/>
    <w:rsid w:val="005A6174"/>
    <w:rsid w:val="005B6A2A"/>
    <w:rsid w:val="005C146D"/>
    <w:rsid w:val="005C501C"/>
    <w:rsid w:val="005F4B35"/>
    <w:rsid w:val="0060398A"/>
    <w:rsid w:val="00607EE3"/>
    <w:rsid w:val="006131F7"/>
    <w:rsid w:val="00626291"/>
    <w:rsid w:val="00630E2E"/>
    <w:rsid w:val="00637C84"/>
    <w:rsid w:val="0064676C"/>
    <w:rsid w:val="006560A1"/>
    <w:rsid w:val="0065663E"/>
    <w:rsid w:val="0067282E"/>
    <w:rsid w:val="00675757"/>
    <w:rsid w:val="00680332"/>
    <w:rsid w:val="00681364"/>
    <w:rsid w:val="00681E52"/>
    <w:rsid w:val="006831F4"/>
    <w:rsid w:val="00685752"/>
    <w:rsid w:val="0068741C"/>
    <w:rsid w:val="0068745E"/>
    <w:rsid w:val="00696BDD"/>
    <w:rsid w:val="006A072B"/>
    <w:rsid w:val="006A7E9B"/>
    <w:rsid w:val="006B0FEF"/>
    <w:rsid w:val="006B4384"/>
    <w:rsid w:val="006B7745"/>
    <w:rsid w:val="006C5F8E"/>
    <w:rsid w:val="006C642F"/>
    <w:rsid w:val="006D18FF"/>
    <w:rsid w:val="006D5921"/>
    <w:rsid w:val="006E176A"/>
    <w:rsid w:val="006F139C"/>
    <w:rsid w:val="006F3C97"/>
    <w:rsid w:val="006F5832"/>
    <w:rsid w:val="00705F6F"/>
    <w:rsid w:val="00714CBD"/>
    <w:rsid w:val="00716F8C"/>
    <w:rsid w:val="00720BFB"/>
    <w:rsid w:val="00720C4F"/>
    <w:rsid w:val="00721EBE"/>
    <w:rsid w:val="00724B85"/>
    <w:rsid w:val="00724C27"/>
    <w:rsid w:val="00732BAE"/>
    <w:rsid w:val="007357DC"/>
    <w:rsid w:val="00742AC5"/>
    <w:rsid w:val="00753444"/>
    <w:rsid w:val="00760CF8"/>
    <w:rsid w:val="007701F1"/>
    <w:rsid w:val="00774295"/>
    <w:rsid w:val="00780C77"/>
    <w:rsid w:val="00781998"/>
    <w:rsid w:val="007900C1"/>
    <w:rsid w:val="00792960"/>
    <w:rsid w:val="0079541F"/>
    <w:rsid w:val="007957C8"/>
    <w:rsid w:val="007A0F17"/>
    <w:rsid w:val="007D46DA"/>
    <w:rsid w:val="007E4E94"/>
    <w:rsid w:val="007F0944"/>
    <w:rsid w:val="007F25AF"/>
    <w:rsid w:val="007F5C40"/>
    <w:rsid w:val="00806136"/>
    <w:rsid w:val="00806C2A"/>
    <w:rsid w:val="00816AE9"/>
    <w:rsid w:val="00822F44"/>
    <w:rsid w:val="008238DE"/>
    <w:rsid w:val="00836090"/>
    <w:rsid w:val="00854780"/>
    <w:rsid w:val="008579A3"/>
    <w:rsid w:val="00863A4D"/>
    <w:rsid w:val="008640B2"/>
    <w:rsid w:val="00866641"/>
    <w:rsid w:val="0087324F"/>
    <w:rsid w:val="00884175"/>
    <w:rsid w:val="00894EDD"/>
    <w:rsid w:val="008A4085"/>
    <w:rsid w:val="008A483F"/>
    <w:rsid w:val="008A5C25"/>
    <w:rsid w:val="008A6065"/>
    <w:rsid w:val="008B04A8"/>
    <w:rsid w:val="008B6A98"/>
    <w:rsid w:val="008C1056"/>
    <w:rsid w:val="008C2B2C"/>
    <w:rsid w:val="008C37CA"/>
    <w:rsid w:val="008D0AD4"/>
    <w:rsid w:val="008D2A7D"/>
    <w:rsid w:val="008D5161"/>
    <w:rsid w:val="008D5542"/>
    <w:rsid w:val="008E0832"/>
    <w:rsid w:val="008E57B8"/>
    <w:rsid w:val="008E6018"/>
    <w:rsid w:val="008E7713"/>
    <w:rsid w:val="008F1330"/>
    <w:rsid w:val="008F3F8E"/>
    <w:rsid w:val="008F5C15"/>
    <w:rsid w:val="008F69A9"/>
    <w:rsid w:val="0091337D"/>
    <w:rsid w:val="00914058"/>
    <w:rsid w:val="009171C1"/>
    <w:rsid w:val="00920563"/>
    <w:rsid w:val="0093429F"/>
    <w:rsid w:val="00934887"/>
    <w:rsid w:val="00935ABE"/>
    <w:rsid w:val="00937E6D"/>
    <w:rsid w:val="0094619E"/>
    <w:rsid w:val="009477E3"/>
    <w:rsid w:val="009521AD"/>
    <w:rsid w:val="0095738D"/>
    <w:rsid w:val="00961846"/>
    <w:rsid w:val="00962592"/>
    <w:rsid w:val="009651FB"/>
    <w:rsid w:val="009847F6"/>
    <w:rsid w:val="00990B06"/>
    <w:rsid w:val="00994D26"/>
    <w:rsid w:val="009962FC"/>
    <w:rsid w:val="009A0282"/>
    <w:rsid w:val="009A335C"/>
    <w:rsid w:val="009A336B"/>
    <w:rsid w:val="009A52F5"/>
    <w:rsid w:val="009B45B6"/>
    <w:rsid w:val="009B7FD0"/>
    <w:rsid w:val="009C0DFA"/>
    <w:rsid w:val="009C304F"/>
    <w:rsid w:val="009C657C"/>
    <w:rsid w:val="009D0814"/>
    <w:rsid w:val="009D4514"/>
    <w:rsid w:val="009E3E15"/>
    <w:rsid w:val="009E49DE"/>
    <w:rsid w:val="009E664A"/>
    <w:rsid w:val="009F26AF"/>
    <w:rsid w:val="009F407F"/>
    <w:rsid w:val="009F5F74"/>
    <w:rsid w:val="00A0229E"/>
    <w:rsid w:val="00A05006"/>
    <w:rsid w:val="00A11B9D"/>
    <w:rsid w:val="00A14E81"/>
    <w:rsid w:val="00A17F57"/>
    <w:rsid w:val="00A206F1"/>
    <w:rsid w:val="00A235F5"/>
    <w:rsid w:val="00A27C2B"/>
    <w:rsid w:val="00A31694"/>
    <w:rsid w:val="00A41E9C"/>
    <w:rsid w:val="00A444D1"/>
    <w:rsid w:val="00A555E5"/>
    <w:rsid w:val="00A55F6D"/>
    <w:rsid w:val="00A60E20"/>
    <w:rsid w:val="00A62867"/>
    <w:rsid w:val="00A63D5F"/>
    <w:rsid w:val="00A71C4D"/>
    <w:rsid w:val="00A72D67"/>
    <w:rsid w:val="00A8553F"/>
    <w:rsid w:val="00A92589"/>
    <w:rsid w:val="00AC7C1D"/>
    <w:rsid w:val="00AD5F28"/>
    <w:rsid w:val="00AE3B5A"/>
    <w:rsid w:val="00AE4C29"/>
    <w:rsid w:val="00AE72B6"/>
    <w:rsid w:val="00AF3A80"/>
    <w:rsid w:val="00B039F4"/>
    <w:rsid w:val="00B0717D"/>
    <w:rsid w:val="00B111A1"/>
    <w:rsid w:val="00B1437C"/>
    <w:rsid w:val="00B2183E"/>
    <w:rsid w:val="00B225D1"/>
    <w:rsid w:val="00B32A1F"/>
    <w:rsid w:val="00B333A2"/>
    <w:rsid w:val="00B36EEB"/>
    <w:rsid w:val="00B57A4E"/>
    <w:rsid w:val="00B60DF4"/>
    <w:rsid w:val="00B72CC1"/>
    <w:rsid w:val="00B9131A"/>
    <w:rsid w:val="00B9712F"/>
    <w:rsid w:val="00BA4EA8"/>
    <w:rsid w:val="00BA4FD5"/>
    <w:rsid w:val="00BB150B"/>
    <w:rsid w:val="00BB2D1C"/>
    <w:rsid w:val="00BB38AC"/>
    <w:rsid w:val="00BC0197"/>
    <w:rsid w:val="00BC7E2F"/>
    <w:rsid w:val="00BD7178"/>
    <w:rsid w:val="00BE0EEC"/>
    <w:rsid w:val="00BE2DDC"/>
    <w:rsid w:val="00BE3D2B"/>
    <w:rsid w:val="00BE5F2C"/>
    <w:rsid w:val="00BE6E28"/>
    <w:rsid w:val="00BF22ED"/>
    <w:rsid w:val="00BF45D1"/>
    <w:rsid w:val="00BF50C0"/>
    <w:rsid w:val="00C21F8C"/>
    <w:rsid w:val="00C302E3"/>
    <w:rsid w:val="00C30BA1"/>
    <w:rsid w:val="00C3689C"/>
    <w:rsid w:val="00C45F7D"/>
    <w:rsid w:val="00C5022C"/>
    <w:rsid w:val="00C63E65"/>
    <w:rsid w:val="00C65C46"/>
    <w:rsid w:val="00C85C18"/>
    <w:rsid w:val="00C90FEB"/>
    <w:rsid w:val="00C930F7"/>
    <w:rsid w:val="00C95E0C"/>
    <w:rsid w:val="00CA0400"/>
    <w:rsid w:val="00CB25DC"/>
    <w:rsid w:val="00CB3344"/>
    <w:rsid w:val="00CB5723"/>
    <w:rsid w:val="00CC152D"/>
    <w:rsid w:val="00CC65AA"/>
    <w:rsid w:val="00CD0091"/>
    <w:rsid w:val="00CE0F4B"/>
    <w:rsid w:val="00CE23FC"/>
    <w:rsid w:val="00CE47E8"/>
    <w:rsid w:val="00CF4B30"/>
    <w:rsid w:val="00D0381D"/>
    <w:rsid w:val="00D05D1F"/>
    <w:rsid w:val="00D17E11"/>
    <w:rsid w:val="00D26191"/>
    <w:rsid w:val="00D300A4"/>
    <w:rsid w:val="00D3054D"/>
    <w:rsid w:val="00D36F76"/>
    <w:rsid w:val="00D4301F"/>
    <w:rsid w:val="00D47BD3"/>
    <w:rsid w:val="00D528AF"/>
    <w:rsid w:val="00D55E95"/>
    <w:rsid w:val="00D660E4"/>
    <w:rsid w:val="00D70962"/>
    <w:rsid w:val="00D819D2"/>
    <w:rsid w:val="00D86CAA"/>
    <w:rsid w:val="00D87C13"/>
    <w:rsid w:val="00D9173E"/>
    <w:rsid w:val="00D92C11"/>
    <w:rsid w:val="00D92E8A"/>
    <w:rsid w:val="00DA0BED"/>
    <w:rsid w:val="00DA2823"/>
    <w:rsid w:val="00DA5BD7"/>
    <w:rsid w:val="00DC11B9"/>
    <w:rsid w:val="00DC3839"/>
    <w:rsid w:val="00DC5E7D"/>
    <w:rsid w:val="00DC7D6A"/>
    <w:rsid w:val="00DD6911"/>
    <w:rsid w:val="00DE0B74"/>
    <w:rsid w:val="00DE66EA"/>
    <w:rsid w:val="00DF1B76"/>
    <w:rsid w:val="00DF2EEC"/>
    <w:rsid w:val="00DF5CAD"/>
    <w:rsid w:val="00DF65D1"/>
    <w:rsid w:val="00E04357"/>
    <w:rsid w:val="00E05E1A"/>
    <w:rsid w:val="00E06000"/>
    <w:rsid w:val="00E12AC3"/>
    <w:rsid w:val="00E32AEC"/>
    <w:rsid w:val="00E33533"/>
    <w:rsid w:val="00E34762"/>
    <w:rsid w:val="00E35687"/>
    <w:rsid w:val="00E41F15"/>
    <w:rsid w:val="00E457AC"/>
    <w:rsid w:val="00E46ED6"/>
    <w:rsid w:val="00E56E04"/>
    <w:rsid w:val="00E649D6"/>
    <w:rsid w:val="00E84E36"/>
    <w:rsid w:val="00E9239F"/>
    <w:rsid w:val="00EA3E98"/>
    <w:rsid w:val="00EA4F9D"/>
    <w:rsid w:val="00EA692B"/>
    <w:rsid w:val="00EB0247"/>
    <w:rsid w:val="00EB4790"/>
    <w:rsid w:val="00EB5A8E"/>
    <w:rsid w:val="00EC01A5"/>
    <w:rsid w:val="00EC2D44"/>
    <w:rsid w:val="00EC66F2"/>
    <w:rsid w:val="00ED4714"/>
    <w:rsid w:val="00ED4C7A"/>
    <w:rsid w:val="00EE692A"/>
    <w:rsid w:val="00EF6CC1"/>
    <w:rsid w:val="00F12489"/>
    <w:rsid w:val="00F2609F"/>
    <w:rsid w:val="00F36340"/>
    <w:rsid w:val="00F57E96"/>
    <w:rsid w:val="00F60611"/>
    <w:rsid w:val="00F6387D"/>
    <w:rsid w:val="00F63A3F"/>
    <w:rsid w:val="00F63B01"/>
    <w:rsid w:val="00F66726"/>
    <w:rsid w:val="00F7508A"/>
    <w:rsid w:val="00FA51E8"/>
    <w:rsid w:val="00FA7CDE"/>
    <w:rsid w:val="00FB1129"/>
    <w:rsid w:val="00FB12BA"/>
    <w:rsid w:val="00FB439B"/>
    <w:rsid w:val="00FE177E"/>
    <w:rsid w:val="00FF6F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34"/>
    <w:qFormat/>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Mencinsinresolver2">
    <w:name w:val="Mención sin resolver2"/>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character" w:styleId="Mencinsinresolver">
    <w:name w:val="Unresolved Mention"/>
    <w:basedOn w:val="Fuentedeprrafopredeter"/>
    <w:uiPriority w:val="99"/>
    <w:semiHidden/>
    <w:unhideWhenUsed/>
    <w:rsid w:val="00B33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vibiomedica.sld.cu/index.php/ibi/article/view/3656" TargetMode="External"/><Relationship Id="rId18" Type="http://schemas.openxmlformats.org/officeDocument/2006/relationships/hyperlink" Target="https://revistaenfermeria.imss.gob.mx/index.php/revista_enfermeria/article/view/1237"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18359/rmed.7768" TargetMode="External"/><Relationship Id="rId17" Type="http://schemas.openxmlformats.org/officeDocument/2006/relationships/hyperlink" Target="https://www.revespcardiol.org/es-declaracion-prisma-2020-una-guia-articulo-S0300893221002748" TargetMode="External"/><Relationship Id="rId2" Type="http://schemas.openxmlformats.org/officeDocument/2006/relationships/customXml" Target="../customXml/item1.xml"/><Relationship Id="rId16" Type="http://schemas.openxmlformats.org/officeDocument/2006/relationships/hyperlink" Target="https://doi.org/10.56712/latam.v6i5.4683" TargetMode="External"/><Relationship Id="rId20" Type="http://schemas.openxmlformats.org/officeDocument/2006/relationships/hyperlink" Target="https://doi.org/10.7764/Horiz_Enferm.36.1.404-420"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oi.org/10.19136/hs.a23n1.5697" TargetMode="External"/><Relationship Id="rId5" Type="http://schemas.openxmlformats.org/officeDocument/2006/relationships/settings" Target="settings.xml"/><Relationship Id="rId15" Type="http://schemas.openxmlformats.org/officeDocument/2006/relationships/hyperlink" Target="https://revibiomedica.sld.cu/index.php/ibi/article/view/3656" TargetMode="External"/><Relationship Id="rId10" Type="http://schemas.openxmlformats.org/officeDocument/2006/relationships/hyperlink" Target="https://dx.doi.org/10.37551/s2254-28842023031" TargetMode="External"/><Relationship Id="rId19" Type="http://schemas.openxmlformats.org/officeDocument/2006/relationships/hyperlink" Target="https://maestroysociedad.uo.edu.cu/index.php/MyS/article/view/7280" TargetMode="External"/><Relationship Id="rId4" Type="http://schemas.openxmlformats.org/officeDocument/2006/relationships/styles" Target="styles.xml"/><Relationship Id="rId9" Type="http://schemas.openxmlformats.org/officeDocument/2006/relationships/hyperlink" Target="https://dx.doi.org/10.37551/52254-28842022015" TargetMode="External"/><Relationship Id="rId14" Type="http://schemas.openxmlformats.org/officeDocument/2006/relationships/hyperlink" Target="https://dx.doi.org/10.37551/s2254-28842023016"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74ED1-6127-47AA-8265-3195D0BF1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258</TotalTime>
  <Pages>19</Pages>
  <Words>5443</Words>
  <Characters>31356</Characters>
  <Application>Microsoft Office Word</Application>
  <DocSecurity>0</DocSecurity>
  <Lines>1493</Lines>
  <Paragraphs>427</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shara torres</cp:lastModifiedBy>
  <cp:revision>109</cp:revision>
  <dcterms:created xsi:type="dcterms:W3CDTF">2026-05-19T13:57:00Z</dcterms:created>
  <dcterms:modified xsi:type="dcterms:W3CDTF">2026-09-05T04:14:00Z</dcterms:modified>
  <cp:category>Categoria</cp:category>
  <cp:contentStatus>Estado</cp:contentStatus>
</cp:coreProperties>
</file>