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7FDE" w:rsidRDefault="001D20BC">
      <w:pPr>
        <w:pStyle w:val="Captulo"/>
      </w:pPr>
      <w:r>
        <w:t>CAPÍTULO XXX</w:t>
      </w:r>
    </w:p>
    <w:p w:rsidR="005D7FDE" w:rsidRDefault="001D20BC">
      <w:pPr>
        <w:pStyle w:val="TtCap"/>
      </w:pPr>
      <w:r>
        <w:t>ESTUDIO COMPARATIVO DEL DIAGNÓSTICO MOLECULAR DESCENTRALIZADO CON TRUENAT PARA LA DETECCIÓN DE MYCOBACTERIUM TUBERCULOSIS Y RESISTENCIA A ISONIACIDA Y RIFAMPICINA EN ECUADOR FRENTE A MÉTODOS FENOTÍPICOS DE REFERENCIA</w:t>
      </w:r>
    </w:p>
    <w:p w:rsidR="005D7FDE" w:rsidRDefault="001D20BC">
      <w:pPr>
        <w:pStyle w:val="Autor"/>
      </w:pPr>
      <w:r>
        <w:t>GRETA FRANCO SOTOMAYOR</w:t>
      </w:r>
    </w:p>
    <w:p w:rsidR="005D7FDE" w:rsidRDefault="001D20BC">
      <w:pPr>
        <w:pStyle w:val="Adscripcin"/>
      </w:pPr>
      <w:r>
        <w:t>Universidad Católica de Santiago de Guayaquil, Facultad de Ciencias de la Salud</w:t>
      </w:r>
    </w:p>
    <w:p w:rsidR="005D7FDE" w:rsidRDefault="001D20BC">
      <w:pPr>
        <w:pStyle w:val="Adscripcin"/>
      </w:pPr>
      <w:r>
        <w:t>Instituto Nacional de Investigación en Salud Pública (INSPI), Ecuador</w:t>
      </w:r>
    </w:p>
    <w:p w:rsidR="005D7FDE" w:rsidRDefault="001D20BC">
      <w:pPr>
        <w:pStyle w:val="Autor"/>
      </w:pPr>
      <w:r>
        <w:t>SANDRA URUCHIMA CAMPOVERDE</w:t>
      </w:r>
    </w:p>
    <w:p w:rsidR="005D7FDE" w:rsidRDefault="001D20BC">
      <w:pPr>
        <w:pStyle w:val="Adscripcin"/>
      </w:pPr>
      <w:r>
        <w:t>Instituto Nacional de Investigación en Salud Pública (INSPI), Ecuador</w:t>
      </w:r>
    </w:p>
    <w:p w:rsidR="005D7FDE" w:rsidRDefault="001D20BC">
      <w:pPr>
        <w:pStyle w:val="Autor"/>
      </w:pPr>
      <w:r>
        <w:t>ADRIANA AGUIRRE TRIANA</w:t>
      </w:r>
    </w:p>
    <w:p w:rsidR="005D7FDE" w:rsidRDefault="001D20BC">
      <w:pPr>
        <w:pStyle w:val="Adscripcin"/>
      </w:pPr>
      <w:r>
        <w:t>Universidad Católica de Santiago de Guayaquil, Facultad de Ciencias de la Salud</w:t>
      </w:r>
    </w:p>
    <w:p w:rsidR="005D7FDE" w:rsidRDefault="001D20BC">
      <w:pPr>
        <w:pStyle w:val="Ttulo1"/>
      </w:pPr>
      <w:bookmarkStart w:id="0" w:name="_GoBack"/>
      <w:bookmarkEnd w:id="0"/>
      <w:r>
        <w:t>1. INTRODUCCIÓN</w:t>
      </w:r>
    </w:p>
    <w:p w:rsidR="005D7FDE" w:rsidRDefault="001D20BC">
      <w:r>
        <w:t>La tuberculosis (TB) continúa siendo uno de los principales problemas de salud pública a escala mundial. A pesar de la disponibilidad de tratamiento efectivo y de la expansión de las pruebas moleculares rápidas, persisten brechas diagnósticas que retrasan el inicio del tratamiento y favorecen la transmisión. La Organización Mundial de la Salud (OMS) mantiene como prioridad el acceso temprano a métodos diagnósticos capaces de detectar el complejo Mycobacterium tuberculosis (MTBC) y, de manera simultánea o secuencial, identificar resistencia a fármacos antituberculosos (World Health Organization [WHO], 2025a). Esta necesidad es particularmente relevante en territorios donde la infraestructura de laboratorio es limitada o donde el traslado de muestras hacia centros de referencia incrementa los tiempos de respuesta.</w:t>
      </w:r>
    </w:p>
    <w:p w:rsidR="005D7FDE" w:rsidRDefault="001D20BC">
      <w:r>
        <w:lastRenderedPageBreak/>
        <w:t>En Ecuador, el diagnóstico de TB debe responder a realidades geográficas y epidemiológicas heterogéneas: grandes áreas urbanas, centros de privación de libertad, provincias amazónicas, territorios insulares y comunidades con dificultades de acceso. El fortalecimiento de una red diagnóstica descentralizada requiere tecnologías que mantengan un rendimiento analítico adecuado y, al mismo tiempo, reduzcan la dependencia de infraestructura compleja, energía eléctrica estable y transporte prolongado de muestras. El informe mundial de tuberculosis de 2025 de la OMS subraya que la expansión de pruebas rápidas recomendadas por la organización constituye un componente esencial para cerrar la brecha entre personas que desarrollan TB y personas que reciben diagnóstico y tratamiento oportunos (WHO, 2025b).</w:t>
      </w:r>
    </w:p>
    <w:p w:rsidR="005D7FDE" w:rsidRDefault="001D20BC">
      <w:r>
        <w:t>Truenat es una plataforma molecular basada en micro-reacción en cadena de la polimerasa en tiempo real, diseñada para operar mediante dispositivos portátiles de extracción y amplificación. Su configuración con soporte de batería y chips individuales permite considerar su utilización en laboratorios periféricos y escenarios con infraestructura restringida. La evidencia internacional ha mostrado un desempeño diagnóstico favorable para Truenat MTB Plus en muestras respiratorias. En una evaluación prospectiva realizada en Camerún, Ngangue et al. (2022) encontraron una sensibilidad de 91 % frente a cultivo y un rendimiento comparable al de Xpert MTB/RIF. Asimismo, la experiencia programática en India documentó factibilidad operativa y aumento de la detección microbiológica después de su implementación en unidades de TB (Jeyashree et al., 2020).</w:t>
      </w:r>
    </w:p>
    <w:p w:rsidR="005D7FDE" w:rsidRDefault="001D20BC">
      <w:r>
        <w:t xml:space="preserve">Las recomendaciones diagnósticas actuales de la OMS reconocen el papel de las pruebas de amplificación de ácidos nucleicos de baja complejidad como pruebas iniciales para TB y para la detección de resistencia a rifampicina en los escenarios establecidos por la guía. La actualización de 2025 integra en un solo marco las recomendaciones para infección, enfermedad y resistencia, y amplía el abordaje de diferentes tipos de muestras y poblaciones (WHO, 2025a). No obstante, la evidencia disponible no es homogénea para todas las muestras extrapulmonares ni para todos los blancos de resistencia. Por ello, las evaluaciones </w:t>
      </w:r>
      <w:r>
        <w:lastRenderedPageBreak/>
        <w:t>locales comparativas son necesarias antes de adoptar decisiones de expansión programática.</w:t>
      </w:r>
    </w:p>
    <w:p w:rsidR="005D7FDE" w:rsidRDefault="001D20BC">
      <w:r>
        <w:t>En Ecuador existe experiencia previa en evaluación e implementación de métodos microbiológicos y moleculares para TB, incluyendo estudios sobre cultivo, GeneXpert y mecanismos genéticos de resistencia. Estos antecedentes demuestran la importancia de validar las tecnologías en el contexto nacional y de mantener métodos fenotípicos y sistemas de referencia que permitan investigar discordancias (Franco-Sotomayor et al., 2019, 2020). En este marco, el presente estudio evalúa el rendimiento de Truenat en muestras pulmonares y extrapulmonares y analiza su concordancia con cultivo, pruebas fenotípicas de sensibilidad y, en un subconjunto, GeneXpert MTB/XDR.</w:t>
      </w:r>
    </w:p>
    <w:p w:rsidR="005D7FDE" w:rsidRDefault="001D20BC">
      <w:pPr>
        <w:pStyle w:val="Ttulo1"/>
      </w:pPr>
      <w:r>
        <w:t>2. OBJETIVOS</w:t>
      </w:r>
    </w:p>
    <w:p w:rsidR="005D7FDE" w:rsidRDefault="001D20BC">
      <w:pPr>
        <w:pStyle w:val="Ttulo2"/>
      </w:pPr>
      <w:r>
        <w:t>2.1. Objetivo general</w:t>
      </w:r>
    </w:p>
    <w:p w:rsidR="005D7FDE" w:rsidRDefault="001D20BC">
      <w:r>
        <w:t>Evaluar comparativamente el rendimiento diagnóstico de la plataforma molecular descentralizada Truenat para la detección del complejo Mycobacterium tuberculosis y de resistencia a isoniacida y rifampicina en muestras pulmonares y extrapulmonares en Ecuador, utilizando como referencia el cultivo micobacteriano y las pruebas fenotípicas de sensibilidad.</w:t>
      </w:r>
    </w:p>
    <w:p w:rsidR="005D7FDE" w:rsidRDefault="001D20BC">
      <w:pPr>
        <w:pStyle w:val="Ttulo2"/>
      </w:pPr>
      <w:r>
        <w:t>2.2. Objetivos específicos</w:t>
      </w:r>
    </w:p>
    <w:p w:rsidR="005D7FDE" w:rsidRDefault="001D20BC">
      <w:pPr>
        <w:pStyle w:val="Listado"/>
      </w:pPr>
      <w:r>
        <w:t>Determinar la sensibilidad, especificidad, valores predictivos y exactitud de Truenat para la detección de MTBC frente al cultivo micobacteriano.</w:t>
      </w:r>
    </w:p>
    <w:p w:rsidR="005D7FDE" w:rsidRDefault="001D20BC">
      <w:pPr>
        <w:pStyle w:val="Listado"/>
      </w:pPr>
      <w:r>
        <w:t>Evaluar el desempeño de Truenat para identificar resistencia a isoniacida (INH) y rifampicina (RIF) frente a las pruebas fenotípicas de sensibilidad.</w:t>
      </w:r>
    </w:p>
    <w:p w:rsidR="005D7FDE" w:rsidRDefault="001D20BC">
      <w:pPr>
        <w:pStyle w:val="Listado"/>
      </w:pPr>
      <w:r>
        <w:t>Estimar la concordancia entre Truenat y GeneXpert MTB/XDR en el subconjunto de muestras procesadas en paralelo.</w:t>
      </w:r>
    </w:p>
    <w:p w:rsidR="005D7FDE" w:rsidRDefault="001D20BC">
      <w:pPr>
        <w:pStyle w:val="Listado"/>
      </w:pPr>
      <w:r>
        <w:lastRenderedPageBreak/>
        <w:t>Describir el comportamiento de la prueba en muestras pulmonares y extrapulmonares y las principales consideraciones operativas observadas durante la validación.</w:t>
      </w:r>
    </w:p>
    <w:p w:rsidR="005D7FDE" w:rsidRDefault="001D20BC">
      <w:pPr>
        <w:pStyle w:val="Ttulo1"/>
      </w:pPr>
      <w:r>
        <w:t>3. METODOLOGÍA</w:t>
      </w:r>
    </w:p>
    <w:p w:rsidR="005D7FDE" w:rsidRDefault="001D20BC">
      <w:pPr>
        <w:pStyle w:val="Ttulo2"/>
      </w:pPr>
      <w:r>
        <w:t>3.1. Diseño y ámbito del estudio</w:t>
      </w:r>
    </w:p>
    <w:p w:rsidR="005D7FDE" w:rsidRDefault="001D20BC">
      <w:r>
        <w:t>Se realizó un estudio transversal comparativo de exactitud diagnóstica en el Centro de Referencia Nacional de Micobacterias del Instituto Nacional de Investigación en Salud Pública (INSPI), Ecuador. El análisis incluyó muestras recibidas para diagnóstico de tuberculosis y aislamientos/cultivos empleados para la evaluación de resistencia. La estructura de reporte se adaptó a los principios STARD 2015 para estudios de exactitud diagnóstica, que recomiendan describir con transparencia la selección de participantes o muestras, la prueba índice, el estándar de referencia, el flujo del estudio y las medidas de rendimiento (Bossuyt et al., 2015).</w:t>
      </w:r>
    </w:p>
    <w:p w:rsidR="005D7FDE" w:rsidRDefault="001D20BC">
      <w:pPr>
        <w:pStyle w:val="Ttulo2"/>
      </w:pPr>
      <w:r>
        <w:t>3.2. Muestras incluidas</w:t>
      </w:r>
    </w:p>
    <w:p w:rsidR="005D7FDE" w:rsidRDefault="001D20BC">
      <w:r>
        <w:t>Se incluyeron 163 muestras: 129 pulmonares (79,1 %) y 34 extrapulmonares (20,9 %). Entre las pulmonares predominaron los esputos (125), además de un aspirado gástrico, dos aspirados traqueales y un lavado bronquial. Las muestras extrapulmonares correspondieron a material de absceso (4), biopsia (1), heces (7), líquido cefalorraquídeo (9), líquido pleural (9) y orina (4). Antes del procesamiento se verificaron los criterios técnicos y documentales de aceptación, se asignó un código y se aplicaron procedimientos estandarizados de pretratamiento de acuerdo con el tipo de muestra.</w:t>
      </w:r>
    </w:p>
    <w:p w:rsidR="005D7FDE" w:rsidRDefault="001D20BC">
      <w:pPr>
        <w:pStyle w:val="Figuras"/>
      </w:pPr>
      <w:r>
        <w:t>TABLA 1. Distribución de las muestras incluidas en el estudio</w:t>
      </w:r>
    </w:p>
    <w:tbl>
      <w:tblPr>
        <w:tblW w:w="0" w:type="auto"/>
        <w:tblLook w:val="04A0" w:firstRow="1" w:lastRow="0" w:firstColumn="1" w:lastColumn="0" w:noHBand="0" w:noVBand="1"/>
      </w:tblPr>
      <w:tblGrid>
        <w:gridCol w:w="1644"/>
        <w:gridCol w:w="1644"/>
        <w:gridCol w:w="1644"/>
        <w:gridCol w:w="1644"/>
      </w:tblGrid>
      <w:tr w:rsidR="005D7FDE">
        <w:tc>
          <w:tcPr>
            <w:tcW w:w="1644" w:type="dxa"/>
          </w:tcPr>
          <w:p w:rsidR="005D7FDE" w:rsidRDefault="001D20BC">
            <w:pPr>
              <w:pStyle w:val="Tablatexto"/>
            </w:pPr>
            <w:r>
              <w:rPr>
                <w:b/>
              </w:rPr>
              <w:t>Categoría</w:t>
            </w:r>
          </w:p>
        </w:tc>
        <w:tc>
          <w:tcPr>
            <w:tcW w:w="1644" w:type="dxa"/>
          </w:tcPr>
          <w:p w:rsidR="005D7FDE" w:rsidRDefault="001D20BC">
            <w:pPr>
              <w:pStyle w:val="Tablatexto"/>
            </w:pPr>
            <w:r>
              <w:rPr>
                <w:b/>
              </w:rPr>
              <w:t>Tipo de muestra</w:t>
            </w:r>
          </w:p>
        </w:tc>
        <w:tc>
          <w:tcPr>
            <w:tcW w:w="1644" w:type="dxa"/>
          </w:tcPr>
          <w:p w:rsidR="005D7FDE" w:rsidRDefault="001D20BC">
            <w:pPr>
              <w:pStyle w:val="Tablatexto"/>
            </w:pPr>
            <w:r>
              <w:rPr>
                <w:b/>
              </w:rPr>
              <w:t>n</w:t>
            </w:r>
          </w:p>
        </w:tc>
        <w:tc>
          <w:tcPr>
            <w:tcW w:w="1644" w:type="dxa"/>
          </w:tcPr>
          <w:p w:rsidR="005D7FDE" w:rsidRDefault="001D20BC">
            <w:pPr>
              <w:pStyle w:val="Tablatexto"/>
            </w:pPr>
            <w:r>
              <w:rPr>
                <w:b/>
              </w:rPr>
              <w:t>% del total</w:t>
            </w:r>
          </w:p>
        </w:tc>
      </w:tr>
      <w:tr w:rsidR="005D7FDE">
        <w:tc>
          <w:tcPr>
            <w:tcW w:w="1644" w:type="dxa"/>
          </w:tcPr>
          <w:p w:rsidR="005D7FDE" w:rsidRDefault="001D20BC">
            <w:pPr>
              <w:pStyle w:val="Tablatexto"/>
            </w:pPr>
            <w:r>
              <w:t>Pulmonar</w:t>
            </w:r>
          </w:p>
        </w:tc>
        <w:tc>
          <w:tcPr>
            <w:tcW w:w="1644" w:type="dxa"/>
          </w:tcPr>
          <w:p w:rsidR="005D7FDE" w:rsidRDefault="001D20BC">
            <w:pPr>
              <w:pStyle w:val="Tablatexto"/>
            </w:pPr>
            <w:r>
              <w:t>Esputo</w:t>
            </w:r>
          </w:p>
        </w:tc>
        <w:tc>
          <w:tcPr>
            <w:tcW w:w="1644" w:type="dxa"/>
          </w:tcPr>
          <w:p w:rsidR="005D7FDE" w:rsidRDefault="001D20BC">
            <w:pPr>
              <w:pStyle w:val="Tablatexto"/>
            </w:pPr>
            <w:r>
              <w:t>125</w:t>
            </w:r>
          </w:p>
        </w:tc>
        <w:tc>
          <w:tcPr>
            <w:tcW w:w="1644" w:type="dxa"/>
          </w:tcPr>
          <w:p w:rsidR="005D7FDE" w:rsidRDefault="001D20BC">
            <w:pPr>
              <w:pStyle w:val="Tablatexto"/>
            </w:pPr>
            <w:r>
              <w:t>76,7</w:t>
            </w:r>
          </w:p>
        </w:tc>
      </w:tr>
      <w:tr w:rsidR="005D7FDE">
        <w:tc>
          <w:tcPr>
            <w:tcW w:w="1644" w:type="dxa"/>
          </w:tcPr>
          <w:p w:rsidR="005D7FDE" w:rsidRDefault="001D20BC">
            <w:pPr>
              <w:pStyle w:val="Tablatexto"/>
            </w:pPr>
            <w:r>
              <w:t>Pulmonar</w:t>
            </w:r>
          </w:p>
        </w:tc>
        <w:tc>
          <w:tcPr>
            <w:tcW w:w="1644" w:type="dxa"/>
          </w:tcPr>
          <w:p w:rsidR="005D7FDE" w:rsidRDefault="001D20BC">
            <w:pPr>
              <w:pStyle w:val="Tablatexto"/>
            </w:pPr>
            <w:r>
              <w:t>Aspirado gástrico</w:t>
            </w:r>
          </w:p>
        </w:tc>
        <w:tc>
          <w:tcPr>
            <w:tcW w:w="1644" w:type="dxa"/>
          </w:tcPr>
          <w:p w:rsidR="005D7FDE" w:rsidRDefault="001D20BC">
            <w:pPr>
              <w:pStyle w:val="Tablatexto"/>
            </w:pPr>
            <w:r>
              <w:t>1</w:t>
            </w:r>
          </w:p>
        </w:tc>
        <w:tc>
          <w:tcPr>
            <w:tcW w:w="1644" w:type="dxa"/>
          </w:tcPr>
          <w:p w:rsidR="005D7FDE" w:rsidRDefault="001D20BC">
            <w:pPr>
              <w:pStyle w:val="Tablatexto"/>
            </w:pPr>
            <w:r>
              <w:t>0,6</w:t>
            </w:r>
          </w:p>
        </w:tc>
      </w:tr>
      <w:tr w:rsidR="005D7FDE">
        <w:tc>
          <w:tcPr>
            <w:tcW w:w="1644" w:type="dxa"/>
          </w:tcPr>
          <w:p w:rsidR="005D7FDE" w:rsidRDefault="001D20BC">
            <w:pPr>
              <w:pStyle w:val="Tablatexto"/>
            </w:pPr>
            <w:r>
              <w:t>Pulmonar</w:t>
            </w:r>
          </w:p>
        </w:tc>
        <w:tc>
          <w:tcPr>
            <w:tcW w:w="1644" w:type="dxa"/>
          </w:tcPr>
          <w:p w:rsidR="005D7FDE" w:rsidRDefault="001D20BC">
            <w:pPr>
              <w:pStyle w:val="Tablatexto"/>
            </w:pPr>
            <w:r>
              <w:t>Aspirado traqueal</w:t>
            </w:r>
          </w:p>
        </w:tc>
        <w:tc>
          <w:tcPr>
            <w:tcW w:w="1644" w:type="dxa"/>
          </w:tcPr>
          <w:p w:rsidR="005D7FDE" w:rsidRDefault="001D20BC">
            <w:pPr>
              <w:pStyle w:val="Tablatexto"/>
            </w:pPr>
            <w:r>
              <w:t>2</w:t>
            </w:r>
          </w:p>
        </w:tc>
        <w:tc>
          <w:tcPr>
            <w:tcW w:w="1644" w:type="dxa"/>
          </w:tcPr>
          <w:p w:rsidR="005D7FDE" w:rsidRDefault="001D20BC">
            <w:pPr>
              <w:pStyle w:val="Tablatexto"/>
            </w:pPr>
            <w:r>
              <w:t>1,2</w:t>
            </w:r>
          </w:p>
        </w:tc>
      </w:tr>
      <w:tr w:rsidR="005D7FDE">
        <w:tc>
          <w:tcPr>
            <w:tcW w:w="1644" w:type="dxa"/>
          </w:tcPr>
          <w:p w:rsidR="005D7FDE" w:rsidRDefault="001D20BC">
            <w:pPr>
              <w:pStyle w:val="Tablatexto"/>
            </w:pPr>
            <w:r>
              <w:t>Pulmonar</w:t>
            </w:r>
          </w:p>
        </w:tc>
        <w:tc>
          <w:tcPr>
            <w:tcW w:w="1644" w:type="dxa"/>
          </w:tcPr>
          <w:p w:rsidR="005D7FDE" w:rsidRDefault="001D20BC">
            <w:pPr>
              <w:pStyle w:val="Tablatexto"/>
            </w:pPr>
            <w:r>
              <w:t>Lavado bronquial</w:t>
            </w:r>
          </w:p>
        </w:tc>
        <w:tc>
          <w:tcPr>
            <w:tcW w:w="1644" w:type="dxa"/>
          </w:tcPr>
          <w:p w:rsidR="005D7FDE" w:rsidRDefault="001D20BC">
            <w:pPr>
              <w:pStyle w:val="Tablatexto"/>
            </w:pPr>
            <w:r>
              <w:t>1</w:t>
            </w:r>
          </w:p>
        </w:tc>
        <w:tc>
          <w:tcPr>
            <w:tcW w:w="1644" w:type="dxa"/>
          </w:tcPr>
          <w:p w:rsidR="005D7FDE" w:rsidRDefault="001D20BC">
            <w:pPr>
              <w:pStyle w:val="Tablatexto"/>
            </w:pPr>
            <w:r>
              <w:t>0,6</w:t>
            </w:r>
          </w:p>
        </w:tc>
      </w:tr>
      <w:tr w:rsidR="005D7FDE">
        <w:tc>
          <w:tcPr>
            <w:tcW w:w="1644" w:type="dxa"/>
          </w:tcPr>
          <w:p w:rsidR="005D7FDE" w:rsidRDefault="001D20BC">
            <w:pPr>
              <w:pStyle w:val="Tablatexto"/>
            </w:pPr>
            <w:r>
              <w:lastRenderedPageBreak/>
              <w:t>Extrapulmonar</w:t>
            </w:r>
          </w:p>
        </w:tc>
        <w:tc>
          <w:tcPr>
            <w:tcW w:w="1644" w:type="dxa"/>
          </w:tcPr>
          <w:p w:rsidR="005D7FDE" w:rsidRDefault="001D20BC">
            <w:pPr>
              <w:pStyle w:val="Tablatexto"/>
            </w:pPr>
            <w:r>
              <w:t>Material de absceso</w:t>
            </w:r>
          </w:p>
        </w:tc>
        <w:tc>
          <w:tcPr>
            <w:tcW w:w="1644" w:type="dxa"/>
          </w:tcPr>
          <w:p w:rsidR="005D7FDE" w:rsidRDefault="001D20BC">
            <w:pPr>
              <w:pStyle w:val="Tablatexto"/>
            </w:pPr>
            <w:r>
              <w:t>4</w:t>
            </w:r>
          </w:p>
        </w:tc>
        <w:tc>
          <w:tcPr>
            <w:tcW w:w="1644" w:type="dxa"/>
          </w:tcPr>
          <w:p w:rsidR="005D7FDE" w:rsidRDefault="001D20BC">
            <w:pPr>
              <w:pStyle w:val="Tablatexto"/>
            </w:pPr>
            <w:r>
              <w:t>2,5</w:t>
            </w:r>
          </w:p>
        </w:tc>
      </w:tr>
      <w:tr w:rsidR="005D7FDE">
        <w:tc>
          <w:tcPr>
            <w:tcW w:w="1644" w:type="dxa"/>
          </w:tcPr>
          <w:p w:rsidR="005D7FDE" w:rsidRDefault="001D20BC">
            <w:pPr>
              <w:pStyle w:val="Tablatexto"/>
            </w:pPr>
            <w:r>
              <w:t>Extrapulmonar</w:t>
            </w:r>
          </w:p>
        </w:tc>
        <w:tc>
          <w:tcPr>
            <w:tcW w:w="1644" w:type="dxa"/>
          </w:tcPr>
          <w:p w:rsidR="005D7FDE" w:rsidRDefault="001D20BC">
            <w:pPr>
              <w:pStyle w:val="Tablatexto"/>
            </w:pPr>
            <w:r>
              <w:t>Biopsia</w:t>
            </w:r>
          </w:p>
        </w:tc>
        <w:tc>
          <w:tcPr>
            <w:tcW w:w="1644" w:type="dxa"/>
          </w:tcPr>
          <w:p w:rsidR="005D7FDE" w:rsidRDefault="001D20BC">
            <w:pPr>
              <w:pStyle w:val="Tablatexto"/>
            </w:pPr>
            <w:r>
              <w:t>1</w:t>
            </w:r>
          </w:p>
        </w:tc>
        <w:tc>
          <w:tcPr>
            <w:tcW w:w="1644" w:type="dxa"/>
          </w:tcPr>
          <w:p w:rsidR="005D7FDE" w:rsidRDefault="001D20BC">
            <w:pPr>
              <w:pStyle w:val="Tablatexto"/>
            </w:pPr>
            <w:r>
              <w:t>0,6</w:t>
            </w:r>
          </w:p>
        </w:tc>
      </w:tr>
      <w:tr w:rsidR="005D7FDE">
        <w:tc>
          <w:tcPr>
            <w:tcW w:w="1644" w:type="dxa"/>
          </w:tcPr>
          <w:p w:rsidR="005D7FDE" w:rsidRDefault="001D20BC">
            <w:pPr>
              <w:pStyle w:val="Tablatexto"/>
            </w:pPr>
            <w:r>
              <w:t>Extrapulmonar</w:t>
            </w:r>
          </w:p>
        </w:tc>
        <w:tc>
          <w:tcPr>
            <w:tcW w:w="1644" w:type="dxa"/>
          </w:tcPr>
          <w:p w:rsidR="005D7FDE" w:rsidRDefault="001D20BC">
            <w:pPr>
              <w:pStyle w:val="Tablatexto"/>
            </w:pPr>
            <w:r>
              <w:t>Heces</w:t>
            </w:r>
          </w:p>
        </w:tc>
        <w:tc>
          <w:tcPr>
            <w:tcW w:w="1644" w:type="dxa"/>
          </w:tcPr>
          <w:p w:rsidR="005D7FDE" w:rsidRDefault="001D20BC">
            <w:pPr>
              <w:pStyle w:val="Tablatexto"/>
            </w:pPr>
            <w:r>
              <w:t>7</w:t>
            </w:r>
          </w:p>
        </w:tc>
        <w:tc>
          <w:tcPr>
            <w:tcW w:w="1644" w:type="dxa"/>
          </w:tcPr>
          <w:p w:rsidR="005D7FDE" w:rsidRDefault="001D20BC">
            <w:pPr>
              <w:pStyle w:val="Tablatexto"/>
            </w:pPr>
            <w:r>
              <w:t>4,3</w:t>
            </w:r>
          </w:p>
        </w:tc>
      </w:tr>
      <w:tr w:rsidR="005D7FDE">
        <w:tc>
          <w:tcPr>
            <w:tcW w:w="1644" w:type="dxa"/>
          </w:tcPr>
          <w:p w:rsidR="005D7FDE" w:rsidRDefault="001D20BC">
            <w:pPr>
              <w:pStyle w:val="Tablatexto"/>
            </w:pPr>
            <w:r>
              <w:t>Extrapulmonar</w:t>
            </w:r>
          </w:p>
        </w:tc>
        <w:tc>
          <w:tcPr>
            <w:tcW w:w="1644" w:type="dxa"/>
          </w:tcPr>
          <w:p w:rsidR="005D7FDE" w:rsidRDefault="001D20BC">
            <w:pPr>
              <w:pStyle w:val="Tablatexto"/>
            </w:pPr>
            <w:r>
              <w:t>Líquido cefalorraquídeo</w:t>
            </w:r>
          </w:p>
        </w:tc>
        <w:tc>
          <w:tcPr>
            <w:tcW w:w="1644" w:type="dxa"/>
          </w:tcPr>
          <w:p w:rsidR="005D7FDE" w:rsidRDefault="001D20BC">
            <w:pPr>
              <w:pStyle w:val="Tablatexto"/>
            </w:pPr>
            <w:r>
              <w:t>9</w:t>
            </w:r>
          </w:p>
        </w:tc>
        <w:tc>
          <w:tcPr>
            <w:tcW w:w="1644" w:type="dxa"/>
          </w:tcPr>
          <w:p w:rsidR="005D7FDE" w:rsidRDefault="001D20BC">
            <w:pPr>
              <w:pStyle w:val="Tablatexto"/>
            </w:pPr>
            <w:r>
              <w:t>5,5</w:t>
            </w:r>
          </w:p>
        </w:tc>
      </w:tr>
      <w:tr w:rsidR="005D7FDE">
        <w:tc>
          <w:tcPr>
            <w:tcW w:w="1644" w:type="dxa"/>
          </w:tcPr>
          <w:p w:rsidR="005D7FDE" w:rsidRDefault="001D20BC">
            <w:pPr>
              <w:pStyle w:val="Tablatexto"/>
            </w:pPr>
            <w:r>
              <w:t>Extrapulmonar</w:t>
            </w:r>
          </w:p>
        </w:tc>
        <w:tc>
          <w:tcPr>
            <w:tcW w:w="1644" w:type="dxa"/>
          </w:tcPr>
          <w:p w:rsidR="005D7FDE" w:rsidRDefault="001D20BC">
            <w:pPr>
              <w:pStyle w:val="Tablatexto"/>
            </w:pPr>
            <w:r>
              <w:t>Líquido pleural</w:t>
            </w:r>
          </w:p>
        </w:tc>
        <w:tc>
          <w:tcPr>
            <w:tcW w:w="1644" w:type="dxa"/>
          </w:tcPr>
          <w:p w:rsidR="005D7FDE" w:rsidRDefault="001D20BC">
            <w:pPr>
              <w:pStyle w:val="Tablatexto"/>
            </w:pPr>
            <w:r>
              <w:t>9</w:t>
            </w:r>
          </w:p>
        </w:tc>
        <w:tc>
          <w:tcPr>
            <w:tcW w:w="1644" w:type="dxa"/>
          </w:tcPr>
          <w:p w:rsidR="005D7FDE" w:rsidRDefault="001D20BC">
            <w:pPr>
              <w:pStyle w:val="Tablatexto"/>
            </w:pPr>
            <w:r>
              <w:t>5,5</w:t>
            </w:r>
          </w:p>
        </w:tc>
      </w:tr>
      <w:tr w:rsidR="005D7FDE">
        <w:tc>
          <w:tcPr>
            <w:tcW w:w="1644" w:type="dxa"/>
          </w:tcPr>
          <w:p w:rsidR="005D7FDE" w:rsidRDefault="001D20BC">
            <w:pPr>
              <w:pStyle w:val="Tablatexto"/>
            </w:pPr>
            <w:r>
              <w:t>Extrapulmonar</w:t>
            </w:r>
          </w:p>
        </w:tc>
        <w:tc>
          <w:tcPr>
            <w:tcW w:w="1644" w:type="dxa"/>
          </w:tcPr>
          <w:p w:rsidR="005D7FDE" w:rsidRDefault="001D20BC">
            <w:pPr>
              <w:pStyle w:val="Tablatexto"/>
            </w:pPr>
            <w:r>
              <w:t>Orina</w:t>
            </w:r>
          </w:p>
        </w:tc>
        <w:tc>
          <w:tcPr>
            <w:tcW w:w="1644" w:type="dxa"/>
          </w:tcPr>
          <w:p w:rsidR="005D7FDE" w:rsidRDefault="001D20BC">
            <w:pPr>
              <w:pStyle w:val="Tablatexto"/>
            </w:pPr>
            <w:r>
              <w:t>4</w:t>
            </w:r>
          </w:p>
        </w:tc>
        <w:tc>
          <w:tcPr>
            <w:tcW w:w="1644" w:type="dxa"/>
          </w:tcPr>
          <w:p w:rsidR="005D7FDE" w:rsidRDefault="001D20BC">
            <w:pPr>
              <w:pStyle w:val="Tablatexto"/>
            </w:pPr>
            <w:r>
              <w:t>2,5</w:t>
            </w:r>
          </w:p>
        </w:tc>
      </w:tr>
      <w:tr w:rsidR="005D7FDE">
        <w:tc>
          <w:tcPr>
            <w:tcW w:w="1644" w:type="dxa"/>
          </w:tcPr>
          <w:p w:rsidR="005D7FDE" w:rsidRDefault="001D20BC">
            <w:pPr>
              <w:pStyle w:val="Tablatexto"/>
            </w:pPr>
            <w:r>
              <w:t>Total</w:t>
            </w:r>
          </w:p>
        </w:tc>
        <w:tc>
          <w:tcPr>
            <w:tcW w:w="1644" w:type="dxa"/>
          </w:tcPr>
          <w:p w:rsidR="005D7FDE" w:rsidRDefault="001D20BC">
            <w:pPr>
              <w:pStyle w:val="Tablatexto"/>
            </w:pPr>
            <w:r>
              <w:t>Todas las muestras</w:t>
            </w:r>
          </w:p>
        </w:tc>
        <w:tc>
          <w:tcPr>
            <w:tcW w:w="1644" w:type="dxa"/>
          </w:tcPr>
          <w:p w:rsidR="005D7FDE" w:rsidRDefault="001D20BC">
            <w:pPr>
              <w:pStyle w:val="Tablatexto"/>
            </w:pPr>
            <w:r>
              <w:t>163</w:t>
            </w:r>
          </w:p>
        </w:tc>
        <w:tc>
          <w:tcPr>
            <w:tcW w:w="1644" w:type="dxa"/>
          </w:tcPr>
          <w:p w:rsidR="005D7FDE" w:rsidRDefault="001D20BC">
            <w:pPr>
              <w:pStyle w:val="Tablatexto"/>
            </w:pPr>
            <w:r>
              <w:t>100,0</w:t>
            </w:r>
          </w:p>
        </w:tc>
      </w:tr>
    </w:tbl>
    <w:p w:rsidR="005D7FDE" w:rsidRDefault="001D20BC">
      <w:pPr>
        <w:pStyle w:val="Ttulo2"/>
      </w:pPr>
      <w:r>
        <w:t>3.3. Prueba índice: Truenat</w:t>
      </w:r>
    </w:p>
    <w:p w:rsidR="005D7FDE" w:rsidRDefault="001D20BC">
      <w:r>
        <w:t>Después del pretratamiento, el ADN fue extraído y amplificado en la plataforma Truelab siguiendo el flujo de trabajo de los ensayos Truenat. La detección de MTBC se realizó inicialmente y, cuando correspondía según el algoritmo del estudio, se efectuó la evaluación molecular de resistencia a INH y RIF. El proceso de validación consideró recepción, verificación de criterios de aceptación, codificación, pretratamiento, extracción de ADN, amplificación y detección. La presentación doctoral que sustenta este capítulo enfatiza la portabilidad del sistema, su capacidad de operación con soporte de batería y su potencial para el procesamiento en escenarios descentralizados.</w:t>
      </w:r>
    </w:p>
    <w:p w:rsidR="005D7FDE" w:rsidRDefault="001D20BC">
      <w:pPr>
        <w:pStyle w:val="Ttulo2"/>
      </w:pPr>
      <w:r>
        <w:t>3.4. Prueba molecular comparadora y estándar de referencia</w:t>
      </w:r>
    </w:p>
    <w:p w:rsidR="005D7FDE" w:rsidRDefault="001D20BC">
      <w:r>
        <w:t>Un subconjunto de muestras fue procesado en paralelo mediante GeneXpert MTB/XDR. Los resultados se clasificaron como MTBC detectado/no detectado y, cuando estuvo disponible, como resistente/no resistente para INH y RIF. Todas las muestras fueron sometidas a cultivo micobacteriano. Para la detección de MTBC, el cultivo se consideró el estándar microbiológico de referencia. Los aislamientos con cultivo positivo fueron evaluados mediante pruebas fenotípicas de sensibilidad en medio líquido MGIT; para INH y RIF, la prueba fenotípica se utilizó como estándar de referencia. La comparación con Xpert se interpretó como una evaluación adicional de concordancia entre plataformas moleculares, no como sustitución del estándar microbiológico.</w:t>
      </w:r>
    </w:p>
    <w:p w:rsidR="005D7FDE" w:rsidRDefault="001D20BC">
      <w:pPr>
        <w:pStyle w:val="Ttulo2"/>
      </w:pPr>
      <w:r>
        <w:t>3.5. Análisis estadístico</w:t>
      </w:r>
    </w:p>
    <w:p w:rsidR="005D7FDE" w:rsidRDefault="001D20BC">
      <w:r>
        <w:lastRenderedPageBreak/>
        <w:t>Para cada blanco diagnóstico se construyeron tablas de contingencia de dos por dos. Se calcularon sensibilidad, especificidad, valor predictivo positivo (VPP), valor predictivo negativo (VPN) y exactitud global, acompañados de intervalos de confianza del 95 % cuando estaban disponibles. La concordancia más allá del azar se estimó mediante el coeficiente kappa de Cohen (κ). Para su interpretación se consideraron, de forma orientativa, los intervalos: leve (0,00–0,20), aceptable (0,21–0,40), moderada (0,41–0,60), sustancial (0,61–0,80) y casi perfecta (0,81–1,00). Se realizaron análisis para el conjunto comparado con cultivo/prueba fenotípica y para el subconjunto comparado con GeneXpert, incluyendo la estratificación por tipo de muestra cuando fue posible.</w:t>
      </w:r>
    </w:p>
    <w:p w:rsidR="005D7FDE" w:rsidRDefault="001D20BC">
      <w:pPr>
        <w:pStyle w:val="Ttulo2"/>
      </w:pPr>
      <w:r>
        <w:t>3.6. Consideraciones éticas y de calidad</w:t>
      </w:r>
    </w:p>
    <w:p w:rsidR="005D7FDE" w:rsidRDefault="001D20BC">
      <w:r>
        <w:t>El análisis utilizó datos de laboratorio codificados y material diagnóstico residual, sin incorporar información directamente identificable de pacientes en la base analítica. Para una publicación científica posterior deberán consignarse de manera explícita el comité de ética competente, código y fecha de aprobación, determinación sobre consentimiento y salvaguardas de protección de datos. Desde el punto de vista de calidad, la validación identificó como aspectos críticos la estandarización del pretratamiento según el tipo de muestra, el procesamiento oportuno, la capacitación del personal y el seguimiento de errores iniciales de corrida.</w:t>
      </w:r>
    </w:p>
    <w:p w:rsidR="005D7FDE" w:rsidRDefault="001D20BC">
      <w:pPr>
        <w:pStyle w:val="Ttulo1"/>
      </w:pPr>
      <w:r>
        <w:t>4. RESULTADOS</w:t>
      </w:r>
    </w:p>
    <w:p w:rsidR="005D7FDE" w:rsidRDefault="001D20BC">
      <w:pPr>
        <w:pStyle w:val="Ttulo2"/>
      </w:pPr>
      <w:r>
        <w:t>4.1. Perfil de las muestras</w:t>
      </w:r>
    </w:p>
    <w:p w:rsidR="005D7FDE" w:rsidRDefault="001D20BC">
      <w:r>
        <w:t xml:space="preserve">De las 163 muestras analizadas, 129 fueron pulmonares y 34 extrapulmonares. El esputo representó 125 de las 129 muestras pulmonares (96,9 %). Entre las extrapulmonares, el líquido cefalorraquídeo y el líquido pleural fueron los tipos más frecuentes, con nueve muestras cada uno (26,5 % de las extrapulmonares), seguidos por heces con siete (20,6 %). Esta composición permitió evaluar la plataforma en una variedad de </w:t>
      </w:r>
      <w:r>
        <w:lastRenderedPageBreak/>
        <w:t>matrices biológicas, aunque el tamaño de algunos subgrupos extrapulmonares fue reducido y debe considerarse al interpretar los resultados.</w:t>
      </w:r>
    </w:p>
    <w:p w:rsidR="005D7FDE" w:rsidRDefault="001D20BC">
      <w:pPr>
        <w:pStyle w:val="Ttulo2"/>
      </w:pPr>
      <w:r>
        <w:t>4.2. Rendimiento frente a cultivo y sensibilidad fenotípica</w:t>
      </w:r>
    </w:p>
    <w:p w:rsidR="005D7FDE" w:rsidRDefault="001D20BC">
      <w:r>
        <w:t>Para la detección de MTBC, Truenat clasificó correctamente las 85 muestras positivas por cultivo y las 78 negativas. En este conjunto, la sensibilidad fue 100 % (IC 95 %: 95,8–100), la especificidad 100 % (IC 95 %: 95,4–100) y la exactitud 100 % (IC 95 %: 97,8–100). La ausencia de discordancias produjo VPP y VPN de 100 %. Sin embargo, los límites inferiores de los intervalos de confianza recuerdan que un resultado perfecto en la muestra estudiada no implica desempeño perfecto en todas las poblaciones futuras.</w:t>
      </w:r>
    </w:p>
    <w:p w:rsidR="005D7FDE" w:rsidRDefault="001D20BC">
      <w:r>
        <w:t>Para resistencia a INH, Truenat identificó 62 de 64 aislamientos fenotípicamente resistentes y los 21 aislamientos susceptibles. Se observaron dos resultados resistentes por el método fenotípico que fueron clasificados como no resistentes por Truenat y no se registraron falsos resistentes. La sensibilidad fue 96,9 % (IC 95 %: 89,2–99,6), la especificidad 100 % (IC 95 %: 83,9–100), el VPP 100 %, el VPN 91,3 %, la exactitud 97,6 % y κ=0,939.</w:t>
      </w:r>
    </w:p>
    <w:p w:rsidR="005D7FDE" w:rsidRDefault="001D20BC">
      <w:r>
        <w:t>Para resistencia a RIF, Truenat identificó 38 de 40 aislamientos fenotípicamente resistentes y los 45 susceptibles. Se registraron dos aislamientos resistentes no detectados por la prueba molecular, sin falsos resistentes. La sensibilidad fue 95,0 % (IC 95 %: 83,1–99,4), la especificidad 100 % (IC 95 %: 92,1–100), el VPP 100 %, el VPN 95,7 %, la exactitud 97,6 % y κ=0,953. En conjunto, los valores de kappa para INH y RIF correspondieron a concordancia casi perfecta.</w:t>
      </w:r>
    </w:p>
    <w:p w:rsidR="005D7FDE" w:rsidRDefault="001D20BC">
      <w:pPr>
        <w:pStyle w:val="Figuras"/>
      </w:pPr>
      <w:r>
        <w:t>TABLA 2. Rendimiento diagnóstico de Truenat frente a cultivo y pruebas fenotípicas de sensibilidad</w:t>
      </w:r>
    </w:p>
    <w:tbl>
      <w:tblPr>
        <w:tblW w:w="0" w:type="auto"/>
        <w:tblLook w:val="04A0" w:firstRow="1" w:lastRow="0" w:firstColumn="1" w:lastColumn="0" w:noHBand="0" w:noVBand="1"/>
      </w:tblPr>
      <w:tblGrid>
        <w:gridCol w:w="1096"/>
        <w:gridCol w:w="1096"/>
        <w:gridCol w:w="1096"/>
        <w:gridCol w:w="1096"/>
        <w:gridCol w:w="1096"/>
        <w:gridCol w:w="1096"/>
      </w:tblGrid>
      <w:tr w:rsidR="005D7FDE">
        <w:tc>
          <w:tcPr>
            <w:tcW w:w="1096" w:type="dxa"/>
          </w:tcPr>
          <w:p w:rsidR="005D7FDE" w:rsidRDefault="001D20BC">
            <w:pPr>
              <w:pStyle w:val="Tablatexto"/>
            </w:pPr>
            <w:r>
              <w:rPr>
                <w:b/>
              </w:rPr>
              <w:t>Resultado</w:t>
            </w:r>
          </w:p>
        </w:tc>
        <w:tc>
          <w:tcPr>
            <w:tcW w:w="1096" w:type="dxa"/>
          </w:tcPr>
          <w:p w:rsidR="005D7FDE" w:rsidRDefault="001D20BC">
            <w:pPr>
              <w:pStyle w:val="Tablatexto"/>
            </w:pPr>
            <w:r>
              <w:rPr>
                <w:b/>
              </w:rPr>
              <w:t>n</w:t>
            </w:r>
          </w:p>
        </w:tc>
        <w:tc>
          <w:tcPr>
            <w:tcW w:w="1096" w:type="dxa"/>
          </w:tcPr>
          <w:p w:rsidR="005D7FDE" w:rsidRDefault="001D20BC">
            <w:pPr>
              <w:pStyle w:val="Tablatexto"/>
            </w:pPr>
            <w:r>
              <w:rPr>
                <w:b/>
              </w:rPr>
              <w:t>Sensibilidad % (IC 95 %)</w:t>
            </w:r>
          </w:p>
        </w:tc>
        <w:tc>
          <w:tcPr>
            <w:tcW w:w="1096" w:type="dxa"/>
          </w:tcPr>
          <w:p w:rsidR="005D7FDE" w:rsidRDefault="001D20BC">
            <w:pPr>
              <w:pStyle w:val="Tablatexto"/>
            </w:pPr>
            <w:r>
              <w:rPr>
                <w:b/>
              </w:rPr>
              <w:t>Especificidad % (IC 95 %)</w:t>
            </w:r>
          </w:p>
        </w:tc>
        <w:tc>
          <w:tcPr>
            <w:tcW w:w="1096" w:type="dxa"/>
          </w:tcPr>
          <w:p w:rsidR="005D7FDE" w:rsidRDefault="001D20BC">
            <w:pPr>
              <w:pStyle w:val="Tablatexto"/>
            </w:pPr>
            <w:r>
              <w:rPr>
                <w:b/>
              </w:rPr>
              <w:t>Exactitud %</w:t>
            </w:r>
          </w:p>
        </w:tc>
        <w:tc>
          <w:tcPr>
            <w:tcW w:w="1096" w:type="dxa"/>
          </w:tcPr>
          <w:p w:rsidR="005D7FDE" w:rsidRDefault="001D20BC">
            <w:pPr>
              <w:pStyle w:val="Tablatexto"/>
            </w:pPr>
            <w:r>
              <w:rPr>
                <w:b/>
              </w:rPr>
              <w:t>κ</w:t>
            </w:r>
          </w:p>
        </w:tc>
      </w:tr>
      <w:tr w:rsidR="005D7FDE">
        <w:tc>
          <w:tcPr>
            <w:tcW w:w="1096" w:type="dxa"/>
          </w:tcPr>
          <w:p w:rsidR="005D7FDE" w:rsidRDefault="001D20BC">
            <w:pPr>
              <w:pStyle w:val="Tablatexto"/>
            </w:pPr>
            <w:r>
              <w:t>Detección MTBC</w:t>
            </w:r>
          </w:p>
        </w:tc>
        <w:tc>
          <w:tcPr>
            <w:tcW w:w="1096" w:type="dxa"/>
          </w:tcPr>
          <w:p w:rsidR="005D7FDE" w:rsidRDefault="001D20BC">
            <w:pPr>
              <w:pStyle w:val="Tablatexto"/>
            </w:pPr>
            <w:r>
              <w:t>163</w:t>
            </w:r>
          </w:p>
        </w:tc>
        <w:tc>
          <w:tcPr>
            <w:tcW w:w="1096" w:type="dxa"/>
          </w:tcPr>
          <w:p w:rsidR="005D7FDE" w:rsidRDefault="001D20BC">
            <w:pPr>
              <w:pStyle w:val="Tablatexto"/>
            </w:pPr>
            <w:r>
              <w:t>100,0 (95,8–100)</w:t>
            </w:r>
          </w:p>
        </w:tc>
        <w:tc>
          <w:tcPr>
            <w:tcW w:w="1096" w:type="dxa"/>
          </w:tcPr>
          <w:p w:rsidR="005D7FDE" w:rsidRDefault="001D20BC">
            <w:pPr>
              <w:pStyle w:val="Tablatexto"/>
            </w:pPr>
            <w:r>
              <w:t>100,0 (95,4–100)</w:t>
            </w:r>
          </w:p>
        </w:tc>
        <w:tc>
          <w:tcPr>
            <w:tcW w:w="1096" w:type="dxa"/>
          </w:tcPr>
          <w:p w:rsidR="005D7FDE" w:rsidRDefault="001D20BC">
            <w:pPr>
              <w:pStyle w:val="Tablatexto"/>
            </w:pPr>
            <w:r>
              <w:t>100,0</w:t>
            </w:r>
          </w:p>
        </w:tc>
        <w:tc>
          <w:tcPr>
            <w:tcW w:w="1096" w:type="dxa"/>
          </w:tcPr>
          <w:p w:rsidR="005D7FDE" w:rsidRDefault="001D20BC">
            <w:pPr>
              <w:pStyle w:val="Tablatexto"/>
            </w:pPr>
            <w:r>
              <w:t>1,000</w:t>
            </w:r>
          </w:p>
        </w:tc>
      </w:tr>
      <w:tr w:rsidR="005D7FDE">
        <w:tc>
          <w:tcPr>
            <w:tcW w:w="1096" w:type="dxa"/>
          </w:tcPr>
          <w:p w:rsidR="005D7FDE" w:rsidRDefault="001D20BC">
            <w:pPr>
              <w:pStyle w:val="Tablatexto"/>
            </w:pPr>
            <w:r>
              <w:t xml:space="preserve">Resistencia </w:t>
            </w:r>
            <w:r>
              <w:lastRenderedPageBreak/>
              <w:t>INH</w:t>
            </w:r>
          </w:p>
        </w:tc>
        <w:tc>
          <w:tcPr>
            <w:tcW w:w="1096" w:type="dxa"/>
          </w:tcPr>
          <w:p w:rsidR="005D7FDE" w:rsidRDefault="001D20BC">
            <w:pPr>
              <w:pStyle w:val="Tablatexto"/>
            </w:pPr>
            <w:r>
              <w:lastRenderedPageBreak/>
              <w:t>85</w:t>
            </w:r>
          </w:p>
        </w:tc>
        <w:tc>
          <w:tcPr>
            <w:tcW w:w="1096" w:type="dxa"/>
          </w:tcPr>
          <w:p w:rsidR="005D7FDE" w:rsidRDefault="001D20BC">
            <w:pPr>
              <w:pStyle w:val="Tablatexto"/>
            </w:pPr>
            <w:r>
              <w:t>96,9 (89,2–99,6)</w:t>
            </w:r>
          </w:p>
        </w:tc>
        <w:tc>
          <w:tcPr>
            <w:tcW w:w="1096" w:type="dxa"/>
          </w:tcPr>
          <w:p w:rsidR="005D7FDE" w:rsidRDefault="001D20BC">
            <w:pPr>
              <w:pStyle w:val="Tablatexto"/>
            </w:pPr>
            <w:r>
              <w:t>100,0 (83,9–100)</w:t>
            </w:r>
          </w:p>
        </w:tc>
        <w:tc>
          <w:tcPr>
            <w:tcW w:w="1096" w:type="dxa"/>
          </w:tcPr>
          <w:p w:rsidR="005D7FDE" w:rsidRDefault="001D20BC">
            <w:pPr>
              <w:pStyle w:val="Tablatexto"/>
            </w:pPr>
            <w:r>
              <w:t>97,6</w:t>
            </w:r>
          </w:p>
        </w:tc>
        <w:tc>
          <w:tcPr>
            <w:tcW w:w="1096" w:type="dxa"/>
          </w:tcPr>
          <w:p w:rsidR="005D7FDE" w:rsidRDefault="001D20BC">
            <w:pPr>
              <w:pStyle w:val="Tablatexto"/>
            </w:pPr>
            <w:r>
              <w:t>0,939</w:t>
            </w:r>
          </w:p>
        </w:tc>
      </w:tr>
      <w:tr w:rsidR="005D7FDE">
        <w:tc>
          <w:tcPr>
            <w:tcW w:w="1096" w:type="dxa"/>
          </w:tcPr>
          <w:p w:rsidR="005D7FDE" w:rsidRDefault="001D20BC">
            <w:pPr>
              <w:pStyle w:val="Tablatexto"/>
            </w:pPr>
            <w:r>
              <w:t>Resistencia RIF</w:t>
            </w:r>
          </w:p>
        </w:tc>
        <w:tc>
          <w:tcPr>
            <w:tcW w:w="1096" w:type="dxa"/>
          </w:tcPr>
          <w:p w:rsidR="005D7FDE" w:rsidRDefault="001D20BC">
            <w:pPr>
              <w:pStyle w:val="Tablatexto"/>
            </w:pPr>
            <w:r>
              <w:t>85</w:t>
            </w:r>
          </w:p>
        </w:tc>
        <w:tc>
          <w:tcPr>
            <w:tcW w:w="1096" w:type="dxa"/>
          </w:tcPr>
          <w:p w:rsidR="005D7FDE" w:rsidRDefault="001D20BC">
            <w:pPr>
              <w:pStyle w:val="Tablatexto"/>
            </w:pPr>
            <w:r>
              <w:t>95,0 (83,1–99,4)</w:t>
            </w:r>
          </w:p>
        </w:tc>
        <w:tc>
          <w:tcPr>
            <w:tcW w:w="1096" w:type="dxa"/>
          </w:tcPr>
          <w:p w:rsidR="005D7FDE" w:rsidRDefault="001D20BC">
            <w:pPr>
              <w:pStyle w:val="Tablatexto"/>
            </w:pPr>
            <w:r>
              <w:t>100,0 (92,1–100)</w:t>
            </w:r>
          </w:p>
        </w:tc>
        <w:tc>
          <w:tcPr>
            <w:tcW w:w="1096" w:type="dxa"/>
          </w:tcPr>
          <w:p w:rsidR="005D7FDE" w:rsidRDefault="001D20BC">
            <w:pPr>
              <w:pStyle w:val="Tablatexto"/>
            </w:pPr>
            <w:r>
              <w:t>97,6</w:t>
            </w:r>
          </w:p>
        </w:tc>
        <w:tc>
          <w:tcPr>
            <w:tcW w:w="1096" w:type="dxa"/>
          </w:tcPr>
          <w:p w:rsidR="005D7FDE" w:rsidRDefault="001D20BC">
            <w:pPr>
              <w:pStyle w:val="Tablatexto"/>
            </w:pPr>
            <w:r>
              <w:t>0,953</w:t>
            </w:r>
          </w:p>
        </w:tc>
      </w:tr>
    </w:tbl>
    <w:p w:rsidR="005D7FDE" w:rsidRDefault="001D20BC">
      <w:pPr>
        <w:pStyle w:val="Ttulo2"/>
      </w:pPr>
      <w:r>
        <w:t>4.3. Comparación con GeneXpert MTB/XDR</w:t>
      </w:r>
    </w:p>
    <w:p w:rsidR="005D7FDE" w:rsidRDefault="001D20BC">
      <w:r>
        <w:t>En el subconjunto con comparación molecular paralela, la concordancia global fue casi perfecta para los tres blancos evaluados. Para MTBC se analizaron 95 muestras: Truenat presentó una exactitud de 98,95 %, sensibilidad de 96,55 %, especificidad de 100 % y κ=0,975. Para INH, también con 95 muestras, la exactitud fue 98,95 %, la sensibilidad 95,83 %, la especificidad 100 % y κ=0,972. Para RIF se dispuso de 94 resultados comparables; la exactitud fue 97,87 %, la sensibilidad 91,67 %, la especificidad 98,78 % y κ=0,904.</w:t>
      </w:r>
    </w:p>
    <w:p w:rsidR="005D7FDE" w:rsidRDefault="001D20BC">
      <w:r>
        <w:t>En las muestras pulmonares, la concordancia permaneció elevada: κ=0,968 para MTBC, κ=0,966 para INH y κ=0,943 para RIF. En las extrapulmonares, MTBC e INH alcanzaron concordancia perfecta (κ=1,000), mientras que RIF mostró κ=0,651. Este último resultado debe interpretarse con especial cautela: el subgrupo extrapulmonar contenía un número muy pequeño de resultados positivos para RIF y una sola discordancia modificó de forma importante el VPP y el coeficiente kappa.</w:t>
      </w:r>
    </w:p>
    <w:p w:rsidR="005D7FDE" w:rsidRDefault="001D20BC">
      <w:pPr>
        <w:pStyle w:val="Ttulo2"/>
      </w:pPr>
      <w:r>
        <w:t>4.4. Observaciones operativas</w:t>
      </w:r>
    </w:p>
    <w:p w:rsidR="005D7FDE" w:rsidRDefault="001D20BC">
      <w:r>
        <w:t>Durante la validación, el equipo técnico describió la plataforma como portátil, con soporte de batería y generación rápida de resultados. Las principales dificultades iniciales se relacionaron con el pretratamiento específico de las muestras, la necesidad de procesamiento oportuno, la capacitación del operador y errores de corrida durante la fase inicial. Estas observaciones son coherentes con la literatura programática: Jeyashree et al. (2020) mostraron que la experiencia del personal redujo progresivamente los resultados inválidos o con error, lo que refuerza la necesidad de entrenamiento basado en competencias, supervisión y aseguramiento de la calidad antes de una expansión descentralizada.</w:t>
      </w:r>
    </w:p>
    <w:p w:rsidR="005D7FDE" w:rsidRDefault="001D20BC">
      <w:pPr>
        <w:pStyle w:val="Ttulo1"/>
      </w:pPr>
      <w:r>
        <w:lastRenderedPageBreak/>
        <w:t>5. DISCUSIÓN</w:t>
      </w:r>
    </w:p>
    <w:p w:rsidR="005D7FDE" w:rsidRDefault="001D20BC">
      <w:r>
        <w:t>Los resultados muestran un rendimiento diagnóstico muy alto de Truenat para la detección de MTBC y una concordancia casi perfecta para la detección de resistencia a INH y RIF frente a los métodos de referencia utilizados. La clasificación correcta de las 163 muestras frente al cultivo constituye un hallazgo relevante para el contexto ecuatoriano, en el que una plataforma portátil podría contribuir a reducir barreras de acceso. No obstante, el valor principal de una evaluación de exactitud no reside únicamente en el porcentaje observado, sino en su interpretación dentro del diseño, el tamaño muestral, la composición de la población y la calidad del estándar de referencia.</w:t>
      </w:r>
    </w:p>
    <w:p w:rsidR="005D7FDE" w:rsidRDefault="001D20BC">
      <w:r>
        <w:t>La evidencia internacional apoya la plausibilidad de estos resultados. Ngangue et al. (2022), en una evaluación prospectiva de 945 participantes ambulatorios en Camerún, reportaron para Truenat MTB Plus una sensibilidad de 91 % y una especificidad de 96 % frente a cultivo, con un desempeño similar a Xpert MTB/RIF. Las diferencias con el 100 % observado en el presente conjunto pueden explicarse por variaciones en prevalencia, espectro clínico, baciloscopia, selección de muestras y tamaño de la serie. Por tanto, la comparación debe entenderse como evidencia convergente de buen desempeño y no como demostración de superioridad entre estudios.</w:t>
      </w:r>
    </w:p>
    <w:p w:rsidR="005D7FDE" w:rsidRDefault="001D20BC">
      <w:r>
        <w:t>La detección rápida de resistencia tiene implicaciones clínicas y programáticas. La resistencia a rifampicina e isoniacida modifica la selección del esquema terapéutico y requiere decisiones oportunas. En este estudio se observaron dos falsos susceptibles para INH y dos para RIF frente a la prueba fenotípica. Estas discordancias son particularmente importantes porque un resultado molecular susceptible no debería cerrar la investigación cuando existen antecedentes clínicos, epidemiológicos o fenotípicos que sugieran resistencia. Estudios ecuatorianos previos han documentado mutaciones relevantes en katG y rpoB asociadas a resistencia, mostrando la diversidad molecular que puede encontrarse en aislamientos nacionales (Franco-Sotomayor et al., 2019). La secuenciación de discordancias sería una estrategia valiosa en futuras fases.</w:t>
      </w:r>
    </w:p>
    <w:p w:rsidR="005D7FDE" w:rsidRDefault="001D20BC">
      <w:r>
        <w:lastRenderedPageBreak/>
        <w:t>La comparación con GeneXpert MTB/XDR mostró concordancia casi perfecta global. Xpert MTB/XDR es una herramienta molecular consolidada para ampliar la detección de resistencia y ha mostrado buen desempeño en evaluaciones internacionales (Omar et al., 2024). En este estudio, la elevada concordancia entre plataformas respalda la consistencia de los resultados de Truenat; sin embargo, las discordancias observadas, especialmente para RIF en muestras extrapulmonares, deben analizarse considerando el pequeño número de positivos. Un κ de 0,651 en ese subgrupo no necesariamente indica un problema general de desempeño: con eventos escasos, una única discordancia puede cambiar sustancialmente la estimación.</w:t>
      </w:r>
    </w:p>
    <w:p w:rsidR="005D7FDE" w:rsidRDefault="001D20BC">
      <w:r>
        <w:t>La inclusión de muestras extrapulmonares constituye una fortaleza y, simultáneamente, una fuente de cautela. Las matrices extrapulmonares presentan cargas bacilares variables y requerimientos de procesamiento diferentes. La guía consolidada de la OMS de 2025 incorpora recomendaciones para pruebas moleculares rápidas en determinados tipos de muestras no respiratorias, pero las indicaciones dependen de la clase tecnológica, la población y el espécimen (WHO, 2025a). En consecuencia, los resultados locales favorables no deben extrapolarse automáticamente a todos los tipos de muestra ni utilizarse para ampliar indicaciones más allá de las recomendaciones vigentes sin evidencia adicional.</w:t>
      </w:r>
    </w:p>
    <w:p w:rsidR="005D7FDE" w:rsidRDefault="001D20BC">
      <w:r>
        <w:t>Desde una perspectiva de descentralización, la portabilidad y el soporte de batería son atributos relevantes. Ecuador combina áreas densamente pobladas con territorios de difícil acceso, por lo que la posibilidad de acercar el diagnóstico molecular al punto de atención puede reducir transporte de muestras y tiempos de respuesta. La experiencia de India mostró que Truenat pudo implementarse en unidades periféricas y mejorar la detección microbiológica, aunque requirió capacitación y manejo de errores (Jeyashree et al., 2020). Por ello, descentralizar no equivale simplemente a trasladar un equipo: exige procedimientos normalizados, control de calidad, mantenimiento, disponibilidad de insumos, conectividad cuando sea necesaria, supervisión y rutas claras de referencia para casos complejos.</w:t>
      </w:r>
    </w:p>
    <w:p w:rsidR="005D7FDE" w:rsidRDefault="001D20BC">
      <w:r>
        <w:lastRenderedPageBreak/>
        <w:t>El estudio presenta varias fortalezas: uso de cultivo para la detección de MTBC, comparación con pruebas fenotípicas de sensibilidad, evaluación de INH y RIF, inclusión de muestras pulmonares y extrapulmonares y análisis paralelo con otra plataforma molecular. También se apoya en la experiencia del laboratorio nacional de referencia, donde la integración entre métodos moleculares y convencionales permite evaluar discordancias con mayor rigor. El uso de principios STARD favorece una presentación transparente del rendimiento diagnóstico (Bossuyt et al., 2015).</w:t>
      </w:r>
    </w:p>
    <w:p w:rsidR="005D7FDE" w:rsidRDefault="001D20BC">
      <w:r>
        <w:t>Entre las limitaciones se encuentran el carácter reconstruido del conjunto analítico disponible, la falta de variables clínicas completas para todos los participantes, el número limitado de muestras extrapulmonares y resistentes, y la ausencia de secuenciación para resolver las discordancias. Tampoco se dispone en esta fase de un análisis formal de costo-efectividad, tiempos de proceso, impacto en inicio de tratamiento o resultados clínicos. Antes de una implementación programática amplia, sería recomendable una evaluación prospectiva y multicéntrica con inclusión consecutiva, mayor representación territorial y documentación sistemática de resultados inválidos, indeterminados, contaminaciones y repeticiones.</w:t>
      </w:r>
    </w:p>
    <w:p w:rsidR="005D7FDE" w:rsidRDefault="001D20BC">
      <w:pPr>
        <w:pStyle w:val="Ttulo1"/>
      </w:pPr>
      <w:r>
        <w:t>6. CONCLUSIONES</w:t>
      </w:r>
    </w:p>
    <w:p w:rsidR="005D7FDE" w:rsidRDefault="001D20BC">
      <w:pPr>
        <w:pStyle w:val="Listado"/>
      </w:pPr>
      <w:r>
        <w:t>Truenat demostró excelente exactitud para la detección de MTBC frente al cultivo en el conjunto evaluado y concordancia casi perfecta para la identificación de resistencia a INH y RIF frente a las pruebas fenotípicas.</w:t>
      </w:r>
    </w:p>
    <w:p w:rsidR="005D7FDE" w:rsidRDefault="001D20BC">
      <w:pPr>
        <w:pStyle w:val="Listado"/>
      </w:pPr>
      <w:r>
        <w:t>La comparación con GeneXpert MTB/XDR mostró concordancia global casi perfecta para MTBC, INH y RIF, con un desempeño elevado tanto en muestras pulmonares como extrapulmonares; el resultado de RIF en el subgrupo extrapulmonar requiere cautela por el reducido número de positivos.</w:t>
      </w:r>
    </w:p>
    <w:p w:rsidR="005D7FDE" w:rsidRDefault="001D20BC">
      <w:pPr>
        <w:pStyle w:val="Listado"/>
      </w:pPr>
      <w:r>
        <w:lastRenderedPageBreak/>
        <w:t>La portabilidad y el soporte de batería convierten a Truenat en una alternativa potencial para fortalecer el diagnóstico molecular descentralizado en Ecuador, particularmente en territorios con barreras geográficas o de infraestructura.</w:t>
      </w:r>
    </w:p>
    <w:p w:rsidR="005D7FDE" w:rsidRDefault="001D20BC">
      <w:pPr>
        <w:pStyle w:val="Listado"/>
      </w:pPr>
      <w:r>
        <w:t>La expansión programática debe acompañarse de validación prospectiva multicéntrica, capacitación basada en competencias, procedimientos estandarizados, aseguramiento de la calidad, mantenimiento, investigación de discordancias y articulación con el laboratorio de referencia.</w:t>
      </w:r>
    </w:p>
    <w:p w:rsidR="005D7FDE" w:rsidRDefault="001D20BC">
      <w:pPr>
        <w:pStyle w:val="Ttulo1"/>
      </w:pPr>
      <w:r>
        <w:t>REFERENCIAS</w:t>
      </w:r>
    </w:p>
    <w:p w:rsidR="005D7FDE" w:rsidRDefault="001D20BC">
      <w:pPr>
        <w:pStyle w:val="Bibliografa"/>
        <w:ind w:left="283" w:hanging="283"/>
      </w:pPr>
      <w:r>
        <w:t>Bossuyt, P. M., Reitsma, J. B., Bruns, D. E., Gatsonis, C. A., Glasziou, P. P., Irwig, L., Lijmer, J. G., Moher, D., Rennie, D., de Vet, H. C. W., Kressel, H. Y., Rifai, N., Golub, R. M., Altman, D. G., Hooft, L., Korevaar, D. A., Cohen, J. F., &amp; STARD Group. (2015). STARD 2015: An updated list of essential items for reporting diagnostic accuracy studies. BMJ, 351, h5527. https://doi.org/10.1136/bmj.h5527</w:t>
      </w:r>
    </w:p>
    <w:p w:rsidR="005D7FDE" w:rsidRDefault="001D20BC">
      <w:pPr>
        <w:pStyle w:val="Bibliografa"/>
        <w:ind w:left="283" w:hanging="283"/>
      </w:pPr>
      <w:r>
        <w:t>Franco-Sotomayor, G., Garzón-Chávez, D., León-Benítez, M., de Waard, J. H., &amp; García-Bereguiain, M. A. (2019). A first insight into the katG and rpoB gene mutations of multidrug-resistant Mycobacterium tuberculosis strains from Ecuador. Microbial Drug Resistance, 25(4), 524–527. https://doi.org/10.1089/mdr.2018.0203</w:t>
      </w:r>
    </w:p>
    <w:p w:rsidR="005D7FDE" w:rsidRDefault="001D20BC">
      <w:pPr>
        <w:pStyle w:val="Bibliografa"/>
        <w:ind w:left="283" w:hanging="283"/>
      </w:pPr>
      <w:r>
        <w:t>Franco-Sotomayor, G., Rivera-Olivero, I. A., León-Benítez, M., Uruchima-Campoverde, S. E., Cárdenas-Franco, G., Perdomo-Castro, M. E., Cárdenas-Franco, C. S., Ortega-Vivanco, J., Abad-Ruiz, A. S., de Waard, J. H., &amp; García-Bereguiain, M. A. (2020). Fast, simple, and cheap: The Kudoh-Ogawa swab method as an alternative to the Petroff–Lowenstein-Jensen method for culturing of Mycobacterium tuberculosis. Journal of Clinical Microbiology, 58(4), e01424-19. https://doi.org/10.1128/JCM.01424-19</w:t>
      </w:r>
    </w:p>
    <w:p w:rsidR="005D7FDE" w:rsidRDefault="001D20BC">
      <w:pPr>
        <w:pStyle w:val="Bibliografa"/>
        <w:ind w:left="283" w:hanging="283"/>
      </w:pPr>
      <w:r>
        <w:t>Jeyashree, K., Shanmugasundaram, D., Rade, K., Gangakhedkar, R. R., &amp; Murhekar, M. V. (2020). Impact and operational feasibility of TrueNat™ MTB/Rif under India’s RNTCP. Public Health Action, 10(3), 87–91. https://doi.org/10.5588/pha.20.0004</w:t>
      </w:r>
    </w:p>
    <w:p w:rsidR="005D7FDE" w:rsidRDefault="001D20BC">
      <w:pPr>
        <w:pStyle w:val="Bibliografa"/>
        <w:ind w:left="283" w:hanging="283"/>
      </w:pPr>
      <w:r>
        <w:t>Ministerio de Salud Pública del Ecuador. (2016). Prevención, diagnóstico, tratamiento y control de la tuberculosis: Guía de práctica clínica. Ministerio de Salud Pública.</w:t>
      </w:r>
    </w:p>
    <w:p w:rsidR="005D7FDE" w:rsidRDefault="001D20BC">
      <w:pPr>
        <w:pStyle w:val="Bibliografa"/>
        <w:ind w:left="283" w:hanging="283"/>
      </w:pPr>
      <w:r>
        <w:t xml:space="preserve">Ngangue, Y. R., Mbuli, C., Neh, A., Nshom, E., Koudjou, A., Palmer, D., Ndi, N. N., Qin, Z. Z., Creswell, J., Mbassa, V., Vuchas, C., &amp; Sander, M. (2022). </w:t>
      </w:r>
      <w:r>
        <w:lastRenderedPageBreak/>
        <w:t>Diagnostic accuracy of the Truenat MTB Plus assay and comparison with the Xpert MTB/RIF assay to detect tuberculosis among hospital outpatients in Cameroon. Journal of Clinical Microbiology, 60(8), e00155-22. https://doi.org/10.1128/jcm.00155-22</w:t>
      </w:r>
    </w:p>
    <w:p w:rsidR="005D7FDE" w:rsidRDefault="001D20BC">
      <w:pPr>
        <w:pStyle w:val="Bibliografa"/>
        <w:ind w:left="283" w:hanging="283"/>
      </w:pPr>
      <w:r>
        <w:t>Omar, S. V., Louw, G., Ismail, F., Liu, X., Ngcamu, D., Gwala, T., van der Meulen, M., &amp; Joseph, L. (2024). Performance evaluation of the Xpert MTB/XDR test for the detection of drug resistance to Mycobacterium tuberculosis among people diagnosed with tuberculosis in South Africa. Journal of Clinical Microbiology, 62(8), e00229-24. https://doi.org/10.1128/jcm.00229-24</w:t>
      </w:r>
    </w:p>
    <w:p w:rsidR="005D7FDE" w:rsidRDefault="001D20BC">
      <w:pPr>
        <w:pStyle w:val="Bibliografa"/>
        <w:ind w:left="283" w:hanging="283"/>
      </w:pPr>
      <w:r>
        <w:t>World Health Organization. (2025a). WHO consolidated guidelines on tuberculosis: Module 3: Diagnosis. https://www.who.int/publications/i/item/9789240107984</w:t>
      </w:r>
    </w:p>
    <w:p w:rsidR="005D7FDE" w:rsidRDefault="001D20BC">
      <w:pPr>
        <w:pStyle w:val="Bibliografa"/>
        <w:ind w:left="283" w:hanging="283"/>
      </w:pPr>
      <w:r>
        <w:t>World Health Organization. (2025b). Global tuberculosis report 2025. https://www.who.int/publications/i/item/9789240116924</w:t>
      </w:r>
    </w:p>
    <w:p w:rsidR="005D7FDE" w:rsidRDefault="001D20BC">
      <w:pPr>
        <w:pStyle w:val="Bibliografa"/>
        <w:ind w:left="283" w:hanging="283"/>
      </w:pPr>
      <w:r>
        <w:t>World Health Organization. (2025c). WHO operational handbook on tuberculosis: Module 3: Diagnosis. https://www.who.int/publications/i/item/9789240110991</w:t>
      </w:r>
    </w:p>
    <w:sectPr w:rsidR="005D7FDE" w:rsidSect="00280126">
      <w:headerReference w:type="even" r:id="rId9"/>
      <w:headerReference w:type="default" r:id="rId10"/>
      <w:footerReference w:type="even" r:id="rId11"/>
      <w:footerReference w:type="default" r:id="rId12"/>
      <w:headerReference w:type="first" r:id="rId13"/>
      <w:footerReference w:type="first" r:id="rId14"/>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6800" w:rsidRDefault="00A96800" w:rsidP="00EB0247">
      <w:pPr>
        <w:spacing w:after="0" w:line="240" w:lineRule="auto"/>
      </w:pPr>
      <w:r>
        <w:separator/>
      </w:r>
    </w:p>
  </w:endnote>
  <w:endnote w:type="continuationSeparator" w:id="0">
    <w:p w:rsidR="00A96800" w:rsidRDefault="00A96800"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FDE" w:rsidRDefault="005D7FD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FDE" w:rsidRDefault="005D7FD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FDE" w:rsidRDefault="005D7FD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6800" w:rsidRDefault="00A96800" w:rsidP="00EB0247">
      <w:pPr>
        <w:spacing w:after="0" w:line="240" w:lineRule="auto"/>
      </w:pPr>
      <w:r>
        <w:separator/>
      </w:r>
    </w:p>
  </w:footnote>
  <w:footnote w:type="continuationSeparator" w:id="0">
    <w:p w:rsidR="00A96800" w:rsidRDefault="00A96800" w:rsidP="00EB02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FDE" w:rsidRDefault="005D7FD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FDE" w:rsidRDefault="005D7FD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FDE" w:rsidRDefault="005D7F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DDA15B5"/>
    <w:multiLevelType w:val="hybridMultilevel"/>
    <w:tmpl w:val="466C30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5"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4"/>
  </w:num>
  <w:num w:numId="13">
    <w:abstractNumId w:val="17"/>
  </w:num>
  <w:num w:numId="14">
    <w:abstractNumId w:val="18"/>
  </w:num>
  <w:num w:numId="15">
    <w:abstractNumId w:val="19"/>
  </w:num>
  <w:num w:numId="16">
    <w:abstractNumId w:val="29"/>
  </w:num>
  <w:num w:numId="17">
    <w:abstractNumId w:val="26"/>
  </w:num>
  <w:num w:numId="18">
    <w:abstractNumId w:val="10"/>
  </w:num>
  <w:num w:numId="19">
    <w:abstractNumId w:val="25"/>
  </w:num>
  <w:num w:numId="20">
    <w:abstractNumId w:val="30"/>
  </w:num>
  <w:num w:numId="21">
    <w:abstractNumId w:val="31"/>
  </w:num>
  <w:num w:numId="22">
    <w:abstractNumId w:val="22"/>
  </w:num>
  <w:num w:numId="23">
    <w:abstractNumId w:val="31"/>
    <w:lvlOverride w:ilvl="0">
      <w:startOverride w:val="1"/>
    </w:lvlOverride>
  </w:num>
  <w:num w:numId="24">
    <w:abstractNumId w:val="31"/>
    <w:lvlOverride w:ilvl="0">
      <w:startOverride w:val="1"/>
    </w:lvlOverride>
  </w:num>
  <w:num w:numId="25">
    <w:abstractNumId w:val="13"/>
  </w:num>
  <w:num w:numId="26">
    <w:abstractNumId w:val="32"/>
  </w:num>
  <w:num w:numId="27">
    <w:abstractNumId w:val="20"/>
  </w:num>
  <w:num w:numId="28">
    <w:abstractNumId w:val="21"/>
  </w:num>
  <w:num w:numId="29">
    <w:abstractNumId w:val="23"/>
  </w:num>
  <w:num w:numId="30">
    <w:abstractNumId w:val="16"/>
  </w:num>
  <w:num w:numId="31">
    <w:abstractNumId w:val="24"/>
  </w:num>
  <w:num w:numId="32">
    <w:abstractNumId w:val="15"/>
  </w:num>
  <w:num w:numId="33">
    <w:abstractNumId w:val="27"/>
  </w:num>
  <w:num w:numId="34">
    <w:abstractNumId w:val="28"/>
  </w:num>
  <w:num w:numId="35">
    <w:abstractNumId w:val="33"/>
  </w:num>
  <w:num w:numId="36">
    <w:abstractNumId w:val="31"/>
    <w:lvlOverride w:ilvl="0">
      <w:startOverride w:val="1"/>
    </w:lvlOverride>
  </w:num>
  <w:num w:numId="37">
    <w:abstractNumId w:val="31"/>
    <w:lvlOverride w:ilvl="0">
      <w:startOverride w:val="1"/>
    </w:lvlOverride>
  </w:num>
  <w:num w:numId="38">
    <w:abstractNumId w:val="31"/>
    <w:lvlOverride w:ilvl="0">
      <w:startOverride w:val="1"/>
    </w:lvlOverride>
  </w:num>
  <w:num w:numId="39">
    <w:abstractNumId w:val="33"/>
    <w:lvlOverride w:ilvl="0">
      <w:startOverride w:val="1"/>
    </w:lvlOverride>
  </w:num>
  <w:num w:numId="40">
    <w:abstractNumId w:val="33"/>
    <w:lvlOverride w:ilvl="0">
      <w:startOverride w:val="1"/>
    </w:lvlOverride>
  </w:num>
  <w:num w:numId="41">
    <w:abstractNumId w:val="31"/>
    <w:lvlOverride w:ilvl="0">
      <w:startOverride w:val="1"/>
    </w:lvlOverride>
  </w:num>
  <w:num w:numId="42">
    <w:abstractNumId w:val="33"/>
    <w:lvlOverride w:ilvl="0">
      <w:startOverride w:val="1"/>
    </w:lvlOverride>
  </w:num>
  <w:num w:numId="43">
    <w:abstractNumId w:val="31"/>
    <w:lvlOverride w:ilvl="0">
      <w:startOverride w:val="1"/>
    </w:lvlOverride>
  </w:num>
  <w:num w:numId="44">
    <w:abstractNumId w:val="33"/>
    <w:lvlOverride w:ilvl="0">
      <w:startOverride w:val="1"/>
    </w:lvlOverride>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33E3E"/>
    <w:rsid w:val="00063421"/>
    <w:rsid w:val="00097EEF"/>
    <w:rsid w:val="000C230A"/>
    <w:rsid w:val="000C5EDB"/>
    <w:rsid w:val="001348A0"/>
    <w:rsid w:val="00140844"/>
    <w:rsid w:val="001468AC"/>
    <w:rsid w:val="0015066B"/>
    <w:rsid w:val="00156F2B"/>
    <w:rsid w:val="00182667"/>
    <w:rsid w:val="00185A00"/>
    <w:rsid w:val="0018654D"/>
    <w:rsid w:val="001950D8"/>
    <w:rsid w:val="00197D57"/>
    <w:rsid w:val="001A7AD8"/>
    <w:rsid w:val="001D20BC"/>
    <w:rsid w:val="00242EFB"/>
    <w:rsid w:val="002433EC"/>
    <w:rsid w:val="00254F0F"/>
    <w:rsid w:val="00280126"/>
    <w:rsid w:val="00281564"/>
    <w:rsid w:val="00285B53"/>
    <w:rsid w:val="002A43CD"/>
    <w:rsid w:val="002C5703"/>
    <w:rsid w:val="002D23FB"/>
    <w:rsid w:val="002D268C"/>
    <w:rsid w:val="002F3733"/>
    <w:rsid w:val="003512A0"/>
    <w:rsid w:val="00375999"/>
    <w:rsid w:val="0039591A"/>
    <w:rsid w:val="003C4D9F"/>
    <w:rsid w:val="003E66FB"/>
    <w:rsid w:val="003F539B"/>
    <w:rsid w:val="00422CDA"/>
    <w:rsid w:val="004307D4"/>
    <w:rsid w:val="00437ED3"/>
    <w:rsid w:val="0044345A"/>
    <w:rsid w:val="00477173"/>
    <w:rsid w:val="004819D7"/>
    <w:rsid w:val="004842F0"/>
    <w:rsid w:val="00484413"/>
    <w:rsid w:val="00493A17"/>
    <w:rsid w:val="004C0202"/>
    <w:rsid w:val="004D0180"/>
    <w:rsid w:val="005335DF"/>
    <w:rsid w:val="005417EB"/>
    <w:rsid w:val="005430EA"/>
    <w:rsid w:val="00584BB4"/>
    <w:rsid w:val="005A43E3"/>
    <w:rsid w:val="005A4AFE"/>
    <w:rsid w:val="005A6174"/>
    <w:rsid w:val="005D7FDE"/>
    <w:rsid w:val="005F466B"/>
    <w:rsid w:val="00607EE3"/>
    <w:rsid w:val="006131F7"/>
    <w:rsid w:val="00631C2B"/>
    <w:rsid w:val="00675757"/>
    <w:rsid w:val="00680332"/>
    <w:rsid w:val="00681364"/>
    <w:rsid w:val="0068745E"/>
    <w:rsid w:val="006B7745"/>
    <w:rsid w:val="00714CBD"/>
    <w:rsid w:val="00721EBE"/>
    <w:rsid w:val="00742AC5"/>
    <w:rsid w:val="007701F1"/>
    <w:rsid w:val="00792960"/>
    <w:rsid w:val="007A0F17"/>
    <w:rsid w:val="007E4E94"/>
    <w:rsid w:val="007F0462"/>
    <w:rsid w:val="007F0944"/>
    <w:rsid w:val="008238DE"/>
    <w:rsid w:val="00863A4D"/>
    <w:rsid w:val="008A4085"/>
    <w:rsid w:val="008A483F"/>
    <w:rsid w:val="008B6A98"/>
    <w:rsid w:val="008C1056"/>
    <w:rsid w:val="008C2B2C"/>
    <w:rsid w:val="008F1330"/>
    <w:rsid w:val="008F3F8E"/>
    <w:rsid w:val="0091337D"/>
    <w:rsid w:val="009171C1"/>
    <w:rsid w:val="00920563"/>
    <w:rsid w:val="0093429F"/>
    <w:rsid w:val="009477E3"/>
    <w:rsid w:val="00962592"/>
    <w:rsid w:val="009847F6"/>
    <w:rsid w:val="009A336B"/>
    <w:rsid w:val="009C0DFA"/>
    <w:rsid w:val="009C304F"/>
    <w:rsid w:val="009C657C"/>
    <w:rsid w:val="009D0814"/>
    <w:rsid w:val="009D4514"/>
    <w:rsid w:val="009E664A"/>
    <w:rsid w:val="009F5F74"/>
    <w:rsid w:val="00A206F1"/>
    <w:rsid w:val="00A8553F"/>
    <w:rsid w:val="00A96800"/>
    <w:rsid w:val="00AF5948"/>
    <w:rsid w:val="00B0717D"/>
    <w:rsid w:val="00B57A4E"/>
    <w:rsid w:val="00B60DF4"/>
    <w:rsid w:val="00BA4EA8"/>
    <w:rsid w:val="00BA4FD5"/>
    <w:rsid w:val="00BB38AC"/>
    <w:rsid w:val="00BD7178"/>
    <w:rsid w:val="00BE3D2B"/>
    <w:rsid w:val="00BE5F2C"/>
    <w:rsid w:val="00BF45D1"/>
    <w:rsid w:val="00BF50C0"/>
    <w:rsid w:val="00C21575"/>
    <w:rsid w:val="00C21F8C"/>
    <w:rsid w:val="00C302E3"/>
    <w:rsid w:val="00C30BA1"/>
    <w:rsid w:val="00C45F7D"/>
    <w:rsid w:val="00C930F7"/>
    <w:rsid w:val="00CA0400"/>
    <w:rsid w:val="00CC152D"/>
    <w:rsid w:val="00CD0091"/>
    <w:rsid w:val="00CE0F4B"/>
    <w:rsid w:val="00D0381D"/>
    <w:rsid w:val="00D05D1F"/>
    <w:rsid w:val="00D36F76"/>
    <w:rsid w:val="00D47BD3"/>
    <w:rsid w:val="00D86CAA"/>
    <w:rsid w:val="00DA0BED"/>
    <w:rsid w:val="00DC3839"/>
    <w:rsid w:val="00DC5E7D"/>
    <w:rsid w:val="00DE0B74"/>
    <w:rsid w:val="00DF1B76"/>
    <w:rsid w:val="00E04357"/>
    <w:rsid w:val="00E05E1A"/>
    <w:rsid w:val="00E06000"/>
    <w:rsid w:val="00E50A77"/>
    <w:rsid w:val="00E649D6"/>
    <w:rsid w:val="00EB0247"/>
    <w:rsid w:val="00EC01A5"/>
    <w:rsid w:val="00ED75BD"/>
    <w:rsid w:val="00F60611"/>
    <w:rsid w:val="00F6387D"/>
    <w:rsid w:val="00F63B01"/>
    <w:rsid w:val="00F66726"/>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customStyle="1" w:styleId="isselectedend">
    <w:name w:val="isselectedend"/>
    <w:basedOn w:val="Normal"/>
    <w:rsid w:val="003F539B"/>
    <w:pPr>
      <w:spacing w:before="100" w:beforeAutospacing="1" w:after="100" w:afterAutospacing="1" w:line="240" w:lineRule="auto"/>
      <w:jc w:val="left"/>
    </w:pPr>
    <w:rPr>
      <w:rFonts w:eastAsia="Times New Roman" w:cs="Times New Roman"/>
      <w:spacing w:val="0"/>
      <w:sz w:val="24"/>
      <w:szCs w:val="24"/>
      <w:lang w:val="es-MX" w:eastAsia="es-MX"/>
      <w14:numForm w14:val="default"/>
    </w:rPr>
  </w:style>
  <w:style w:type="character" w:styleId="nfasis">
    <w:name w:val="Emphasis"/>
    <w:basedOn w:val="Fuentedeprrafopredeter"/>
    <w:uiPriority w:val="20"/>
    <w:qFormat/>
    <w:locked/>
    <w:rsid w:val="003F53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B9965-BB1D-4135-9600-429FA069B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0</TotalTime>
  <Pages>13</Pages>
  <Words>3688</Words>
  <Characters>20287</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Estudio comparativo del diagnóstico molecular descentralizado con Truenat en Ecuador</vt:lpstr>
    </vt:vector>
  </TitlesOfParts>
  <Manager>EGREGIUS</Manager>
  <Company>EG-DYKINSON</Company>
  <LinksUpToDate>false</LinksUpToDate>
  <CharactersWithSpaces>23928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Estudio comparativo del diagnóstico molecular descentralizado con Truenat en Ecuador</dc:title>
  <dc:subject>Capítulo científico adaptado a plantilla Dykinson/Egregius</dc:subject>
  <dc:creator>Greta Franco Sotomayor y colaboradores</dc:creator>
  <cp:keywords>Etiqueta</cp:keywords>
  <dc:description/>
  <cp:lastModifiedBy>Greta Veronica Franco Sotomayor</cp:lastModifiedBy>
  <cp:revision>3</cp:revision>
  <cp:lastPrinted>2026-09-06T00:39:00Z</cp:lastPrinted>
  <dcterms:created xsi:type="dcterms:W3CDTF">2026-09-06T01:33:00Z</dcterms:created>
  <dcterms:modified xsi:type="dcterms:W3CDTF">2026-09-06T01:33:00Z</dcterms:modified>
  <cp:category>Categoria</cp:category>
  <cp:contentStatus>Estado</cp:contentStatus>
</cp:coreProperties>
</file>