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6DEF" w:rsidRDefault="009137AD">
      <w:pPr>
        <w:pStyle w:val="Captulo"/>
      </w:pPr>
      <w:r>
        <w:t>Capítulo XXX</w:t>
      </w:r>
    </w:p>
    <w:p w:rsidR="00776DEF" w:rsidRDefault="009137AD">
      <w:pPr>
        <w:pStyle w:val="TtCap"/>
      </w:pPr>
      <w:r>
        <w:t>Evaluación integral de quesos tradicionales ecuatorianos como base para la obtención de una Denominación de Origen Protegida: artículo de revisión</w:t>
      </w:r>
    </w:p>
    <w:p w:rsidR="00776DEF" w:rsidRDefault="009137AD">
      <w:pPr>
        <w:pStyle w:val="Autor"/>
      </w:pPr>
      <w:r>
        <w:t>Bella Cecilia Crespo-Moncada</w:t>
      </w:r>
    </w:p>
    <w:p w:rsidR="00776DEF" w:rsidRDefault="009137AD">
      <w:pPr>
        <w:pStyle w:val="Adscripcin"/>
      </w:pPr>
      <w:r>
        <w:t>Universidad Católica de Santiago de Guayaquil, Ecuador</w:t>
      </w:r>
    </w:p>
    <w:p w:rsidR="00776DEF" w:rsidRDefault="009137AD">
      <w:pPr>
        <w:pStyle w:val="Autor"/>
      </w:pPr>
      <w:r>
        <w:t>John Enrique Molina-Villamar</w:t>
      </w:r>
    </w:p>
    <w:p w:rsidR="00776DEF" w:rsidRDefault="009137AD">
      <w:pPr>
        <w:pStyle w:val="Adscripcin"/>
      </w:pPr>
      <w:r>
        <w:t>Universidad Agraria del Ecuador, Ecuador</w:t>
      </w:r>
    </w:p>
    <w:p w:rsidR="00776DEF" w:rsidRDefault="009137AD">
      <w:pPr>
        <w:pStyle w:val="Autor"/>
      </w:pPr>
      <w:r>
        <w:t>Katherine Natalia Chávez-Toledo</w:t>
      </w:r>
    </w:p>
    <w:p w:rsidR="00776DEF" w:rsidRDefault="009137AD">
      <w:pPr>
        <w:pStyle w:val="Adscripcin"/>
      </w:pPr>
      <w:r>
        <w:t>Universidad Católica de Santiago de Guayaquil, Ecuador</w:t>
      </w:r>
    </w:p>
    <w:p w:rsidR="00776DEF" w:rsidRDefault="009137AD">
      <w:pPr>
        <w:pStyle w:val="Ttulo1"/>
        <w:widowControl/>
      </w:pPr>
      <w:r>
        <w:t>1. Introducción</w:t>
      </w:r>
    </w:p>
    <w:p w:rsidR="00776DEF" w:rsidRDefault="009137AD">
      <w:r>
        <w:t>Los quesos tradicionales son alimentos bioculturales: su identidad surge de la interacción entre territorio, materia prima, saberes transmitidos, microbiota y prácticas de elaboración. La alimentación y raza del ganado, el clima, el agua, los utensilios, el desuerado, el salado y las condiciones de maduración o venta dejan señales físicas, químicas y sensoriales en el producto. Esta relación explica que determinados quesos sean reconocidos por consumidores y comunidades como expresiones de un lugar, incluso antes de contar con protección jurídica.</w:t>
      </w:r>
    </w:p>
    <w:p w:rsidR="00776DEF" w:rsidRDefault="009137AD">
      <w:r>
        <w:t>La Denominación de Origen</w:t>
      </w:r>
      <w:r w:rsidR="00B92500">
        <w:t xml:space="preserve"> Protegida</w:t>
      </w:r>
      <w:r>
        <w:t xml:space="preserve"> (DO</w:t>
      </w:r>
      <w:r w:rsidR="008B38CC">
        <w:t>P</w:t>
      </w:r>
      <w:r>
        <w:t>) identifica un producto cuya calidad, reputación u otra característica es atribuible esencialmente a su origen geográfico. En Ecuador, el Servicio Nacional de Derechos Intelectuales (SENADI) declara la protección y autoriza el uso a operadores que demuestren el cumplimiento del pliego de condiciones. Por tanto, la tradición y el nombre local son el punto de partida, pero deben acompañarse de delimitación territorial, evidencia histórica, descripción del método, especificaciones medibles y un sistema de control (SENADI, s. f.).</w:t>
      </w:r>
    </w:p>
    <w:p w:rsidR="00776DEF" w:rsidRDefault="009137AD">
      <w:r>
        <w:lastRenderedPageBreak/>
        <w:t xml:space="preserve">Las indicaciones geográficas pueden diferenciar productos, sostener conocimientos locales y generar valor; sin embargo, sus efectos dependen de la gobernanza y distribución de beneficios. Barham (2003) sitúa el concepto de </w:t>
      </w:r>
      <w:r>
        <w:rPr>
          <w:i/>
        </w:rPr>
        <w:t>terroir</w:t>
      </w:r>
      <w:r>
        <w:t xml:space="preserve"> entre naturaleza, cultura y mercado. Belletti et al. (2017) señalan que la protección contribuye a bienes públicos y sostenibilidad cuando existe acción colectiva. La evidencia económica muestra valor agregado, aunque los resultados para productores son heterogéneos y condicionados por la organización de la cadena (Cei et al., 2018). La DO no constituye, por sí sola, garantía automática de rentabilidad o sostenibilidad.</w:t>
      </w:r>
    </w:p>
    <w:p w:rsidR="00776DEF" w:rsidRDefault="009137AD">
      <w:r>
        <w:t xml:space="preserve">En Ecuador, el queso fresco artesanal posee importancia alimentaria y socioeconómica, pero suele circular en sistemas productivos heterogéneos. Variaciones en la calidad de la leche, pasteurización, dosificación de cuajo y sal, calidad del agua, limpieza, empaque y cadena de frío afectan la uniformidad. Parte de esa variación puede representar una diversidad legítima; otra parte </w:t>
      </w:r>
      <w:r w:rsidR="00B92500">
        <w:t>importante radica en los problemas sanitarios en la elaboración y comercialización de los quesos</w:t>
      </w:r>
      <w:r>
        <w:t>. La base científica de una futura DOP debe distinguir entre rasgos territoriales que merecen preservarse y desviaciones que comprometen la inocuidad.</w:t>
      </w:r>
    </w:p>
    <w:p w:rsidR="00776DEF" w:rsidRDefault="009137AD">
      <w:r>
        <w:t xml:space="preserve">La microbiología ocupa un lugar central en esta distinción. Las bacterias ácido-lácticas favorecen acidificación, bioprotección y formación de aroma y textura. Durante la maduración, las bacterias no iniciadoras participan en proteólisis, lipólisis y generación de compuestos volátiles (Settanni &amp; Moschetti, 2010). A la vez, la leche cruda y la contaminación posterior pueden introducir </w:t>
      </w:r>
      <w:r>
        <w:rPr>
          <w:i/>
        </w:rPr>
        <w:t>Escherichia coli</w:t>
      </w:r>
      <w:r>
        <w:t xml:space="preserve">, </w:t>
      </w:r>
      <w:r>
        <w:rPr>
          <w:i/>
        </w:rPr>
        <w:t>Staphylococcus aureus</w:t>
      </w:r>
      <w:r>
        <w:t xml:space="preserve">, </w:t>
      </w:r>
      <w:r>
        <w:rPr>
          <w:i/>
        </w:rPr>
        <w:t>Salmonella</w:t>
      </w:r>
      <w:r>
        <w:t xml:space="preserve"> y otros peligros. Los quesos frescos, por su alta humedad, elevada actividad de agua y ausencia de maduración prolongada, presentan menor número de barreras que los quesos duros y madurados (Kamimura et al., 2021).</w:t>
      </w:r>
    </w:p>
    <w:p w:rsidR="00776DEF" w:rsidRDefault="009137AD">
      <w:r>
        <w:t xml:space="preserve">Esta revisión integra evidencia sobre denominaciones de origen, microbiota, inocuidad, propiedades físico-químicas, evaluación sensorial y sistemas de gestión. Su propósito no es afirmar que los quesos ecuatorianos ya cumplen las condiciones de una DOP, sino construir un marco para su evaluación. La premisa es que autenticidad e inocuidad no son </w:t>
      </w:r>
      <w:r>
        <w:lastRenderedPageBreak/>
        <w:t>metas opuestas: una protección sólida conserva elementos tradicionales que explican la tipicidad y, simultáneamente, controla los peligros que dañan al consumidor y a la reputación colectiva.</w:t>
      </w:r>
    </w:p>
    <w:p w:rsidR="00776DEF" w:rsidRDefault="009137AD">
      <w:pPr>
        <w:pStyle w:val="Ttulo1"/>
        <w:widowControl/>
      </w:pPr>
      <w:r>
        <w:t>2. Objetivo</w:t>
      </w:r>
    </w:p>
    <w:p w:rsidR="00776DEF" w:rsidRDefault="009137AD">
      <w:r>
        <w:t>Analizar críticamente la literatura científica y técnica sobre caracterización microbiológica, físico-química y sensorial de quesos tradicionales, así como sobre denominaciones de origen y gestión de inocuidad, para identificar criterios, brechas y acciones aplicables a quesos frescos artesanales ecuatorianos con potencial de protección.</w:t>
      </w:r>
    </w:p>
    <w:p w:rsidR="00776DEF" w:rsidRDefault="009137AD">
      <w:r>
        <w:t>De manera específica, se buscó: examinar la relación entre producto y territorio; diferenciar microbiota tecnológica de microorganismos indicadores y patógenos; establecer el papel de humedad, actividad de agua, pH, acidez y sal en calidad y estabilidad; valorar la contribución del análisis sensorial a la definición de tipicidad; comparar experiencias internacionales, particularmente el Queso Paipa; y proponer una ruta progresiva de caracterización, mejora, gobernanza y verificación.</w:t>
      </w:r>
    </w:p>
    <w:p w:rsidR="00776DEF" w:rsidRDefault="009137AD">
      <w:pPr>
        <w:pStyle w:val="Ttulo1"/>
        <w:widowControl/>
      </w:pPr>
      <w:r>
        <w:t>3. Metodología de la revisión</w:t>
      </w:r>
    </w:p>
    <w:p w:rsidR="00776DEF" w:rsidRDefault="009137AD">
      <w:r>
        <w:t>Se desarrolló una revisión narrativa con búsqueda estructurada. Se consultaron publicaciones científicas, normas técnicas y documentos institucionales relacionados con quesos artesanales, leche cruda, microbiota, inocuidad, propiedades físico-químicas, análisis sensorial, indicaciones geográficas y desarrollo territorial. La búsqueda se orientó a Scopus, Web of Science, PubMed, SciELO, Google Scholar y portales oficiales de ISO, FAO, OMS, Codex Alimentarius y SENADI. Se priorizaron artículos revisados por pares, revisiones, normas y documentos primarios disponibles en español e inglés.</w:t>
      </w:r>
    </w:p>
    <w:p w:rsidR="00776DEF" w:rsidRDefault="009137AD">
      <w:r>
        <w:t xml:space="preserve">Se combinaron términos como “traditional cheese”, “artisanal cheese”, “fresh cheese”, “raw milk cheese”, “protected designation of origin”, “geographical indication”, “microbiota”, “food safety”, “physicochemical characterization”, “sensory profile”, “Ecuador”, “Latin America” </w:t>
      </w:r>
      <w:r>
        <w:lastRenderedPageBreak/>
        <w:t>y sus equivalentes en español. Se consideraron principalmente documentos publicados entre 2003 y 2026; se incorporaron textos anteriores o libros metodológicos cuando eran necesarios para explicar conceptos o técnicas consolidadas. Las referencias se seleccionaron por pertinencia directa, claridad metodológica y aporte a los cuatro ejes de síntesis.</w:t>
      </w:r>
    </w:p>
    <w:p w:rsidR="00776DEF" w:rsidRDefault="009137AD">
      <w:r>
        <w:t>Se excluyeron documentos sin relación con productos lácteos o indicaciones geográficas, fuentes comerciales sin respaldo técnico, duplicados y textos que no permitían identificar autoría o procedencia. La información se organizó en una matriz conceptual: vínculo territorial y gobernanza; microbiología e inocuidad; propiedades físico-químicas; evaluación sensorial; y estrategias de estandarización. Por tratarse de una revisión narrativa, no se efectuó metaanálisis ni se calculó riesgo de sesgo cuantitativo. Esta limitación impide estimar prevalencias conjuntas, pero permite integrar evidencia heterogénea y formular una agenda pertinente para Ecuador.</w:t>
      </w:r>
    </w:p>
    <w:p w:rsidR="00776DEF" w:rsidRDefault="009137AD">
      <w:r>
        <w:t xml:space="preserve">Las versiones de las normas se verificaron en fuentes oficiales. ISO 7251:2005 describe la detección y enumeración de </w:t>
      </w:r>
      <w:r>
        <w:rPr>
          <w:i/>
        </w:rPr>
        <w:t>E. coli</w:t>
      </w:r>
      <w:r>
        <w:t xml:space="preserve"> presuntiva por número más probable. Para aerobios mesófilos y </w:t>
      </w:r>
      <w:r>
        <w:rPr>
          <w:i/>
        </w:rPr>
        <w:t>Salmonella</w:t>
      </w:r>
      <w:r>
        <w:t xml:space="preserve"> se consideraron las versiones vigentes ISO 4833-1:2013 e ISO 6579-1:2017 y sus modificaciones, en lugar de ediciones retiradas citadas en trabajos anteriores (ISO, 2005, 2013, 2017). Los criterios legales concretos deberán confirmarse nuevamente al elaborar el pliego, porque la normativa y sus límites pueden actualizarse.</w:t>
      </w:r>
    </w:p>
    <w:p w:rsidR="00776DEF" w:rsidRDefault="009137AD">
      <w:pPr>
        <w:pStyle w:val="Ttulo1"/>
        <w:widowControl/>
      </w:pPr>
      <w:r>
        <w:t>4. Resultados de la revisión</w:t>
      </w:r>
    </w:p>
    <w:p w:rsidR="00776DEF" w:rsidRDefault="009137AD">
      <w:pPr>
        <w:pStyle w:val="Ttulo2"/>
      </w:pPr>
      <w:r>
        <w:t>4.1. Territorio, reputación y gobernanza</w:t>
      </w:r>
    </w:p>
    <w:p w:rsidR="00776DEF" w:rsidRDefault="009137AD">
      <w:r>
        <w:t xml:space="preserve">La literatura coincide en que el vínculo geográfico debe demostrarse, no presumirse. La especificidad puede derivar de factores naturales —clima, altitud, pastos, recursos microbianos— y humanos —técnicas, herramientas, tiempos y conocimientos colectivos—. El expediente debe explicar cómo esos factores producen cualidades o reputación diferenciadas. Una simple asociación del nombre con una provincia es </w:t>
      </w:r>
      <w:r>
        <w:lastRenderedPageBreak/>
        <w:t>insuficiente si la leche procede indiscriminadamente de otros territorios o si el método no conserva elementos locales verificables.</w:t>
      </w:r>
    </w:p>
    <w:p w:rsidR="00776DEF" w:rsidRDefault="009137AD">
      <w:r>
        <w:t>El pliego de condiciones traduce identidad en reglas. Debe describir producto, área, materias primas, método, atributos, trazabilidad, etiquetado y controles. Su diseño exige equilibrio: reglas muy laxas diluyen la reputación; reglas rígidas pueden excluir a pequeños productores o congelar una tradición dinámica. Estudios recientes advierten que la viabilidad de esquemas pequeños depende más de la estructura de gestión y del apoyo institucional que del número de productores (Tregear et al., 2023). La participación temprana de elaboradores, asociaciones, academia y autoridades reduce conflictos y favorece apropiación.</w:t>
      </w:r>
    </w:p>
    <w:p w:rsidR="00776DEF" w:rsidRDefault="009137AD">
      <w:r>
        <w:t>La sostenibilidad tampoco debe darse por supuesta. Las indicaciones geográficas pueden apoyar biodiversidad, empleo, turismo y continuidad cultural, pero también incentivar intensificación, mayores costos o concentración de beneficios. Falasco et al. (2024) encontraron que la contribución ambiental requiere criterios explícitos en las especificaciones. Para el caso ecuatoriano, la futura DOP debería relacionarse con los ODS 2, 3, 8, 9 y 12 mediante indicadores observables: compra local de leche, empleo, reducción de pérdidas, uso eficiente de agua, inocuidad y participación de unidades pequeñas.</w:t>
      </w:r>
    </w:p>
    <w:p w:rsidR="00776DEF" w:rsidRDefault="009137AD">
      <w:pPr>
        <w:pStyle w:val="Ttulo2"/>
      </w:pPr>
      <w:r>
        <w:t>4.2. Microbiota, tipicidad e inocuidad</w:t>
      </w:r>
    </w:p>
    <w:p w:rsidR="00776DEF" w:rsidRDefault="009137AD">
      <w:r>
        <w:t>Los quesos tradicionales contienen ecosistemas microbianos complejos procedentes de leche, animales, instalaciones, suero, salmuera, utensilios y manipuladores. Montel et al. (2014) describen beneficios sensoriales y potenciales funciones de bioprotección asociados a esta diversidad. Investigaciones metagenómicas recientes en queso Idiazabal DOP confirman que alimento del ganado, piel de pezones, superficies y salmuera contribuyen al microbioma y a genes vinculados con aroma y textura (Aguirre et al., 2024). Esto sustenta la idea de una huella microbiana territorial, aunque su estabilidad debe comprobarse entre productores y estaciones.</w:t>
      </w:r>
    </w:p>
    <w:p w:rsidR="00776DEF" w:rsidRDefault="009137AD">
      <w:r>
        <w:lastRenderedPageBreak/>
        <w:t>Las bacterias ácido-lácticas transforman lactosa en ácido láctico, reducen pH y producen peróxido de hidrógeno, dióxido de carbono y bacteriocinas. Las bacterias no iniciadoras influyen durante almacenamiento o maduración y pueden seleccionarse como cultivos adjuntos (Settanni &amp; Moschetti, 2010). Un banco de cepas autóctonas, aisladas de lotes seguros y sensorialmente representativos, permitiría conservar propiedades tecnológicas y reducir fermentaciones erráticas. La identificación debería combinar pruebas fenotípicas con métodos moleculares y evaluación de seguridad: ausencia de virulencia, resistencia antimicrobiana transferible y producción de aminas biógenas.</w:t>
      </w:r>
    </w:p>
    <w:p w:rsidR="00776DEF" w:rsidRDefault="009137AD">
      <w:r>
        <w:t xml:space="preserve">La diversidad deseable no neutraliza el riesgo. La calidad deficiente de leche cruda, la mastitis, contaminación fecal, agua no segura, manipuladores y superficies pueden introducir patógenos. </w:t>
      </w:r>
      <w:r>
        <w:rPr>
          <w:i/>
        </w:rPr>
        <w:t>E. coli</w:t>
      </w:r>
      <w:r>
        <w:t xml:space="preserve"> funciona como indicador de higiene y determinadas cepas productoras de toxina Shiga causan enfermedad grave; </w:t>
      </w:r>
      <w:r>
        <w:rPr>
          <w:i/>
        </w:rPr>
        <w:t>S. aureus</w:t>
      </w:r>
      <w:r>
        <w:t xml:space="preserve"> puede producir enterotoxinas termoestables; </w:t>
      </w:r>
      <w:r>
        <w:rPr>
          <w:i/>
        </w:rPr>
        <w:t>Salmonella</w:t>
      </w:r>
      <w:r>
        <w:t xml:space="preserve"> debe estar ausente en la porción reglamentaria. FAO y OMS (2022) recomiendan barreras múltiples a lo largo de la cadena, porque ninguna intervención aislada controla todos los escenarios.</w:t>
      </w:r>
    </w:p>
    <w:p w:rsidR="00776DEF" w:rsidRDefault="009137AD">
      <w:r>
        <w:t>El queso fresco requiere especial cautela. Su actividad de agua y humedad suelen ser altas, la manipulación es intensa y el tiempo de maduración no ofrece una etapa prolongada de reducción. El pH bajo ayuda, pero no garantiza seguridad; algunos patógenos sobreviven en ambientes ácidos, sobre todo cuando la refrigeración falla. Por ello, el recuento de aerobios mesófilos debe interpretarse como indicador global, mientras que indicadores fecales, estafilococos coagulasa positivos y patógenos requieren métodos específicos. Los resultados deben expresarse con límites de detección, incertidumbre y unidad de muestreo claramente definida.</w:t>
      </w:r>
    </w:p>
    <w:p w:rsidR="00776DEF" w:rsidRDefault="009137AD">
      <w:r>
        <w:t xml:space="preserve">La inocuidad debe gestionarse desde la granja hasta el mercado. Son prioritarios la salud de la ubre, higiene del ordeño, enfriamiento de leche, agua potable, limpieza y desinfección verificadas, separación de zonas, tratamiento térmico o proceso alternativo validado, prevención de recontaminación, empaque y cadena de frío. ISO 22000:2018 articula </w:t>
      </w:r>
      <w:r>
        <w:lastRenderedPageBreak/>
        <w:t>programas prerrequisito, comunicación, enfoque de procesos y principios HACCP; para unidades artesanales, su aplicación puede ser gradual y proporcional, sin renunciar al análisis de peligros ni a registros básicos.</w:t>
      </w:r>
    </w:p>
    <w:p w:rsidR="00776DEF" w:rsidRDefault="009137AD">
      <w:pPr>
        <w:pStyle w:val="Ttulo2"/>
      </w:pPr>
      <w:r>
        <w:t>4.3. Propiedades físico-químicas y estabilidad</w:t>
      </w:r>
    </w:p>
    <w:p w:rsidR="00776DEF" w:rsidRDefault="009137AD">
      <w:r>
        <w:t>La humedad influye en rendimiento, firmeza y velocidad de deterioro; la actividad de agua expresa la fracción disponible para reacciones y crecimiento microbiano. Dos quesos con humedad semejante pueden diferir en actividad de agua por su contenido de sal y composición. El pH refleja concentración de hidrogeniones, mientras la acidez titulable representa la capacidad de neutralización del sistema; ambos deben medirse porque no son intercambiables. La sal contribuye al sabor, sinéresis y selección microbiana, y su efecto es más informativo cuando se expresa respecto de la humedad.</w:t>
      </w:r>
    </w:p>
    <w:p w:rsidR="00776DEF" w:rsidRDefault="009137AD">
      <w:r>
        <w:t>La caracterización debe registrar además temperatura, grasa, proteína, cenizas y, cuando sea pertinente, textura instrumental y color. El muestreo debe cubrir productores, lotes y estaciones; las réplicas analíticas no sustituyen réplicas biológicas. Los rangos de una futura DOP deben derivarse de lotes auténticos, seguros y sensorialmente aceptados, no copiarse de otro queso. La estadística puede emplear modelos mixtos para datos anidados, análisis multivariado para reconocer agrupaciones y correlaciones para explorar relaciones entre composición, microbiota y percepción.</w:t>
      </w:r>
    </w:p>
    <w:p w:rsidR="00776DEF" w:rsidRDefault="009137AD">
      <w:r>
        <w:t>El resumen que originó esta revisión menciona resultados preliminares en mercados de tres provincias: altas cargas de aerobios mesófilos, elevada humedad y actividad de agua, variabilidad entre mercados y cambios de pH. Dado que no se aportan cifras ni diseño completo, esos datos no permiten inferir prevalencia, comparar provincias ni establecer significación. Sí son coherentes con los factores de riesgo identificados en la literatura y justifican completar una línea base cuantitativa con trazabilidad, cadena de custodia y criterios ecuatorianos de cumplimiento.</w:t>
      </w:r>
    </w:p>
    <w:p w:rsidR="00776DEF" w:rsidRDefault="009137AD">
      <w:pPr>
        <w:pStyle w:val="Ttulo2"/>
      </w:pPr>
      <w:r>
        <w:t>4.4. Evaluación sensorial y autenticidad</w:t>
      </w:r>
    </w:p>
    <w:p w:rsidR="00776DEF" w:rsidRDefault="009137AD">
      <w:r>
        <w:lastRenderedPageBreak/>
        <w:t>La tipicidad sensorial debe definirse mediante un panel seleccionado, entrenado y monitoreado. Aroma, sabor, textura y apariencia requieren vocabulario consensuado y referencias físicas. Las muestras deben codificarse, servirse en orden balanceado y evaluarse bajo condiciones controladas. El panel debe demostrar repetibilidad y capacidad discriminante (Lawless &amp; Heymann, 2010). En productos protegidos, un método centrado solo en defectos es insuficiente; la incorporación de atributos positivos y árboles de decisión mejora la objetividad del control (Bárcenas et al., 2015).</w:t>
      </w:r>
    </w:p>
    <w:p w:rsidR="00776DEF" w:rsidRDefault="009137AD">
      <w:r>
        <w:t>La evaluación sensorial debe conectarse con medidas instrumentales y con el conocimiento local. Intensidad láctica, acidez, salinidad, firmeza, humedad, granulosidad, notas fermentadas y persistencia pueden relacionarse con pH, sal, proteólisis y composición microbiana. Productores ayudan a reconocer descriptores culturalmente significativos; consumidores permiten estudiar reconocimiento, aceptabilidad y disposición a pagar. El perfil final no debe definirse únicamente por preferencia hedónica: un atributo típico puede no ser el más gustado por todos, pero debe ser reconocible, reproducible y libre de defectos o peligros.</w:t>
      </w:r>
    </w:p>
    <w:p w:rsidR="00776DEF" w:rsidRDefault="009137AD">
      <w:pPr>
        <w:pStyle w:val="Ttulo2"/>
      </w:pPr>
      <w:r>
        <w:t>4.5. Aprendizajes regionales: el Queso Paipa</w:t>
      </w:r>
    </w:p>
    <w:p w:rsidR="00776DEF" w:rsidRDefault="009137AD">
      <w:r>
        <w:t>El Queso Paipa, producto de Boyacá con denominación de origen desde 2011, muestra cómo protección, mercado formal e inocuidad se vuelven interdependientes. Puerto-Avendaño et al. (2021) evaluaron diez empresas vinculadas a ASOQUESOPAIPA y encontraron que nueve alcanzaban niveles de cumplimiento de Buenas Prácticas de Manufactura entre 74 % y 95 %. El caso demuestra que el reconocimiento no elimina la necesidad de diagnóstico y mejora continua; la reputación colectiva exige que cada operador cumpla requisitos sanitarios.</w:t>
      </w:r>
    </w:p>
    <w:p w:rsidR="00776DEF" w:rsidRDefault="009137AD">
      <w:r>
        <w:t xml:space="preserve">Para Ecuador, la lección no consiste en reproducir las especificaciones del Paipa. Conviene adaptar el proceso a la naturaleza del queso fresco, la geografía, la cadena de leche y las capacidades locales. La formalización debe acompañarse de asistencia técnica, infraestructura compartida, laboratorios accesibles y un sistema de control que no expulse a </w:t>
      </w:r>
      <w:r>
        <w:lastRenderedPageBreak/>
        <w:t>los productores más pequeños. Mejorar agua, higiene y refrigeración no borra la tradición: protege las prácticas que sí explican el carácter del producto.</w:t>
      </w:r>
    </w:p>
    <w:p w:rsidR="00776DEF" w:rsidRDefault="009137AD">
      <w:r>
        <w:t>La Tabla 1 sintetiza las principales diferencias entre la situación descrita para los quesos artesanales ecuatorianos y las condiciones observadas en quesos con DOP consolidada, y traduce cada brecha en una prioridad de preparación para el reconocimiento.</w:t>
      </w:r>
    </w:p>
    <w:p w:rsidR="00776DEF" w:rsidRDefault="009137AD">
      <w:pPr>
        <w:pStyle w:val="Figuras"/>
      </w:pPr>
      <w:r>
        <w:t>TABLA 1. Comparación entre quesos artesanales ecuatorianos y quesos con DOP consolidada</w:t>
      </w:r>
    </w:p>
    <w:tbl>
      <w:tblPr>
        <w:tblW w:w="6520" w:type="dxa"/>
        <w:tblLayout w:type="fixed"/>
        <w:tblLook w:val="04A0" w:firstRow="1" w:lastRow="0" w:firstColumn="1" w:lastColumn="0" w:noHBand="0" w:noVBand="1"/>
      </w:tblPr>
      <w:tblGrid>
        <w:gridCol w:w="1134"/>
        <w:gridCol w:w="1843"/>
        <w:gridCol w:w="1843"/>
        <w:gridCol w:w="1700"/>
      </w:tblGrid>
      <w:tr w:rsidR="00776DEF">
        <w:trPr>
          <w:tblHeader/>
        </w:trPr>
        <w:tc>
          <w:tcPr>
            <w:tcW w:w="1134" w:type="dxa"/>
            <w:shd w:val="clear" w:color="auto" w:fill="D9D9D9"/>
            <w:tcMar>
              <w:top w:w="55" w:type="dxa"/>
              <w:left w:w="55" w:type="dxa"/>
              <w:bottom w:w="55" w:type="dxa"/>
              <w:right w:w="55" w:type="dxa"/>
            </w:tcMar>
            <w:vAlign w:val="center"/>
          </w:tcPr>
          <w:p w:rsidR="00776DEF" w:rsidRDefault="009137AD">
            <w:pPr>
              <w:spacing w:after="0"/>
              <w:jc w:val="center"/>
            </w:pPr>
            <w:r>
              <w:rPr>
                <w:rFonts w:ascii="Arial Narrow" w:hAnsi="Arial Narrow"/>
                <w:b/>
                <w:sz w:val="15"/>
              </w:rPr>
              <w:t>Dimensión</w:t>
            </w:r>
          </w:p>
        </w:tc>
        <w:tc>
          <w:tcPr>
            <w:tcW w:w="1843" w:type="dxa"/>
            <w:shd w:val="clear" w:color="auto" w:fill="D9D9D9"/>
            <w:tcMar>
              <w:top w:w="55" w:type="dxa"/>
              <w:left w:w="55" w:type="dxa"/>
              <w:bottom w:w="55" w:type="dxa"/>
              <w:right w:w="55" w:type="dxa"/>
            </w:tcMar>
            <w:vAlign w:val="center"/>
          </w:tcPr>
          <w:p w:rsidR="00776DEF" w:rsidRDefault="009137AD">
            <w:pPr>
              <w:spacing w:after="0"/>
              <w:jc w:val="center"/>
            </w:pPr>
            <w:r>
              <w:rPr>
                <w:rFonts w:ascii="Arial Narrow" w:hAnsi="Arial Narrow"/>
                <w:b/>
                <w:sz w:val="15"/>
              </w:rPr>
              <w:t>Quesos artesanales ecuatorianos</w:t>
            </w:r>
          </w:p>
        </w:tc>
        <w:tc>
          <w:tcPr>
            <w:tcW w:w="1843" w:type="dxa"/>
            <w:shd w:val="clear" w:color="auto" w:fill="D9D9D9"/>
            <w:tcMar>
              <w:top w:w="55" w:type="dxa"/>
              <w:left w:w="55" w:type="dxa"/>
              <w:bottom w:w="55" w:type="dxa"/>
              <w:right w:w="55" w:type="dxa"/>
            </w:tcMar>
            <w:vAlign w:val="center"/>
          </w:tcPr>
          <w:p w:rsidR="00776DEF" w:rsidRDefault="009137AD">
            <w:pPr>
              <w:spacing w:after="0"/>
              <w:jc w:val="center"/>
            </w:pPr>
            <w:r>
              <w:rPr>
                <w:rFonts w:ascii="Arial Narrow" w:hAnsi="Arial Narrow"/>
                <w:b/>
                <w:sz w:val="15"/>
              </w:rPr>
              <w:t>Quesos con DOP consolidada</w:t>
            </w:r>
          </w:p>
        </w:tc>
        <w:tc>
          <w:tcPr>
            <w:tcW w:w="1700" w:type="dxa"/>
            <w:shd w:val="clear" w:color="auto" w:fill="D9D9D9"/>
            <w:tcMar>
              <w:top w:w="55" w:type="dxa"/>
              <w:left w:w="55" w:type="dxa"/>
              <w:bottom w:w="55" w:type="dxa"/>
              <w:right w:w="55" w:type="dxa"/>
            </w:tcMar>
            <w:vAlign w:val="center"/>
          </w:tcPr>
          <w:p w:rsidR="00776DEF" w:rsidRDefault="009137AD">
            <w:pPr>
              <w:spacing w:after="0"/>
              <w:jc w:val="center"/>
            </w:pPr>
            <w:r>
              <w:rPr>
                <w:rFonts w:ascii="Arial Narrow" w:hAnsi="Arial Narrow"/>
                <w:b/>
                <w:sz w:val="15"/>
              </w:rPr>
              <w:t>Prioridad para Ecuador</w:t>
            </w:r>
          </w:p>
        </w:tc>
      </w:tr>
      <w:tr w:rsidR="00776DEF">
        <w:tc>
          <w:tcPr>
            <w:tcW w:w="1134"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Protección</w:t>
            </w:r>
          </w:p>
        </w:tc>
        <w:tc>
          <w:tcPr>
            <w:tcW w:w="1843"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Sin DOP quesera nacional consolidada.</w:t>
            </w:r>
          </w:p>
        </w:tc>
        <w:tc>
          <w:tcPr>
            <w:tcW w:w="1843"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Nombre y especificaciones protegidos.</w:t>
            </w:r>
          </w:p>
        </w:tc>
        <w:tc>
          <w:tcPr>
            <w:tcW w:w="1700"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Definir producto y solicitar protección.</w:t>
            </w:r>
          </w:p>
        </w:tc>
      </w:tr>
      <w:tr w:rsidR="00776DEF">
        <w:tc>
          <w:tcPr>
            <w:tcW w:w="1134"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Origen</w:t>
            </w:r>
          </w:p>
        </w:tc>
        <w:tc>
          <w:tcPr>
            <w:tcW w:w="1843"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Procedencia de leche y zona no siempre documentadas.</w:t>
            </w:r>
          </w:p>
        </w:tc>
        <w:tc>
          <w:tcPr>
            <w:tcW w:w="1843"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Área delimitada y vínculo causal demostrado.</w:t>
            </w:r>
          </w:p>
        </w:tc>
        <w:tc>
          <w:tcPr>
            <w:tcW w:w="1700"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Inventario territorial y trazabilidad.</w:t>
            </w:r>
          </w:p>
        </w:tc>
      </w:tr>
      <w:tr w:rsidR="00776DEF">
        <w:tc>
          <w:tcPr>
            <w:tcW w:w="1134"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Proceso</w:t>
            </w:r>
          </w:p>
        </w:tc>
        <w:tc>
          <w:tcPr>
            <w:tcW w:w="1843"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Variación entre productores y lotes.</w:t>
            </w:r>
          </w:p>
        </w:tc>
        <w:tc>
          <w:tcPr>
            <w:tcW w:w="1843"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Método y rangos definidos en un pliego.</w:t>
            </w:r>
          </w:p>
        </w:tc>
        <w:tc>
          <w:tcPr>
            <w:tcW w:w="1700"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Identificar operaciones críticas y tolerancias.</w:t>
            </w:r>
          </w:p>
        </w:tc>
      </w:tr>
      <w:tr w:rsidR="00776DEF">
        <w:tc>
          <w:tcPr>
            <w:tcW w:w="1134"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Inocuidad</w:t>
            </w:r>
          </w:p>
        </w:tc>
        <w:tc>
          <w:tcPr>
            <w:tcW w:w="1843"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Brechas en BPM, refrigeración e indicadores microbianos.</w:t>
            </w:r>
          </w:p>
        </w:tc>
        <w:tc>
          <w:tcPr>
            <w:tcW w:w="1843"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Controles verificables; BPM y HACCP integrados.</w:t>
            </w:r>
          </w:p>
        </w:tc>
        <w:tc>
          <w:tcPr>
            <w:tcW w:w="1700"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Corregir, verificar y registrar por lote.</w:t>
            </w:r>
          </w:p>
        </w:tc>
      </w:tr>
      <w:tr w:rsidR="00776DEF">
        <w:tc>
          <w:tcPr>
            <w:tcW w:w="1134"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Microbiota</w:t>
            </w:r>
          </w:p>
        </w:tc>
        <w:tc>
          <w:tcPr>
            <w:tcW w:w="1843"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Diversidad potencial, aún poco caracterizada.</w:t>
            </w:r>
          </w:p>
        </w:tc>
        <w:tc>
          <w:tcPr>
            <w:tcW w:w="1843"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Cepas y ecosistemas asociados a la tipicidad.</w:t>
            </w:r>
          </w:p>
        </w:tc>
        <w:tc>
          <w:tcPr>
            <w:tcW w:w="1700"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Aislar, identificar y conservar cepas seguras.</w:t>
            </w:r>
          </w:p>
        </w:tc>
      </w:tr>
      <w:tr w:rsidR="00776DEF">
        <w:tc>
          <w:tcPr>
            <w:tcW w:w="1134"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Composición</w:t>
            </w:r>
          </w:p>
        </w:tc>
        <w:tc>
          <w:tcPr>
            <w:tcW w:w="1843"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Humedad, aᵥ, pH, acidez y sal variables.</w:t>
            </w:r>
          </w:p>
        </w:tc>
        <w:tc>
          <w:tcPr>
            <w:tcW w:w="1843"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Intervalos físico-químicos establecidos.</w:t>
            </w:r>
          </w:p>
        </w:tc>
        <w:tc>
          <w:tcPr>
            <w:tcW w:w="1700"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Construir línea base estacional.</w:t>
            </w:r>
          </w:p>
        </w:tc>
      </w:tr>
      <w:tr w:rsidR="00776DEF">
        <w:tc>
          <w:tcPr>
            <w:tcW w:w="1134"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Perfil sensorial</w:t>
            </w:r>
          </w:p>
        </w:tc>
        <w:tc>
          <w:tcPr>
            <w:tcW w:w="1843"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Descriptores y referencias por validar.</w:t>
            </w:r>
          </w:p>
        </w:tc>
        <w:tc>
          <w:tcPr>
            <w:tcW w:w="1843"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Perfil típico evaluado por panel entrenado.</w:t>
            </w:r>
          </w:p>
        </w:tc>
        <w:tc>
          <w:tcPr>
            <w:tcW w:w="1700"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Entrenar panel y acordar atributos positivos.</w:t>
            </w:r>
          </w:p>
        </w:tc>
      </w:tr>
      <w:tr w:rsidR="00776DEF">
        <w:tc>
          <w:tcPr>
            <w:tcW w:w="1134"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Gobernanza</w:t>
            </w:r>
          </w:p>
        </w:tc>
        <w:tc>
          <w:tcPr>
            <w:tcW w:w="1843"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Organización y control colectivo incipientes.</w:t>
            </w:r>
          </w:p>
        </w:tc>
        <w:tc>
          <w:tcPr>
            <w:tcW w:w="1843"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Órgano de gestión y autorización de uso.</w:t>
            </w:r>
          </w:p>
        </w:tc>
        <w:tc>
          <w:tcPr>
            <w:tcW w:w="1700" w:type="dxa"/>
            <w:tcMar>
              <w:top w:w="55" w:type="dxa"/>
              <w:left w:w="55" w:type="dxa"/>
              <w:bottom w:w="55" w:type="dxa"/>
              <w:right w:w="55" w:type="dxa"/>
            </w:tcMar>
            <w:vAlign w:val="center"/>
          </w:tcPr>
          <w:p w:rsidR="00776DEF" w:rsidRDefault="009137AD">
            <w:pPr>
              <w:spacing w:after="0"/>
              <w:jc w:val="left"/>
            </w:pPr>
            <w:r>
              <w:rPr>
                <w:rFonts w:ascii="Arial Narrow" w:hAnsi="Arial Narrow"/>
                <w:sz w:val="15"/>
              </w:rPr>
              <w:t>Crear reglas inclusivas y control independiente.</w:t>
            </w:r>
          </w:p>
        </w:tc>
      </w:tr>
    </w:tbl>
    <w:p w:rsidR="00776DEF" w:rsidRDefault="009137AD">
      <w:pPr>
        <w:pStyle w:val="Fuente"/>
      </w:pPr>
      <w:r>
        <w:t xml:space="preserve">Fuente: </w:t>
      </w:r>
      <w:r w:rsidR="00900A49">
        <w:t>E</w:t>
      </w:r>
      <w:r>
        <w:t>laboración propia a partir de SENADI (s. f.), Montel et al. (2014), Puerto-Avendaño et al. (2021), Aguirre et al. (2024) e ISO 22000:2018.</w:t>
      </w:r>
    </w:p>
    <w:p w:rsidR="00776DEF" w:rsidRDefault="009137AD">
      <w:pPr>
        <w:pStyle w:val="Ttulo1"/>
        <w:widowControl/>
      </w:pPr>
      <w:r>
        <w:t>5. Discusión y propuesta para Ecuador</w:t>
      </w:r>
    </w:p>
    <w:p w:rsidR="00776DEF" w:rsidRDefault="009137AD">
      <w:r>
        <w:t xml:space="preserve">La evidencia revisada permite formular cinco etapas. La primera </w:t>
      </w:r>
      <w:r w:rsidR="002F44C5">
        <w:t>es</w:t>
      </w:r>
      <w:r>
        <w:t xml:space="preserve"> construir el inventario territorial: nombres, historia, zonas, productores, origen de leche, prácticas y canales de venta. La segunda es establecer </w:t>
      </w:r>
      <w:r>
        <w:lastRenderedPageBreak/>
        <w:t>la línea base mediante muestreo representativo físico-químico, microbiológico y sensorial. La tercera es implementar prerrequisitos, BPM, trazabilidad y HACCP adaptado, verificando la eficacia con indicadores. La cuarta es validar atributos típicos y redactar participativamente el pliego. La quinta es crear el órgano de gestión, sistema de control, estrategia de diferenciación y expediente para SENADI.</w:t>
      </w:r>
    </w:p>
    <w:p w:rsidR="00776DEF" w:rsidRDefault="009137AD">
      <w:r>
        <w:t>La caracterización debe evitar dos errores. El primero es confundir uniformidad absoluta con calidad: una DOP admite variación natural dentro de rangos que conservan identidad. El segundo es romantizar toda práctica tradicional: una costumbre que introduce contaminación no se convierte en patrimonio por repetirse</w:t>
      </w:r>
      <w:r w:rsidR="00A67488">
        <w:t xml:space="preserve"> (el caso de gran parte de las zonas de producción donde las tradiciones en el procesamiento se han mantenido por muchos años)</w:t>
      </w:r>
      <w:r>
        <w:t>. La decisión debe basarse en función tecnológica, significado cultural y evidencia de seguridad</w:t>
      </w:r>
      <w:r w:rsidR="00A67488">
        <w:t xml:space="preserve"> (todo esto previo a un análisis socioeconómico</w:t>
      </w:r>
      <w:r w:rsidR="002F44C5">
        <w:t xml:space="preserve"> con el finde evitar afectaciones en la estructura social de las comunidades</w:t>
      </w:r>
      <w:r w:rsidR="00A67488">
        <w:t>)</w:t>
      </w:r>
      <w:r>
        <w:t xml:space="preserve">. Cuando el tratamiento térmico amenace atributos sensoriales, pueden investigarse </w:t>
      </w:r>
      <w:r w:rsidR="00A67488">
        <w:t>otros tratamientos (</w:t>
      </w:r>
      <w:r>
        <w:t>termización, cultivos protectores o combinaciones de barreras</w:t>
      </w:r>
      <w:r w:rsidR="00A67488">
        <w:t>)</w:t>
      </w:r>
      <w:r>
        <w:t>, siempre mediante validación y sin presentar la biopreservación como sustituto automático de la higiene (Garnier et al., 2023).</w:t>
      </w:r>
    </w:p>
    <w:p w:rsidR="00776DEF" w:rsidRDefault="009137AD">
      <w:r>
        <w:t>La microbiología predictiva puede complementar la vigilancia. Modelos que relacionen temperatura, pH, actividad de agua y sal con crecimiento o supervivencia permiten comparar escenarios de almacenamiento y orientar límites operativos. Sin embargo, deben validarse en la matriz específica, porque la microbiota competitiva y la estructura del queso modifican el comportamiento observado en medios de laboratorio. Su mayor valor inicial sería evaluar fallas previsibles de refrigeración y apoyar decisiones de vida útil, no reemplazar los análisis microbiológicos.</w:t>
      </w:r>
    </w:p>
    <w:p w:rsidR="00776DEF" w:rsidRDefault="009137AD">
      <w:r>
        <w:t>La autenticidad también demanda trazabilidad documental y, a mediano plazo, herramientas analíticas. Registros de proveedores y lotes son indispensables; perfiles químicos, isotópicos o microbianos podrían apoyar la verificación del origen cuando exista una base de referencia ro</w:t>
      </w:r>
      <w:r>
        <w:lastRenderedPageBreak/>
        <w:t>busta. Estas técnicas no deben incorporarse solo por novedad. Su pertinencia dependerá de capacidad discriminante, costo, reproducibilidad y disponibilidad para el organismo de control.</w:t>
      </w:r>
    </w:p>
    <w:p w:rsidR="00776DEF" w:rsidRDefault="009137AD">
      <w:r>
        <w:t>La gobernanza inclusiva determina quién captura el valor. El comité promotor debería incluir productores de distinta escala y representación territorial, además de academia y autoridades. Las decisiones sobre límites geográficos, leche permitida, tratamiento térmico y rangos analíticos deben documentarse. También se requieren reglas de ingreso, sanciones proporcionales, mecanismo de apelación y transparencia financiera. Sin estas condiciones, el sello puede transformarse en barrera de entrada o ser controlado por pocos actores.</w:t>
      </w:r>
    </w:p>
    <w:p w:rsidR="00776DEF" w:rsidRDefault="009137AD">
      <w:r>
        <w:t xml:space="preserve">Las altas cargas microbianas preliminares obligan a priorizar inocuidad antes de promocionar el nombre. Una estrategia de comunicación anticipada sin control podría amplificar el daño reputacional ante un incidente. La secuencia correcta es diagnosticar, corregir, verificar y luego diferenciar. Los indicadores de avance pueden incluir porcentaje de unidades con agua segura, cumplimiento de temperatura, lotes trazables, tendencia de </w:t>
      </w:r>
      <w:r>
        <w:rPr>
          <w:i/>
        </w:rPr>
        <w:t>E. coli</w:t>
      </w:r>
      <w:r>
        <w:t xml:space="preserve"> y </w:t>
      </w:r>
      <w:r>
        <w:rPr>
          <w:i/>
        </w:rPr>
        <w:t>S. aureus</w:t>
      </w:r>
      <w:r>
        <w:t xml:space="preserve">, ausencia de </w:t>
      </w:r>
      <w:r>
        <w:rPr>
          <w:i/>
        </w:rPr>
        <w:t>Salmonella</w:t>
      </w:r>
      <w:r>
        <w:t>, repetibilidad sensorial y proporción de productores que cumplen el pliego.</w:t>
      </w:r>
    </w:p>
    <w:p w:rsidR="00776DEF" w:rsidRDefault="009137AD">
      <w:r>
        <w:t>La formación constituye un eje transversal, pero debe acompañarse de verificación en planta. Talleres aislados pueden aumentar conocimiento sin modificar prácticas cuando faltan agua, equipos, refrigeración o incentivos. Se recomienda combinar capacitación breve, demostraciones, listas de verificación, visitas de seguimiento y devolución confidencial de resultados. Los productores que alcancen desempeño sostenido pueden actuar como referentes territoriales. La universidad puede apoyar con análisis, formación de paneles, conservación de cepas y evaluación estadística, mientras que las autoridades mantienen sus competencias de vigilancia. Esta distribución de funciones evita confundir asistencia técnica con certificación y fortalece la credibilidad del futuro sistema.</w:t>
      </w:r>
    </w:p>
    <w:p w:rsidR="00776DEF" w:rsidRDefault="009137AD">
      <w:r>
        <w:t xml:space="preserve">También debe estudiarse la percepción del consumidor. El valor de origen puede asociarse con confianza, sabor, cultura y apoyo al productor, pero el sello pierde eficacia si el público no comprende qué garantiza. Una estrategia de comunicación responsable explicará procedencia, </w:t>
      </w:r>
      <w:r>
        <w:lastRenderedPageBreak/>
        <w:t>método, atributos y controles sin emplear afirmaciones absolutas de seguridad o superioridad nutricional. La disposición a pagar deberá analizarse junto con costos de adaptación y certificación, para estimar si la prima potencial beneficia realmente a los elaboradores y no solo a intermediarios. Este análisis económico completa la caracterización del producto y orienta un modelo comercial viable.</w:t>
      </w:r>
    </w:p>
    <w:p w:rsidR="00776DEF" w:rsidRDefault="009137AD">
      <w:r>
        <w:t>Esta revisión tiene limitaciones. No siguió un protocolo de revisión sistemática registrado ni realizó metaanálisis; la heterogeneidad de quesos, métodos y marcos legales limita comparaciones directas. Existe además poca evidencia publicada específicamente sobre quesos tradicionales ecuatorianos y su vínculo causal con territorios definidos. Futuras investigaciones deben informar diseño muestral, valores completos, intervalos de confianza, estacionalidad, procedencia de leche y métodos vigentes. También deben evaluar costos de cumplimiento y posibles efectos distributivos para evitar que la protección excluya a quienes sostienen la tradición.</w:t>
      </w:r>
    </w:p>
    <w:p w:rsidR="00776DEF" w:rsidRDefault="009137AD">
      <w:pPr>
        <w:pStyle w:val="Ttulo1"/>
        <w:widowControl/>
      </w:pPr>
      <w:r>
        <w:t>6. Conclusiones</w:t>
      </w:r>
    </w:p>
    <w:p w:rsidR="00776DEF" w:rsidRDefault="009137AD">
      <w:r>
        <w:t xml:space="preserve">La literatura confirma que una Denominación de Origen Protegida para quesos tradicionales requiere </w:t>
      </w:r>
      <w:r w:rsidR="00495463">
        <w:t>el análisis</w:t>
      </w:r>
      <w:r>
        <w:t xml:space="preserve"> simultáne</w:t>
      </w:r>
      <w:r w:rsidR="00495463">
        <w:t xml:space="preserve">o </w:t>
      </w:r>
      <w:r w:rsidR="003C5C34">
        <w:t>de procedencia</w:t>
      </w:r>
      <w:r>
        <w:t xml:space="preserve">, tipicidad, seguridad y capacidad colectiva de control. La </w:t>
      </w:r>
      <w:proofErr w:type="gramStart"/>
      <w:r w:rsidR="003C5C34">
        <w:t>microbiota autóctona</w:t>
      </w:r>
      <w:proofErr w:type="gramEnd"/>
      <w:r>
        <w:t xml:space="preserve"> puede contribuir a identidad y bioprotección, pero debe diferenciarse de indicadores y patógenos</w:t>
      </w:r>
      <w:r w:rsidR="003C5C34">
        <w:t xml:space="preserve"> (el control de calidad en el procesos juega un papel importante)</w:t>
      </w:r>
      <w:r>
        <w:t>. Humedad, actividad de agua, pH, acidez, sal y temperatura forman un sistema de barreras cuya medición permite explicar estabilidad y variación sensorial.</w:t>
      </w:r>
    </w:p>
    <w:p w:rsidR="00776DEF" w:rsidRDefault="009137AD">
      <w:r>
        <w:t>Para los quesos frescos artesanales ecuatorianos, los hallazgos preliminares</w:t>
      </w:r>
      <w:r w:rsidR="003C5C34">
        <w:t>, encontrados en estudios realizados,</w:t>
      </w:r>
      <w:r>
        <w:t xml:space="preserve"> de cargas elevadas y condiciones favorables al crecimiento microbiano hacen indispensable fortalecer BPM, cadena de frío, trazabilidad e implementación gradual de HACCP e ISO 22000. Esta mejora no contradice la tradición; crea la base para conservarla sin transferir riesgos al consumidor. Paralelamente, deben identificarse cepas tecnológicas, prácticas y descriptores sensoriales que expresen el territorio.</w:t>
      </w:r>
    </w:p>
    <w:p w:rsidR="00776DEF" w:rsidRDefault="009137AD">
      <w:r>
        <w:lastRenderedPageBreak/>
        <w:t xml:space="preserve">Se propone </w:t>
      </w:r>
      <w:r w:rsidR="00D806DB">
        <w:t xml:space="preserve">seguir </w:t>
      </w:r>
      <w:r w:rsidR="00B0726E">
        <w:t xml:space="preserve">un camino </w:t>
      </w:r>
      <w:r>
        <w:t>mediante inventario territorial, línea base integral, intervención sanitaria, validación participativa del perfil y construcción de gobernanza. Solo después de demostrar resultados consistentes conviene consolidar el pliego y solicitar protección. Una DOP concebida de este modo puede aportar a salud, producción responsable, innovación, empleo rural y conservación del patrimonio, siempre que sus beneficios y obligaciones se distribuyan de manera inclusiva.</w:t>
      </w:r>
    </w:p>
    <w:p w:rsidR="00776DEF" w:rsidRDefault="009137AD">
      <w:pPr>
        <w:pStyle w:val="Ttulo1"/>
        <w:widowControl/>
      </w:pPr>
      <w:r>
        <w:t>7. Referencias</w:t>
      </w:r>
    </w:p>
    <w:p w:rsidR="00776DEF" w:rsidRDefault="009137AD" w:rsidP="00D32443">
      <w:pPr>
        <w:pStyle w:val="Bibliografa"/>
      </w:pPr>
      <w:r>
        <w:t xml:space="preserve">Aguirre, J., Arana, I., Lavín, J. L., et al. (2024). Shotgun </w:t>
      </w:r>
      <w:proofErr w:type="spellStart"/>
      <w:r>
        <w:t>metagenomic</w:t>
      </w:r>
      <w:proofErr w:type="spellEnd"/>
      <w:r>
        <w:t xml:space="preserve"> </w:t>
      </w:r>
      <w:proofErr w:type="spellStart"/>
      <w:r>
        <w:t>sequencing</w:t>
      </w:r>
      <w:proofErr w:type="spellEnd"/>
      <w:r>
        <w:t xml:space="preserve"> </w:t>
      </w:r>
      <w:proofErr w:type="spellStart"/>
      <w:r>
        <w:t>reveals</w:t>
      </w:r>
      <w:proofErr w:type="spellEnd"/>
      <w:r>
        <w:t xml:space="preserve"> </w:t>
      </w:r>
      <w:proofErr w:type="spellStart"/>
      <w:r>
        <w:t>th</w:t>
      </w:r>
      <w:bookmarkStart w:id="0" w:name="_GoBack"/>
      <w:bookmarkEnd w:id="0"/>
      <w:r>
        <w:t>e</w:t>
      </w:r>
      <w:proofErr w:type="spellEnd"/>
      <w:r>
        <w:t xml:space="preserve"> </w:t>
      </w:r>
      <w:proofErr w:type="spellStart"/>
      <w:r>
        <w:t>influence</w:t>
      </w:r>
      <w:proofErr w:type="spellEnd"/>
      <w:r>
        <w:t xml:space="preserve"> </w:t>
      </w:r>
      <w:proofErr w:type="spellStart"/>
      <w:r>
        <w:t>of</w:t>
      </w:r>
      <w:proofErr w:type="spellEnd"/>
      <w:r>
        <w:t xml:space="preserve"> </w:t>
      </w:r>
      <w:proofErr w:type="spellStart"/>
      <w:r>
        <w:t>artisanal</w:t>
      </w:r>
      <w:proofErr w:type="spellEnd"/>
      <w:r>
        <w:t xml:space="preserve"> dairy environments on the microbiomes, quality, and safety of Idiazabal, a raw ewe milk PDO cheese. </w:t>
      </w:r>
      <w:r>
        <w:rPr>
          <w:i/>
        </w:rPr>
        <w:t>Microbiome, 12</w:t>
      </w:r>
      <w:r>
        <w:t>, 262. https://doi.org/10.1186/s40168-024-01980-0</w:t>
      </w:r>
    </w:p>
    <w:p w:rsidR="00776DEF" w:rsidRDefault="009137AD">
      <w:pPr>
        <w:pStyle w:val="Bibliografa"/>
      </w:pPr>
      <w:r>
        <w:t xml:space="preserve">Bárcenas, P., Pérez Elortondo, F. J., &amp; Albisu, M. (2015). Sensory quality control of cheese: Going beyond the absence of defects. </w:t>
      </w:r>
      <w:r>
        <w:rPr>
          <w:i/>
        </w:rPr>
        <w:t>Food Control, 51</w:t>
      </w:r>
      <w:r>
        <w:t>, 371–380. https://doi.org/10.1016/j.foodcont.2014.11.034</w:t>
      </w:r>
    </w:p>
    <w:p w:rsidR="00776DEF" w:rsidRDefault="009137AD">
      <w:pPr>
        <w:pStyle w:val="Bibliografa"/>
      </w:pPr>
      <w:r>
        <w:t xml:space="preserve">Barham, E. (2003). Translating terroir: The global challenge of French AOC labeling. </w:t>
      </w:r>
      <w:r>
        <w:rPr>
          <w:i/>
        </w:rPr>
        <w:t>Journal of Rural Studies, 19</w:t>
      </w:r>
      <w:r>
        <w:t>(1), 127–138. https://doi.org/10.1016/S0743-0167(02)00052-9</w:t>
      </w:r>
    </w:p>
    <w:p w:rsidR="00776DEF" w:rsidRDefault="009137AD">
      <w:pPr>
        <w:pStyle w:val="Bibliografa"/>
      </w:pPr>
      <w:r>
        <w:t xml:space="preserve">Belletti, G., Marescotti, A., &amp; Touzard, J.-M. (2017). Geographical indications, public goods, and sustainable development: The roles of actors’ strategies and public policies. </w:t>
      </w:r>
      <w:r>
        <w:rPr>
          <w:i/>
        </w:rPr>
        <w:t>World Development, 98</w:t>
      </w:r>
      <w:r>
        <w:t>, 45–57. https://doi.org/10.1016/j.worlddev.2015.05.004</w:t>
      </w:r>
    </w:p>
    <w:p w:rsidR="00776DEF" w:rsidRDefault="009137AD">
      <w:pPr>
        <w:pStyle w:val="Bibliografa"/>
      </w:pPr>
      <w:r>
        <w:t xml:space="preserve">Cei, L., Defrancesco, E., &amp; Stefani, G. (2018). From geographical indications to rural development: A review of the economic effects of European Union policy. </w:t>
      </w:r>
      <w:r>
        <w:rPr>
          <w:i/>
        </w:rPr>
        <w:t>Sustainability, 10</w:t>
      </w:r>
      <w:r>
        <w:t>(10), 3745. https://doi.org/10.3390/su10103745</w:t>
      </w:r>
    </w:p>
    <w:p w:rsidR="00776DEF" w:rsidRDefault="009137AD">
      <w:pPr>
        <w:pStyle w:val="Bibliografa"/>
      </w:pPr>
      <w:r>
        <w:t xml:space="preserve">Falasco, S., Caputo, P., &amp; Garrone, P. (2024). Can geographical indications promote environmental sustainability in food supply chains? Insights from a systematic literature review. </w:t>
      </w:r>
      <w:r>
        <w:rPr>
          <w:i/>
        </w:rPr>
        <w:t>Journal of Cleaner Production, 444</w:t>
      </w:r>
      <w:r>
        <w:t>, 141100. https://doi.org/10.1016/j.jclepro.2024.141100</w:t>
      </w:r>
    </w:p>
    <w:p w:rsidR="00776DEF" w:rsidRDefault="009137AD">
      <w:pPr>
        <w:pStyle w:val="Bibliografa"/>
      </w:pPr>
      <w:r>
        <w:t xml:space="preserve">Food and Agriculture Organization of the United Nations, &amp; World Health Organization. (2022). </w:t>
      </w:r>
      <w:r>
        <w:rPr>
          <w:i/>
        </w:rPr>
        <w:t>Control measures for Shiga toxin-producing Escherichia coli (STEC) associated with meat and dairy products: Meeting report</w:t>
      </w:r>
      <w:r>
        <w:t xml:space="preserve"> (Microbiological Risk Assessment Series No. 39). https://www.who.int/publications/i/item/9789240058576</w:t>
      </w:r>
    </w:p>
    <w:p w:rsidR="00776DEF" w:rsidRDefault="009137AD">
      <w:pPr>
        <w:pStyle w:val="Bibliografa"/>
      </w:pPr>
      <w:r>
        <w:t xml:space="preserve">Garnier, L., Valence, F., Pawtowski, A., et al. (2023). Mild heat treatment and biopreservatives for artisanal raw milk cheeses: Reducing microbial spoilage and extending shelf-life through thermisation, plant extracts and </w:t>
      </w:r>
      <w:r>
        <w:lastRenderedPageBreak/>
        <w:t xml:space="preserve">lactic acid bacteria. </w:t>
      </w:r>
      <w:r>
        <w:rPr>
          <w:i/>
        </w:rPr>
        <w:t>Foods, 12</w:t>
      </w:r>
      <w:r>
        <w:t>(17), 3206. https://doi.org/10.3390/foods12173206</w:t>
      </w:r>
    </w:p>
    <w:p w:rsidR="00776DEF" w:rsidRDefault="009137AD">
      <w:pPr>
        <w:pStyle w:val="Bibliografa"/>
      </w:pPr>
      <w:r>
        <w:t xml:space="preserve">International Organization for Standardization. (2005). </w:t>
      </w:r>
      <w:r>
        <w:rPr>
          <w:i/>
        </w:rPr>
        <w:t>ISO 7251:2005. Microbiology of food and animal feeding stuffs—Horizontal method for the detection and enumeration of presumptive Escherichia coli—Most probable number technique</w:t>
      </w:r>
      <w:r>
        <w:t>.</w:t>
      </w:r>
    </w:p>
    <w:p w:rsidR="00776DEF" w:rsidRDefault="009137AD">
      <w:pPr>
        <w:pStyle w:val="Bibliografa"/>
      </w:pPr>
      <w:r>
        <w:t xml:space="preserve">International Organization for Standardization. (2013). </w:t>
      </w:r>
      <w:r>
        <w:rPr>
          <w:i/>
        </w:rPr>
        <w:t>ISO 4833-1:2013. Microbiology of the food chain—Horizontal method for the enumeration of microorganisms—Part 1: Colony count at 30 °C by the pour plate technique</w:t>
      </w:r>
      <w:r>
        <w:t>.</w:t>
      </w:r>
    </w:p>
    <w:p w:rsidR="00776DEF" w:rsidRDefault="009137AD">
      <w:pPr>
        <w:pStyle w:val="Bibliografa"/>
      </w:pPr>
      <w:r>
        <w:t xml:space="preserve">International Organization for Standardization. (2017). </w:t>
      </w:r>
      <w:r>
        <w:rPr>
          <w:i/>
        </w:rPr>
        <w:t>ISO 6579-1:2017. Microbiology of the food chain—Horizontal method for the detection, enumeration and serotyping of Salmonella—Part 1: Detection of Salmonella spp.</w:t>
      </w:r>
    </w:p>
    <w:p w:rsidR="00776DEF" w:rsidRDefault="009137AD">
      <w:pPr>
        <w:pStyle w:val="Bibliografa"/>
      </w:pPr>
      <w:r>
        <w:t xml:space="preserve">International Organization for Standardization. (2018). </w:t>
      </w:r>
      <w:r>
        <w:rPr>
          <w:i/>
        </w:rPr>
        <w:t>ISO 22000:2018. Food safety management systems—Requirements for any organization in the food chain</w:t>
      </w:r>
      <w:r>
        <w:t>.</w:t>
      </w:r>
    </w:p>
    <w:p w:rsidR="00776DEF" w:rsidRDefault="009137AD">
      <w:pPr>
        <w:pStyle w:val="Bibliografa"/>
      </w:pPr>
      <w:r>
        <w:t xml:space="preserve">Kamimura, B. A., Magnani, M., Luciano, W. A., et al. (2021). Brazilian artisanal cheeses: Diversity, microbiological safety, and challenges for the sector. </w:t>
      </w:r>
      <w:r>
        <w:rPr>
          <w:i/>
        </w:rPr>
        <w:t>Frontiers in Microbiology, 12</w:t>
      </w:r>
      <w:r>
        <w:t>, 666922. https://doi.org/10.3389/fmicb.2021.666922</w:t>
      </w:r>
    </w:p>
    <w:p w:rsidR="00776DEF" w:rsidRDefault="009137AD">
      <w:pPr>
        <w:pStyle w:val="Bibliografa"/>
      </w:pPr>
      <w:r>
        <w:t xml:space="preserve">Lawless, H. T., &amp; Heymann, H. (2010). </w:t>
      </w:r>
      <w:r>
        <w:rPr>
          <w:i/>
        </w:rPr>
        <w:t>Sensory evaluation of food: Principles and practices</w:t>
      </w:r>
      <w:r>
        <w:t xml:space="preserve"> (2nd ed.). Springer. https://doi.org/10.1007/978-1-4419-6488-5</w:t>
      </w:r>
    </w:p>
    <w:p w:rsidR="00776DEF" w:rsidRDefault="009137AD">
      <w:pPr>
        <w:pStyle w:val="Bibliografa"/>
      </w:pPr>
      <w:r>
        <w:t xml:space="preserve">Montel, M.-C., Buchin, S., Mallet, A., Delbes-Paus, C., Vuitton, D. A., Desmasures, N., &amp; Berthier, F. (2014). Traditional cheeses: Rich and diverse microbiota with associated benefits. </w:t>
      </w:r>
      <w:r>
        <w:rPr>
          <w:i/>
        </w:rPr>
        <w:t>International Journal of Food Microbiology, 177</w:t>
      </w:r>
      <w:r>
        <w:t>, 136–154. https://doi.org/10.1016/j.ijfoodmicro.2014.02.019</w:t>
      </w:r>
    </w:p>
    <w:p w:rsidR="00776DEF" w:rsidRDefault="009137AD">
      <w:pPr>
        <w:pStyle w:val="Bibliografa"/>
      </w:pPr>
      <w:r>
        <w:t xml:space="preserve">Puerto-Avendaño, Y. O., Grimaldo-León, G. E., &amp; Wilches-Torres, M. A. (2021). Evaluación del cumplimiento de requisitos BPM en empresas productoras de Queso Paipa. </w:t>
      </w:r>
      <w:r>
        <w:rPr>
          <w:i/>
        </w:rPr>
        <w:t>AiBi Revista de Investigación, Administración e Ingeniería, 9</w:t>
      </w:r>
      <w:r>
        <w:t>(2), 9–18. https://doi.org/10.15649/2346030X.923</w:t>
      </w:r>
    </w:p>
    <w:p w:rsidR="00776DEF" w:rsidRDefault="009137AD">
      <w:pPr>
        <w:pStyle w:val="Bibliografa"/>
      </w:pPr>
      <w:r>
        <w:t xml:space="preserve">Servicio Nacional de Derechos Intelectuales. (s. f.). </w:t>
      </w:r>
      <w:r>
        <w:rPr>
          <w:i/>
        </w:rPr>
        <w:t>Denominación de origen</w:t>
      </w:r>
      <w:r>
        <w:t>. https://www.derechosintelectuales.gob.ec/denominacion-de-origen/</w:t>
      </w:r>
    </w:p>
    <w:p w:rsidR="00776DEF" w:rsidRDefault="009137AD">
      <w:pPr>
        <w:pStyle w:val="Bibliografa"/>
      </w:pPr>
      <w:r>
        <w:t xml:space="preserve">Settanni, L., &amp; Moschetti, G. (2010). Non-starter lactic acid bacteria used to improve cheese quality and provide health benefits. </w:t>
      </w:r>
      <w:r>
        <w:rPr>
          <w:i/>
        </w:rPr>
        <w:t>Food Microbiology, 27</w:t>
      </w:r>
      <w:r>
        <w:t>(6), 691–697. https://doi.org/10.1016/j.fm.2010.05.023</w:t>
      </w:r>
    </w:p>
    <w:p w:rsidR="00776DEF" w:rsidRDefault="009137AD">
      <w:pPr>
        <w:pStyle w:val="Bibliografa"/>
      </w:pPr>
      <w:r>
        <w:lastRenderedPageBreak/>
        <w:t xml:space="preserve">Tregear, A., Török, Á., &amp; Gorton, M. (2023). ‘Because of its size, it’s not worth it!’: The viability of small-scale geographical indication schemes. </w:t>
      </w:r>
      <w:r>
        <w:rPr>
          <w:i/>
        </w:rPr>
        <w:t>Food Policy, 121</w:t>
      </w:r>
      <w:r>
        <w:t>, 102549. https://doi.org/10.1016/j.foodpol.2023.102549</w:t>
      </w:r>
    </w:p>
    <w:sectPr w:rsidR="00776DEF" w:rsidSect="00280126">
      <w:footerReference w:type="default" r:id="rId9"/>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30F3" w:rsidRDefault="005430F3" w:rsidP="00EB0247">
      <w:pPr>
        <w:spacing w:after="0" w:line="240" w:lineRule="auto"/>
      </w:pPr>
      <w:r>
        <w:separator/>
      </w:r>
    </w:p>
  </w:endnote>
  <w:endnote w:type="continuationSeparator" w:id="0">
    <w:p w:rsidR="005430F3" w:rsidRDefault="005430F3"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6DEF" w:rsidRDefault="00776D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30F3" w:rsidRDefault="005430F3" w:rsidP="00EB0247">
      <w:pPr>
        <w:spacing w:after="0" w:line="240" w:lineRule="auto"/>
      </w:pPr>
      <w:r>
        <w:separator/>
      </w:r>
    </w:p>
  </w:footnote>
  <w:footnote w:type="continuationSeparator" w:id="0">
    <w:p w:rsidR="005430F3" w:rsidRDefault="005430F3"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6"/>
  </w:num>
  <w:num w:numId="14">
    <w:abstractNumId w:val="17"/>
  </w:num>
  <w:num w:numId="15">
    <w:abstractNumId w:val="18"/>
  </w:num>
  <w:num w:numId="16">
    <w:abstractNumId w:val="28"/>
  </w:num>
  <w:num w:numId="17">
    <w:abstractNumId w:val="25"/>
  </w:num>
  <w:num w:numId="18">
    <w:abstractNumId w:val="10"/>
  </w:num>
  <w:num w:numId="19">
    <w:abstractNumId w:val="24"/>
  </w:num>
  <w:num w:numId="20">
    <w:abstractNumId w:val="29"/>
  </w:num>
  <w:num w:numId="21">
    <w:abstractNumId w:val="30"/>
  </w:num>
  <w:num w:numId="22">
    <w:abstractNumId w:val="21"/>
  </w:num>
  <w:num w:numId="23">
    <w:abstractNumId w:val="30"/>
    <w:lvlOverride w:ilvl="0">
      <w:startOverride w:val="1"/>
    </w:lvlOverride>
  </w:num>
  <w:num w:numId="24">
    <w:abstractNumId w:val="30"/>
    <w:lvlOverride w:ilvl="0">
      <w:startOverride w:val="1"/>
    </w:lvlOverride>
  </w:num>
  <w:num w:numId="25">
    <w:abstractNumId w:val="12"/>
  </w:num>
  <w:num w:numId="26">
    <w:abstractNumId w:val="31"/>
  </w:num>
  <w:num w:numId="27">
    <w:abstractNumId w:val="19"/>
  </w:num>
  <w:num w:numId="28">
    <w:abstractNumId w:val="20"/>
  </w:num>
  <w:num w:numId="29">
    <w:abstractNumId w:val="22"/>
  </w:num>
  <w:num w:numId="30">
    <w:abstractNumId w:val="15"/>
  </w:num>
  <w:num w:numId="31">
    <w:abstractNumId w:val="23"/>
  </w:num>
  <w:num w:numId="32">
    <w:abstractNumId w:val="14"/>
  </w:num>
  <w:num w:numId="33">
    <w:abstractNumId w:val="26"/>
  </w:num>
  <w:num w:numId="34">
    <w:abstractNumId w:val="27"/>
  </w:num>
  <w:num w:numId="35">
    <w:abstractNumId w:val="32"/>
  </w:num>
  <w:num w:numId="36">
    <w:abstractNumId w:val="30"/>
    <w:lvlOverride w:ilvl="0">
      <w:startOverride w:val="1"/>
    </w:lvlOverride>
  </w:num>
  <w:num w:numId="37">
    <w:abstractNumId w:val="30"/>
    <w:lvlOverride w:ilvl="0">
      <w:startOverride w:val="1"/>
    </w:lvlOverride>
  </w:num>
  <w:num w:numId="38">
    <w:abstractNumId w:val="30"/>
    <w:lvlOverride w:ilvl="0">
      <w:startOverride w:val="1"/>
    </w:lvlOverride>
  </w:num>
  <w:num w:numId="39">
    <w:abstractNumId w:val="32"/>
    <w:lvlOverride w:ilvl="0">
      <w:startOverride w:val="1"/>
    </w:lvlOverride>
  </w:num>
  <w:num w:numId="40">
    <w:abstractNumId w:val="32"/>
    <w:lvlOverride w:ilvl="0">
      <w:startOverride w:val="1"/>
    </w:lvlOverride>
  </w:num>
  <w:num w:numId="41">
    <w:abstractNumId w:val="30"/>
    <w:lvlOverride w:ilvl="0">
      <w:startOverride w:val="1"/>
    </w:lvlOverride>
  </w:num>
  <w:num w:numId="42">
    <w:abstractNumId w:val="32"/>
    <w:lvlOverride w:ilvl="0">
      <w:startOverride w:val="1"/>
    </w:lvlOverride>
  </w:num>
  <w:num w:numId="43">
    <w:abstractNumId w:val="30"/>
    <w:lvlOverride w:ilvl="0">
      <w:startOverride w:val="1"/>
    </w:lvlOverride>
  </w:num>
  <w:num w:numId="44">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33E3E"/>
    <w:rsid w:val="00063421"/>
    <w:rsid w:val="00097EEF"/>
    <w:rsid w:val="000C5EDB"/>
    <w:rsid w:val="0010090D"/>
    <w:rsid w:val="001348A0"/>
    <w:rsid w:val="00140844"/>
    <w:rsid w:val="001468AC"/>
    <w:rsid w:val="0015066B"/>
    <w:rsid w:val="00156F2B"/>
    <w:rsid w:val="00182667"/>
    <w:rsid w:val="00185A00"/>
    <w:rsid w:val="0018654D"/>
    <w:rsid w:val="001950D8"/>
    <w:rsid w:val="00197D57"/>
    <w:rsid w:val="001A7AD8"/>
    <w:rsid w:val="001C0676"/>
    <w:rsid w:val="00242EFB"/>
    <w:rsid w:val="002433EC"/>
    <w:rsid w:val="00254F0F"/>
    <w:rsid w:val="00280126"/>
    <w:rsid w:val="00281564"/>
    <w:rsid w:val="00285B53"/>
    <w:rsid w:val="002A43CD"/>
    <w:rsid w:val="002C5703"/>
    <w:rsid w:val="002D23FB"/>
    <w:rsid w:val="002D268C"/>
    <w:rsid w:val="002F3733"/>
    <w:rsid w:val="002F44C5"/>
    <w:rsid w:val="003512A0"/>
    <w:rsid w:val="00375999"/>
    <w:rsid w:val="0039591A"/>
    <w:rsid w:val="003C4D9F"/>
    <w:rsid w:val="003C5C34"/>
    <w:rsid w:val="003E66FB"/>
    <w:rsid w:val="00422CDA"/>
    <w:rsid w:val="004307D4"/>
    <w:rsid w:val="00437ED3"/>
    <w:rsid w:val="0044345A"/>
    <w:rsid w:val="00454EEF"/>
    <w:rsid w:val="00477173"/>
    <w:rsid w:val="004819D7"/>
    <w:rsid w:val="004842F0"/>
    <w:rsid w:val="00484413"/>
    <w:rsid w:val="00493A17"/>
    <w:rsid w:val="00495463"/>
    <w:rsid w:val="004C0202"/>
    <w:rsid w:val="004C430E"/>
    <w:rsid w:val="004D0180"/>
    <w:rsid w:val="005263F6"/>
    <w:rsid w:val="005335DF"/>
    <w:rsid w:val="005417EB"/>
    <w:rsid w:val="005430EA"/>
    <w:rsid w:val="005430F3"/>
    <w:rsid w:val="00584BB4"/>
    <w:rsid w:val="005A43E3"/>
    <w:rsid w:val="005A4AFE"/>
    <w:rsid w:val="005A6174"/>
    <w:rsid w:val="005F466B"/>
    <w:rsid w:val="00607EE3"/>
    <w:rsid w:val="006131F7"/>
    <w:rsid w:val="00675757"/>
    <w:rsid w:val="00680332"/>
    <w:rsid w:val="00681364"/>
    <w:rsid w:val="0068745E"/>
    <w:rsid w:val="006B7745"/>
    <w:rsid w:val="00714CBD"/>
    <w:rsid w:val="00721EBE"/>
    <w:rsid w:val="00742AC5"/>
    <w:rsid w:val="007701F1"/>
    <w:rsid w:val="00776DEF"/>
    <w:rsid w:val="00792960"/>
    <w:rsid w:val="007A0F17"/>
    <w:rsid w:val="007E4E94"/>
    <w:rsid w:val="007F0944"/>
    <w:rsid w:val="008238DE"/>
    <w:rsid w:val="00863A4D"/>
    <w:rsid w:val="008A4085"/>
    <w:rsid w:val="008A483F"/>
    <w:rsid w:val="008B38CC"/>
    <w:rsid w:val="008B6A98"/>
    <w:rsid w:val="008C1056"/>
    <w:rsid w:val="008C2B2C"/>
    <w:rsid w:val="008F1330"/>
    <w:rsid w:val="008F3F8E"/>
    <w:rsid w:val="00900A49"/>
    <w:rsid w:val="0091337D"/>
    <w:rsid w:val="009137AD"/>
    <w:rsid w:val="009171C1"/>
    <w:rsid w:val="00920563"/>
    <w:rsid w:val="0093429F"/>
    <w:rsid w:val="009477E3"/>
    <w:rsid w:val="00962592"/>
    <w:rsid w:val="009847F6"/>
    <w:rsid w:val="009A336B"/>
    <w:rsid w:val="009C0DFA"/>
    <w:rsid w:val="009C304F"/>
    <w:rsid w:val="009C657C"/>
    <w:rsid w:val="009D0814"/>
    <w:rsid w:val="009D4514"/>
    <w:rsid w:val="009E664A"/>
    <w:rsid w:val="009F5F74"/>
    <w:rsid w:val="00A206F1"/>
    <w:rsid w:val="00A67488"/>
    <w:rsid w:val="00A8553F"/>
    <w:rsid w:val="00B0717D"/>
    <w:rsid w:val="00B0726E"/>
    <w:rsid w:val="00B57A4E"/>
    <w:rsid w:val="00B60DF4"/>
    <w:rsid w:val="00B92500"/>
    <w:rsid w:val="00BA4EA8"/>
    <w:rsid w:val="00BA4FD5"/>
    <w:rsid w:val="00BB38AC"/>
    <w:rsid w:val="00BD7178"/>
    <w:rsid w:val="00BE3D2B"/>
    <w:rsid w:val="00BE5F2C"/>
    <w:rsid w:val="00BF45D1"/>
    <w:rsid w:val="00BF50C0"/>
    <w:rsid w:val="00C21575"/>
    <w:rsid w:val="00C21F8C"/>
    <w:rsid w:val="00C302E3"/>
    <w:rsid w:val="00C30BA1"/>
    <w:rsid w:val="00C45F7D"/>
    <w:rsid w:val="00C930F7"/>
    <w:rsid w:val="00CA0400"/>
    <w:rsid w:val="00CC152D"/>
    <w:rsid w:val="00CD0091"/>
    <w:rsid w:val="00CE0F4B"/>
    <w:rsid w:val="00D0381D"/>
    <w:rsid w:val="00D05D1F"/>
    <w:rsid w:val="00D32443"/>
    <w:rsid w:val="00D33FEB"/>
    <w:rsid w:val="00D36F76"/>
    <w:rsid w:val="00D47BD3"/>
    <w:rsid w:val="00D806DB"/>
    <w:rsid w:val="00D86CAA"/>
    <w:rsid w:val="00DA0BED"/>
    <w:rsid w:val="00DC3839"/>
    <w:rsid w:val="00DC5E7D"/>
    <w:rsid w:val="00DD2AA9"/>
    <w:rsid w:val="00DE0B74"/>
    <w:rsid w:val="00DF1B76"/>
    <w:rsid w:val="00E04357"/>
    <w:rsid w:val="00E05E1A"/>
    <w:rsid w:val="00E06000"/>
    <w:rsid w:val="00E649D6"/>
    <w:rsid w:val="00EB0247"/>
    <w:rsid w:val="00EC01A5"/>
    <w:rsid w:val="00F60611"/>
    <w:rsid w:val="00F6387D"/>
    <w:rsid w:val="00F63B01"/>
    <w:rsid w:val="00F66726"/>
    <w:rsid w:val="00FA51E8"/>
    <w:rsid w:val="00FA7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9364B"/>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0D097-A368-4AE8-9494-FC5AC4218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420</TotalTime>
  <Pages>15</Pages>
  <Words>4602</Words>
  <Characters>25311</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Evaluación integral de quesos tradicionales ecuatorianos: artículo de revisión</vt:lpstr>
    </vt:vector>
  </TitlesOfParts>
  <Manager>EGREGIUS</Manager>
  <Company>EG-DYKINSON</Company>
  <LinksUpToDate>false</LinksUpToDate>
  <CharactersWithSpaces>29854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Evaluación integral de quesos tradicionales ecuatorianos: artículo de revisión</dc:title>
  <dc:subject>Asunto</dc:subject>
  <dc:creator>Bella Cecilia Crespo-Moncada;John Enrique Molina-Villamar;Katherine Natalia Chávez-Toledo</dc:creator>
  <cp:keywords>Etiqueta</cp:keywords>
  <dc:description/>
  <cp:lastModifiedBy>Bella Cecilia Crespo Moncada</cp:lastModifiedBy>
  <cp:revision>7</cp:revision>
  <dcterms:created xsi:type="dcterms:W3CDTF">2026-09-03T16:52:00Z</dcterms:created>
  <dcterms:modified xsi:type="dcterms:W3CDTF">2026-09-04T18:44:00Z</dcterms:modified>
  <cp:category>Categoria</cp:category>
  <cp:contentStatus>Estado</cp:contentStatus>
</cp:coreProperties>
</file>