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7343D" w14:textId="7CFD5255" w:rsidR="002433EC" w:rsidRPr="00943CF3" w:rsidRDefault="002433EC" w:rsidP="00943CF3">
      <w:pPr>
        <w:spacing w:before="0" w:after="160" w:line="259" w:lineRule="auto"/>
        <w:jc w:val="left"/>
        <w:rPr>
          <w:shd w:val="clear" w:color="auto" w:fill="FFFFFF"/>
        </w:rPr>
      </w:pPr>
    </w:p>
    <w:p w14:paraId="1488D26A" w14:textId="0C6D555D" w:rsidR="002A43CD" w:rsidRPr="00BE5F2C" w:rsidRDefault="002A43CD" w:rsidP="003C594E">
      <w:pPr>
        <w:pStyle w:val="Captulo"/>
        <w:rPr>
          <w:lang w:val="pt-PT" w:eastAsia="es-ES"/>
        </w:rPr>
      </w:pPr>
      <w:r w:rsidRPr="00BE5F2C">
        <w:rPr>
          <w:lang w:val="pt-PT" w:eastAsia="es-ES"/>
        </w:rPr>
        <w:t>Capítulo</w:t>
      </w:r>
      <w:r w:rsidR="002433EC" w:rsidRPr="00BE5F2C">
        <w:rPr>
          <w:lang w:val="pt-PT" w:eastAsia="es-ES"/>
        </w:rPr>
        <w:t xml:space="preserve"> </w:t>
      </w:r>
      <w:r w:rsidR="003C594E">
        <w:rPr>
          <w:lang w:val="pt-PT" w:eastAsia="es-ES"/>
        </w:rPr>
        <w:t xml:space="preserve"> </w:t>
      </w:r>
      <w:r w:rsidR="002433EC" w:rsidRPr="00BE5F2C">
        <w:rPr>
          <w:lang w:val="pt-PT" w:eastAsia="es-ES"/>
        </w:rPr>
        <w:t>(</w:t>
      </w:r>
      <w:r w:rsidR="00620A5A">
        <w:rPr>
          <w:lang w:val="pt-PT" w:eastAsia="es-ES"/>
        </w:rPr>
        <w:t>XXX</w:t>
      </w:r>
      <w:r w:rsidR="002433EC" w:rsidRPr="00BE5F2C">
        <w:rPr>
          <w:lang w:val="pt-PT" w:eastAsia="es-ES"/>
        </w:rPr>
        <w:t>)</w:t>
      </w:r>
    </w:p>
    <w:p w14:paraId="4BFA7AD9" w14:textId="4FDF67EF" w:rsidR="00943CF3" w:rsidRPr="00943CF3" w:rsidRDefault="00943CF3" w:rsidP="00506A8C">
      <w:pPr>
        <w:pStyle w:val="TtCap"/>
      </w:pPr>
      <w:r w:rsidRPr="009D764A">
        <w:t xml:space="preserve">Caracterización física y química del </w:t>
      </w:r>
      <w:r>
        <w:rPr>
          <w:i/>
          <w:caps w:val="0"/>
        </w:rPr>
        <w:t>T</w:t>
      </w:r>
      <w:r w:rsidRPr="009D764A">
        <w:rPr>
          <w:i/>
          <w:caps w:val="0"/>
        </w:rPr>
        <w:t xml:space="preserve">ropaeolum </w:t>
      </w:r>
      <w:proofErr w:type="spellStart"/>
      <w:r w:rsidRPr="009D764A">
        <w:rPr>
          <w:i/>
          <w:caps w:val="0"/>
        </w:rPr>
        <w:t>tuberosum</w:t>
      </w:r>
      <w:proofErr w:type="spellEnd"/>
      <w:r w:rsidRPr="009D764A">
        <w:rPr>
          <w:i/>
          <w:caps w:val="0"/>
        </w:rPr>
        <w:t xml:space="preserve"> </w:t>
      </w:r>
      <w:r>
        <w:rPr>
          <w:iCs/>
          <w:caps w:val="0"/>
        </w:rPr>
        <w:t xml:space="preserve">Ruiz </w:t>
      </w:r>
      <w:r w:rsidRPr="00CB504B">
        <w:rPr>
          <w:iCs/>
          <w:caps w:val="0"/>
          <w:lang w:val="es-EC"/>
        </w:rPr>
        <w:t xml:space="preserve">&amp; </w:t>
      </w:r>
      <w:r>
        <w:rPr>
          <w:iCs/>
          <w:caps w:val="0"/>
          <w:lang w:val="es-EC"/>
        </w:rPr>
        <w:t xml:space="preserve">Pavón </w:t>
      </w:r>
      <w:r w:rsidRPr="009D764A">
        <w:t>cosechado en dos provincias de la Sierra ecuatorian</w:t>
      </w:r>
      <w:r>
        <w:t>A</w:t>
      </w:r>
    </w:p>
    <w:p w14:paraId="4645F320" w14:textId="5F3C9C1F" w:rsidR="0015066B" w:rsidRPr="00943CF3" w:rsidRDefault="00943CF3" w:rsidP="0015066B">
      <w:pPr>
        <w:pStyle w:val="Autor"/>
        <w:rPr>
          <w:color w:val="auto"/>
        </w:rPr>
      </w:pPr>
      <w:r>
        <w:rPr>
          <w:color w:val="auto"/>
        </w:rPr>
        <w:t>EMA NOFRET MORENO VELOZ</w:t>
      </w:r>
    </w:p>
    <w:p w14:paraId="69FA3E26" w14:textId="486C0119" w:rsidR="0015066B" w:rsidRPr="00943CF3" w:rsidRDefault="00943CF3" w:rsidP="0015066B">
      <w:pPr>
        <w:pStyle w:val="Adscripcin"/>
        <w:rPr>
          <w:color w:val="auto"/>
        </w:rPr>
      </w:pPr>
      <w:r>
        <w:rPr>
          <w:color w:val="auto"/>
        </w:rPr>
        <w:t>Universidad Católica de Santiago de Guayaquil</w:t>
      </w:r>
    </w:p>
    <w:p w14:paraId="402F2AE6" w14:textId="5DF773BD" w:rsidR="0015066B" w:rsidRPr="00943CF3" w:rsidRDefault="00943CF3" w:rsidP="0015066B">
      <w:pPr>
        <w:pStyle w:val="Autor"/>
        <w:rPr>
          <w:color w:val="auto"/>
        </w:rPr>
      </w:pPr>
      <w:r>
        <w:rPr>
          <w:color w:val="auto"/>
        </w:rPr>
        <w:t>JORGE RUPERTO VELÁSQUEZ RIVERA</w:t>
      </w:r>
    </w:p>
    <w:p w14:paraId="45F0C8E5" w14:textId="39BA5ED8" w:rsidR="009C0DFA" w:rsidRPr="00943CF3" w:rsidRDefault="00943CF3" w:rsidP="0015066B">
      <w:pPr>
        <w:pStyle w:val="Adscripcin"/>
        <w:rPr>
          <w:color w:val="auto"/>
        </w:rPr>
      </w:pPr>
      <w:r>
        <w:rPr>
          <w:color w:val="auto"/>
        </w:rPr>
        <w:t>Universidad Católica de Santiago de Guayaquil</w:t>
      </w:r>
    </w:p>
    <w:p w14:paraId="6A02D415" w14:textId="49E3DF0D" w:rsidR="0015066B" w:rsidRDefault="0015066B" w:rsidP="0015066B">
      <w:pPr>
        <w:pStyle w:val="Adscripcin"/>
      </w:pPr>
      <w:r>
        <w:t xml:space="preserve"> </w:t>
      </w:r>
    </w:p>
    <w:p w14:paraId="2D0E2443" w14:textId="4BDE36E0" w:rsidR="00684ED8" w:rsidRPr="00684ED8" w:rsidRDefault="00721EBE" w:rsidP="008226DF">
      <w:pPr>
        <w:pStyle w:val="Heading1"/>
      </w:pPr>
      <w:r w:rsidRPr="00684ED8">
        <w:t xml:space="preserve">1. </w:t>
      </w:r>
      <w:r w:rsidR="006C50CE">
        <w:t>introducción</w:t>
      </w:r>
      <w:r w:rsidR="008E3CE9">
        <w:t xml:space="preserve"> </w:t>
      </w:r>
    </w:p>
    <w:p w14:paraId="6BE3A53D" w14:textId="214C7828" w:rsidR="006C50CE" w:rsidRDefault="00B33F6A" w:rsidP="008226DF">
      <w:pPr>
        <w:spacing w:after="0"/>
        <w:rPr>
          <w:rFonts w:cs="Times New Roman"/>
          <w:iCs/>
          <w:sz w:val="22"/>
        </w:rPr>
      </w:pPr>
      <w:r w:rsidRPr="005A6383">
        <w:rPr>
          <w:rFonts w:cs="Times New Roman"/>
          <w:sz w:val="22"/>
        </w:rPr>
        <w:t xml:space="preserve">La región andina es considerada como uno de los centros de agrobiodiversidad más relevantes a nivel global, albergando una gran variedad de especies tuberosas fundamentales en la dieta de comunidades indígenas, tales como </w:t>
      </w:r>
      <w:proofErr w:type="spellStart"/>
      <w:r w:rsidRPr="005A6383">
        <w:rPr>
          <w:rFonts w:cs="Times New Roman"/>
          <w:i/>
          <w:sz w:val="22"/>
        </w:rPr>
        <w:t>Oxalis</w:t>
      </w:r>
      <w:proofErr w:type="spellEnd"/>
      <w:r w:rsidRPr="005A6383">
        <w:rPr>
          <w:rFonts w:cs="Times New Roman"/>
          <w:i/>
          <w:sz w:val="22"/>
        </w:rPr>
        <w:t xml:space="preserve"> tuberosa</w:t>
      </w:r>
      <w:r w:rsidR="000539AB">
        <w:rPr>
          <w:rFonts w:cs="Times New Roman"/>
          <w:i/>
          <w:sz w:val="22"/>
        </w:rPr>
        <w:t xml:space="preserve"> (ibias)</w:t>
      </w:r>
      <w:r w:rsidRPr="005A6383">
        <w:rPr>
          <w:rFonts w:cs="Times New Roman"/>
          <w:sz w:val="22"/>
        </w:rPr>
        <w:t xml:space="preserve">, </w:t>
      </w:r>
      <w:proofErr w:type="spellStart"/>
      <w:r w:rsidRPr="005A6383">
        <w:rPr>
          <w:rFonts w:cs="Times New Roman"/>
          <w:i/>
          <w:sz w:val="22"/>
        </w:rPr>
        <w:t>Ullucus</w:t>
      </w:r>
      <w:proofErr w:type="spellEnd"/>
      <w:r w:rsidRPr="005A6383">
        <w:rPr>
          <w:rFonts w:cs="Times New Roman"/>
          <w:i/>
          <w:sz w:val="22"/>
        </w:rPr>
        <w:t xml:space="preserve"> </w:t>
      </w:r>
      <w:proofErr w:type="spellStart"/>
      <w:r w:rsidRPr="005A6383">
        <w:rPr>
          <w:rFonts w:cs="Times New Roman"/>
          <w:i/>
          <w:sz w:val="22"/>
        </w:rPr>
        <w:t>tuberosus</w:t>
      </w:r>
      <w:proofErr w:type="spellEnd"/>
      <w:r w:rsidR="000539AB">
        <w:rPr>
          <w:rFonts w:cs="Times New Roman"/>
          <w:i/>
          <w:sz w:val="22"/>
        </w:rPr>
        <w:t xml:space="preserve"> </w:t>
      </w:r>
      <w:r w:rsidR="000539AB" w:rsidRPr="000539AB">
        <w:rPr>
          <w:rFonts w:cs="Times New Roman"/>
          <w:iCs/>
          <w:sz w:val="22"/>
        </w:rPr>
        <w:t>(ulluco)</w:t>
      </w:r>
      <w:r w:rsidRPr="000539AB">
        <w:rPr>
          <w:rFonts w:cs="Times New Roman"/>
          <w:iCs/>
          <w:sz w:val="22"/>
        </w:rPr>
        <w:t>,</w:t>
      </w:r>
      <w:r w:rsidRPr="005A6383">
        <w:rPr>
          <w:rFonts w:cs="Times New Roman"/>
          <w:sz w:val="22"/>
        </w:rPr>
        <w:t xml:space="preserve"> </w:t>
      </w:r>
      <w:proofErr w:type="spellStart"/>
      <w:r w:rsidRPr="005A6383">
        <w:rPr>
          <w:rFonts w:cs="Times New Roman"/>
          <w:i/>
          <w:sz w:val="22"/>
        </w:rPr>
        <w:t>Solanum</w:t>
      </w:r>
      <w:proofErr w:type="spellEnd"/>
      <w:r w:rsidRPr="005A6383">
        <w:rPr>
          <w:rFonts w:cs="Times New Roman"/>
          <w:i/>
          <w:sz w:val="22"/>
        </w:rPr>
        <w:t xml:space="preserve"> </w:t>
      </w:r>
      <w:proofErr w:type="spellStart"/>
      <w:r w:rsidRPr="005A6383">
        <w:rPr>
          <w:rFonts w:cs="Times New Roman"/>
          <w:i/>
          <w:sz w:val="22"/>
        </w:rPr>
        <w:t>tuberosum</w:t>
      </w:r>
      <w:proofErr w:type="spellEnd"/>
      <w:r w:rsidR="000539AB">
        <w:rPr>
          <w:rFonts w:cs="Times New Roman"/>
          <w:i/>
          <w:sz w:val="22"/>
        </w:rPr>
        <w:t xml:space="preserve"> </w:t>
      </w:r>
      <w:r w:rsidR="000539AB" w:rsidRPr="000539AB">
        <w:rPr>
          <w:rFonts w:cs="Times New Roman"/>
          <w:iCs/>
          <w:sz w:val="22"/>
        </w:rPr>
        <w:t>(papa)</w:t>
      </w:r>
      <w:r w:rsidRPr="005A6383">
        <w:rPr>
          <w:rFonts w:cs="Times New Roman"/>
          <w:sz w:val="22"/>
        </w:rPr>
        <w:t xml:space="preserve"> y </w:t>
      </w:r>
      <w:r w:rsidRPr="005A6383">
        <w:rPr>
          <w:rFonts w:cs="Times New Roman"/>
          <w:i/>
          <w:sz w:val="22"/>
        </w:rPr>
        <w:t xml:space="preserve">Tropaeolum </w:t>
      </w:r>
      <w:proofErr w:type="spellStart"/>
      <w:r w:rsidRPr="005A6383">
        <w:rPr>
          <w:rFonts w:cs="Times New Roman"/>
          <w:i/>
          <w:sz w:val="22"/>
        </w:rPr>
        <w:t>tuberosum</w:t>
      </w:r>
      <w:proofErr w:type="spellEnd"/>
      <w:r w:rsidR="000539AB">
        <w:rPr>
          <w:rFonts w:cs="Times New Roman"/>
          <w:i/>
          <w:sz w:val="22"/>
        </w:rPr>
        <w:t xml:space="preserve"> </w:t>
      </w:r>
      <w:r w:rsidR="000539AB" w:rsidRPr="000539AB">
        <w:rPr>
          <w:rFonts w:cs="Times New Roman"/>
          <w:iCs/>
          <w:sz w:val="22"/>
        </w:rPr>
        <w:t>(</w:t>
      </w:r>
      <w:proofErr w:type="spellStart"/>
      <w:r w:rsidR="000539AB" w:rsidRPr="000539AB">
        <w:rPr>
          <w:rFonts w:cs="Times New Roman"/>
          <w:iCs/>
          <w:sz w:val="22"/>
        </w:rPr>
        <w:t>mashua</w:t>
      </w:r>
      <w:proofErr w:type="spellEnd"/>
      <w:r w:rsidR="000539AB" w:rsidRPr="000539AB">
        <w:rPr>
          <w:rFonts w:cs="Times New Roman"/>
          <w:iCs/>
          <w:sz w:val="22"/>
        </w:rPr>
        <w:t xml:space="preserve"> o cubio)</w:t>
      </w:r>
      <w:r w:rsidR="00AD07C3">
        <w:rPr>
          <w:rFonts w:cs="Times New Roman"/>
          <w:iCs/>
          <w:sz w:val="22"/>
        </w:rPr>
        <w:t xml:space="preserve"> </w:t>
      </w:r>
      <w:r w:rsidR="006C50CE">
        <w:rPr>
          <w:rFonts w:cs="Times New Roman"/>
          <w:iCs/>
          <w:sz w:val="22"/>
        </w:rPr>
        <w:fldChar w:fldCharType="begin"/>
      </w:r>
      <w:r w:rsidR="006C50CE">
        <w:rPr>
          <w:rFonts w:cs="Times New Roman"/>
          <w:iCs/>
          <w:sz w:val="22"/>
        </w:rPr>
        <w:instrText xml:space="preserve"> ADDIN ZOTERO_ITEM CSL_CITATION {"citationID":"JlHt02VN","properties":{"formattedCitation":"(Acurio Arcos, 2025; Malice et\\uc0\\u160{}al., 2010)","plainCitation":"(Acurio Arcos, 2025; Malice et al., 2010)","noteIndex":0},"citationItems":[{"id":311,"uris":["http://zotero.org/users/5236988/items/BSB49J26"],"itemData":{"id":311,"type":"article-journal","note":"publisher: Universitat Politècnica de València","source":"Google Scholar","title":"Valorización de cultivos andinos autóctonos mediante el desarrollo de alimentos de alto valor nutritivo, funcional y sensorial","URL":"https://riunet.upv.es/entities/publication/f2ee9142-c970-4d3f-88f9-5626fbdf0270","author":[{"family":"Acurio Arcos","given":"Liliana Patricia"}],"accessed":{"date-parts":[["2026",9,4]]},"issued":{"date-parts":[["2025"]]}}},{"id":75,"uris":["http://zotero.org/users/5236988/items/GBGJ2DX6"],"itemData":{"id":75,"type":"article-journal","abstract":"Andean tuber crop species oca (Oxalis tuberosa Molina), ulluco (Ullucus tuberosus Caldas), and mashua (Tropaeolum tuberosum Ruiz &amp; Pav.) play major roles in Andean communities. These species show high variability but are threatened with genetic erosion. To study the management of genetic resources of neglected vegetatively propagated crop species, we studied genetic diversity and structure of these species in an in situ diversity microcenter (Huanuco, Peru). A sample of 15 varieties of oca, 15 of ulluco, and 26 of mashua was analyzed with the inter simple sequence repeats (ISSR) molecular markers. Mean genetic distances and global genetic diversities were high for the three species, with higher values for mashua than for oca and ulluco. Assignment technique divided both oca and ulluco samples into two genetic clusters; the mashua sample probably belongs to a single genetic cluster. Inter simple sequence repeats (ISSR) technique showed intravarietal genetic variability for most varieties, suggesting an underestimation of the in situ genetic variability. These results are discussed considering how variation in breeding systems and farmers’ practice influenced patterns of genetic diversity. Our findings confirm the hypothesis of a considerable amount of variability found in neglected Andean tubers and are essential to deserve adequate conservation strategies and to maintain genetic resources of neglected Andean tuber crop species under a threat of genetic erosion.","container-title":"Crop Science","DOI":"10.2135/cropsci2009.09.0476","ISSN":"0011-183X, 1435-0653","issue":"5","journalAbbreviation":"Crop Science","language":"en","page":"1915-1923","source":"DOI.org (Crossref)","title":"Genetic Diversity of Andean Tuber Crop Species in the in situ Microcenter of Huanuco, Peru","volume":"50","author":[{"family":"Malice","given":"M."},{"family":"Bizoux","given":"J. P."},{"family":"Blas","given":"R."},{"family":"Baudoin","given":"J. P."}],"issued":{"date-parts":[["2010",9]]}}}],"schema":"https://github.com/citation-style-language/schema/raw/master/csl-citation.json"} </w:instrText>
      </w:r>
      <w:r w:rsidR="006C50CE">
        <w:rPr>
          <w:rFonts w:cs="Times New Roman"/>
          <w:iCs/>
          <w:sz w:val="22"/>
        </w:rPr>
        <w:fldChar w:fldCharType="separate"/>
      </w:r>
      <w:r w:rsidR="006C50CE" w:rsidRPr="006C50CE">
        <w:rPr>
          <w:rFonts w:cs="Times New Roman"/>
          <w:sz w:val="22"/>
        </w:rPr>
        <w:t>(Acurio Arcos, 2025; Malice et al., 2010)</w:t>
      </w:r>
      <w:r w:rsidR="006C50CE">
        <w:rPr>
          <w:rFonts w:cs="Times New Roman"/>
          <w:iCs/>
          <w:sz w:val="22"/>
        </w:rPr>
        <w:fldChar w:fldCharType="end"/>
      </w:r>
      <w:r w:rsidR="006C50CE">
        <w:rPr>
          <w:rFonts w:cs="Times New Roman"/>
          <w:iCs/>
          <w:sz w:val="22"/>
        </w:rPr>
        <w:t>.</w:t>
      </w:r>
    </w:p>
    <w:p w14:paraId="2C0E33FD" w14:textId="4DC9A79E" w:rsidR="00141955" w:rsidRDefault="00821D78" w:rsidP="008226DF">
      <w:pPr>
        <w:spacing w:after="0"/>
        <w:rPr>
          <w:rFonts w:cs="Times New Roman"/>
          <w:iCs/>
          <w:sz w:val="22"/>
          <w:lang w:val="es-EC"/>
        </w:rPr>
      </w:pPr>
      <w:r>
        <w:rPr>
          <w:rFonts w:cs="Times New Roman"/>
          <w:iCs/>
          <w:sz w:val="22"/>
        </w:rPr>
        <w:t xml:space="preserve">La </w:t>
      </w:r>
      <w:proofErr w:type="spellStart"/>
      <w:r>
        <w:rPr>
          <w:rFonts w:cs="Times New Roman"/>
          <w:iCs/>
          <w:sz w:val="22"/>
        </w:rPr>
        <w:t>mashua</w:t>
      </w:r>
      <w:proofErr w:type="spellEnd"/>
      <w:r>
        <w:rPr>
          <w:rFonts w:cs="Times New Roman"/>
          <w:iCs/>
          <w:sz w:val="22"/>
        </w:rPr>
        <w:t xml:space="preserve"> constituye una de las raíces y tubérculos andinos de mayor relevancia histórica, social y </w:t>
      </w:r>
      <w:proofErr w:type="spellStart"/>
      <w:r>
        <w:rPr>
          <w:rFonts w:cs="Times New Roman"/>
          <w:iCs/>
          <w:sz w:val="22"/>
        </w:rPr>
        <w:t>agrodiversa</w:t>
      </w:r>
      <w:proofErr w:type="spellEnd"/>
      <w:r>
        <w:rPr>
          <w:rFonts w:cs="Times New Roman"/>
          <w:iCs/>
          <w:sz w:val="22"/>
        </w:rPr>
        <w:t xml:space="preserve"> de la región interandina de América del Sur. Este cultivo se lo encuentra </w:t>
      </w:r>
      <w:r w:rsidR="006C50CE">
        <w:rPr>
          <w:rFonts w:cs="Times New Roman"/>
          <w:iCs/>
          <w:sz w:val="22"/>
        </w:rPr>
        <w:t xml:space="preserve">entre los </w:t>
      </w:r>
      <w:r>
        <w:rPr>
          <w:rFonts w:cs="Times New Roman"/>
          <w:iCs/>
          <w:sz w:val="22"/>
        </w:rPr>
        <w:t xml:space="preserve">2 500 y 4 100 </w:t>
      </w:r>
      <w:proofErr w:type="spellStart"/>
      <w:r>
        <w:rPr>
          <w:rFonts w:cs="Times New Roman"/>
          <w:iCs/>
          <w:sz w:val="22"/>
        </w:rPr>
        <w:t>m.s.n.m</w:t>
      </w:r>
      <w:proofErr w:type="spellEnd"/>
      <w:r>
        <w:rPr>
          <w:rFonts w:cs="Times New Roman"/>
          <w:iCs/>
          <w:sz w:val="22"/>
        </w:rPr>
        <w:t xml:space="preserve"> y ha desempeñado históricamente un rol fundamental en la seguridad alimentaria y en la medicina tradicional de las poblaciones rurales de Ecuador, Perú y Bolivia</w:t>
      </w:r>
      <w:r w:rsidR="00C466C9">
        <w:rPr>
          <w:rFonts w:cs="Times New Roman"/>
          <w:iCs/>
          <w:sz w:val="22"/>
        </w:rPr>
        <w:t xml:space="preserve"> </w:t>
      </w:r>
      <w:r w:rsidR="009C3299">
        <w:rPr>
          <w:rFonts w:cs="Times New Roman"/>
          <w:iCs/>
          <w:sz w:val="22"/>
        </w:rPr>
        <w:fldChar w:fldCharType="begin"/>
      </w:r>
      <w:r w:rsidR="009C3299">
        <w:rPr>
          <w:rFonts w:cs="Times New Roman"/>
          <w:iCs/>
          <w:sz w:val="22"/>
        </w:rPr>
        <w:instrText xml:space="preserve"> ADDIN ZOTERO_ITEM CSL_CITATION {"citationID":"K8zHV2nq","properties":{"formattedCitation":"(Arteaga-Cano et\\uc0\\u160{}al., 2022; Chirinos et\\uc0\\u160{}al., 2007)","plainCitation":"(Arteaga-Cano et al., 2022; Chirinos et al., 2007)","noteIndex":0},"citationItems":[{"id":305,"uris":["http://zotero.org/users/5236988/items/B8HC8SDU"],"itemData":{"id":305,"type":"article-journal","abstract":"Mashua is a tuber of high Andean origin like potatoes and goose, they come in a wide variety of colors (cream, yellow, black, purple, white, pink), and they have a large amount of carbohydrates, proteins, vitamins and a high nutritional value that includes phosphorus, iron and calcium. Its consumption can be given in different ways, it can be said that it needs to be in the sun, such as sweet potatoes to obtain a more pleasant flavor. Its antioxidant capacity lies in its anthocyanin content, which has a higher content in the purple mashua species, it is very good for those who suffer from cardiovascular problems due to its content in vitamins of complex C and E, on the other hand, mashua helps to improve visual acuity, help fight anemia and eliminate kidney stones, it is also well known for its anticancer capacity. The objective of this work was to gather information on the nutritional value, the bioactive compounds, and the beneficial properties of Peruvian mashua from the point of view of health, it is also advisable to continue studying and researching its great antioxidant power.","container-title":"Agroindustrial Science","DOI":"10.17268/agroind.sci.2022.01.12","ISSN":"2226-2989","issue":"1","language":"es","license":"Derechos de autor 2022 Diego  Arteaga-Cano, Luis  Chacón-Calvo, Víctor  Samamé-Herrera, Darlyn  Valverde-Cerna, Luz María  Paucar-Menacho","page":"95-101","source":"revistas.unitru.edu.pe","title":"Mashua (tropaeolum tuberosum): Composición nutricional, características químicas, compuestos bioactivos y propiedades beneficiosas para la salud","title-short":"Mashua (tropaeolum tuberosum)","volume":"12","author":[{"family":"Arteaga-Cano","given":"Diego"},{"family":"Chacón-Calvo","given":"Luis"},{"family":"Samamé-Herrera","given":"Víctor"},{"family":"Valverde-Cerna","given":"Darlyn"},{"family":"Paucar-Menacho","given":"Luz María"}],"issued":{"date-parts":[["2022",4,5]]}}},{"id":39,"uris":["http://zotero.org/users/5236988/items/HYAPHMY9"],"itemData":{"id":39,"type":"article-journal","abstract":"Optimal conditions for the extraction of phenolic compounds, anthocyanins, flavanols and ORAC antioxidant activity for two mashua genotypes were determined using the conventional liquid–solid method. Phenolic contents and antioxidant activity were affected by the type of solvent, pH level, solvent–water ratio and extraction time. In general, no significant differences in total phenolic recovery and ORAC values were observed when 90% methanol or methanol/acetone/water (45/45/10), both with 0.1% HCl, were used. By contrast, the 90% methanol solution with 0.1% HCl extracted the highest level of anthocyanins, whereas the solvent mixture extracted the highest level of flavanols. The purified extracts from the mashua genotypes presented total phenolics and ORAC contents within the ranges 14.4–18.7mg gallic acid equivalents/g mashua dry matter (DM) and 221–359μmol of trolox equivalents/g mashua DM, respectively. The HPLC-DAD phenolic profiles obtained for the purified phenolic extracts for both mashua genotypes showed differences in proportions (% total area at 280 and 520nm) depending on the solvents selected in this study. The high content of phenolic compounds and antioxidant activity found in the purified extracts for both mashua genotypes indicated that mashua extracts might be considered as a potential source of nutraceuticals in the future.","container-title":"Separation and Purification Technology","DOI":"10.1016/j.seppur.2006.12.005","ISSN":"1383-5866","issue":"2","journalAbbreviation":"Separation and Purification Technology","language":"en","note":"number: 2","page":"217-225","source":"ScienceDirect","title":"Optimization of extraction conditions of antioxidant phenolic compounds from mashua (Tropaeolum tuberosum Ruíz &amp; Pavón) tubers","volume":"55","author":[{"family":"Chirinos","given":"Rosana"},{"family":"Rogez","given":"Hervé"},{"family":"Campos","given":"David"},{"family":"Pedreschi","given":"Romina"},{"family":"Larondelle","given":"Yvan"}],"issued":{"date-parts":[["2007",6,15]]}}}],"schema":"https://github.com/citation-style-language/schema/raw/master/csl-citation.json"} </w:instrText>
      </w:r>
      <w:r w:rsidR="009C3299">
        <w:rPr>
          <w:rFonts w:cs="Times New Roman"/>
          <w:iCs/>
          <w:sz w:val="22"/>
        </w:rPr>
        <w:fldChar w:fldCharType="separate"/>
      </w:r>
      <w:r w:rsidR="009C3299" w:rsidRPr="009C3299">
        <w:rPr>
          <w:rFonts w:cs="Times New Roman"/>
          <w:sz w:val="22"/>
        </w:rPr>
        <w:t>(Arteaga-Cano et al., 2022; Chirinos et al., 2007)</w:t>
      </w:r>
      <w:r w:rsidR="009C3299">
        <w:rPr>
          <w:rFonts w:cs="Times New Roman"/>
          <w:iCs/>
          <w:sz w:val="22"/>
        </w:rPr>
        <w:fldChar w:fldCharType="end"/>
      </w:r>
      <w:r w:rsidR="00527AFA">
        <w:rPr>
          <w:rFonts w:cs="Times New Roman"/>
          <w:iCs/>
          <w:sz w:val="22"/>
          <w:lang w:val="es-EC"/>
        </w:rPr>
        <w:t>.</w:t>
      </w:r>
    </w:p>
    <w:p w14:paraId="1339D43E" w14:textId="1B11F2BF" w:rsidR="00393FE7" w:rsidRPr="0020734C" w:rsidRDefault="00527AFA" w:rsidP="008226DF">
      <w:pPr>
        <w:spacing w:after="0"/>
        <w:rPr>
          <w:rFonts w:cs="Times New Roman"/>
          <w:iCs/>
          <w:sz w:val="22"/>
          <w:lang w:val="es-EC"/>
        </w:rPr>
      </w:pPr>
      <w:r>
        <w:rPr>
          <w:rFonts w:cs="Times New Roman"/>
          <w:iCs/>
          <w:sz w:val="22"/>
          <w:lang w:val="es-EC"/>
        </w:rPr>
        <w:t xml:space="preserve">La Sierra ecuatoriana alberga una notable variabilidad genética de </w:t>
      </w:r>
      <w:proofErr w:type="spellStart"/>
      <w:r>
        <w:rPr>
          <w:rFonts w:cs="Times New Roman"/>
          <w:iCs/>
          <w:sz w:val="22"/>
          <w:lang w:val="es-EC"/>
        </w:rPr>
        <w:t>mashua</w:t>
      </w:r>
      <w:proofErr w:type="spellEnd"/>
      <w:r>
        <w:rPr>
          <w:rFonts w:cs="Times New Roman"/>
          <w:iCs/>
          <w:sz w:val="22"/>
          <w:lang w:val="es-EC"/>
        </w:rPr>
        <w:t>, la cual se conserva de forma empírica mediante sistemas de agricultura familiar y agroecológica</w:t>
      </w:r>
      <w:r w:rsidR="006C50CE">
        <w:rPr>
          <w:rFonts w:cs="Times New Roman"/>
          <w:iCs/>
          <w:sz w:val="22"/>
          <w:lang w:val="es-EC"/>
        </w:rPr>
        <w:t xml:space="preserve">. Sin embargo, en la actualidad es </w:t>
      </w:r>
      <w:r w:rsidR="0068583E">
        <w:rPr>
          <w:rFonts w:cs="Times New Roman"/>
          <w:iCs/>
          <w:sz w:val="22"/>
          <w:lang w:val="es-EC"/>
        </w:rPr>
        <w:t>considerad</w:t>
      </w:r>
      <w:r w:rsidR="006C50CE">
        <w:rPr>
          <w:rFonts w:cs="Times New Roman"/>
          <w:iCs/>
          <w:sz w:val="22"/>
          <w:lang w:val="es-EC"/>
        </w:rPr>
        <w:t xml:space="preserve">a </w:t>
      </w:r>
      <w:r w:rsidR="0068583E">
        <w:rPr>
          <w:rFonts w:cs="Times New Roman"/>
          <w:iCs/>
          <w:sz w:val="22"/>
          <w:lang w:val="es-EC"/>
        </w:rPr>
        <w:t>un cultivo subutilizado y desplazad</w:t>
      </w:r>
      <w:r w:rsidR="006C50CE">
        <w:rPr>
          <w:rFonts w:cs="Times New Roman"/>
          <w:iCs/>
          <w:sz w:val="22"/>
          <w:lang w:val="es-EC"/>
        </w:rPr>
        <w:t>o</w:t>
      </w:r>
      <w:r w:rsidR="0068583E">
        <w:rPr>
          <w:rFonts w:cs="Times New Roman"/>
          <w:iCs/>
          <w:sz w:val="22"/>
          <w:lang w:val="es-EC"/>
        </w:rPr>
        <w:t xml:space="preserve"> por cultivos comerciales convencionales </w:t>
      </w:r>
      <w:r w:rsidR="000A7D8D">
        <w:rPr>
          <w:rFonts w:cs="Times New Roman"/>
          <w:iCs/>
          <w:sz w:val="22"/>
          <w:lang w:val="es-EC"/>
        </w:rPr>
        <w:fldChar w:fldCharType="begin"/>
      </w:r>
      <w:r w:rsidR="000A7D8D">
        <w:rPr>
          <w:rFonts w:cs="Times New Roman"/>
          <w:iCs/>
          <w:sz w:val="22"/>
          <w:lang w:val="es-EC"/>
        </w:rPr>
        <w:instrText xml:space="preserve"> ADDIN ZOTERO_ITEM CSL_CITATION {"citationID":"sUUSoeMP","properties":{"formattedCitation":"(Luera-Qui\\uc0\\u241{}ones et\\uc0\\u160{}al., 2025)","plainCitation":"(Luera-Quiñones et al., 2025)","noteIndex":0},"citationItems":[{"id":308,"uris":["http://zotero.org/users/5236988/items/5L5FNG7N"],"itemData":{"id":308,"type":"article-journal","abstract":"Mashua (Tropaeolum tuberosum), an underutilized Andean tuber, has gained increasing scientific interest due to its exceptional nutritional composition and high bioactive phytochemical content. This narrative review synthesizes evidence from 68 peer-reviewed studies published up to August 2025, obtained through searches in Scopus and Web of Science, examining its macro- and micronutrient profile, richness in starch, proteins, and vitamin C, and diverse bioactive compounds, including glucosinolates, anthocyanins, and flavonoids. These metabolites exhibit strong antioxidant, anti-inflammatory, anticancer, and cardioprotective activities, with the highest concentrations being observed in purple and black morphotypes. Recent studies demonstrated that incorporating mashua into bakery, extruded, and fermented food formulations enhanced nutritional value and oxidative stability. Overall, mashua represents a promising natural ingredient for functional foods and nutritional applications. Further research is required to optimize processing conditions, improve the stability and bioavailability of its active compounds, and validate its health-promoting effects.","container-title":"Foods","DOI":"10.3390/foods14244198","ISSN":"2304-8158","issue":"24","language":"en","license":"http://creativecommons.org/licenses/by/3.0/","note":"publisher: Multidisciplinary Digital Publishing Institute","page":"4198","source":"www.mdpi.com","title":"Mashua (Tropaeolum tuberosum Ruiz &amp; Pavón): Nutritional Composition, Bioactive Compounds, and Functional Potential as an Andean Natural Ingredient","title-short":"Mashua (Tropaeolum tuberosum Ruiz &amp; Pavón)","volume":"14","author":[{"family":"Luera-Quiñones","given":"Suny"},{"family":"Correa","given":"María Jimena"},{"family":"Moreno-Rojo","given":"Cesar"},{"family":"Salvador-Reyes","given":"Rebeca"},{"family":"Paucar-Menacho","given":"Luz María"}],"issued":{"date-parts":[["2025",1]]}}}],"schema":"https://github.com/citation-style-language/schema/raw/master/csl-citation.json"} </w:instrText>
      </w:r>
      <w:r w:rsidR="000A7D8D">
        <w:rPr>
          <w:rFonts w:cs="Times New Roman"/>
          <w:iCs/>
          <w:sz w:val="22"/>
          <w:lang w:val="es-EC"/>
        </w:rPr>
        <w:fldChar w:fldCharType="separate"/>
      </w:r>
      <w:r w:rsidR="000A7D8D" w:rsidRPr="000A7D8D">
        <w:rPr>
          <w:rFonts w:cs="Times New Roman"/>
          <w:sz w:val="22"/>
        </w:rPr>
        <w:t>(Luera-Quiñones et al., 2025)</w:t>
      </w:r>
      <w:r w:rsidR="000A7D8D">
        <w:rPr>
          <w:rFonts w:cs="Times New Roman"/>
          <w:iCs/>
          <w:sz w:val="22"/>
          <w:lang w:val="es-EC"/>
        </w:rPr>
        <w:fldChar w:fldCharType="end"/>
      </w:r>
      <w:r w:rsidR="000A7D8D">
        <w:rPr>
          <w:rFonts w:cs="Times New Roman"/>
          <w:iCs/>
          <w:sz w:val="22"/>
          <w:lang w:val="es-EC"/>
        </w:rPr>
        <w:t>.</w:t>
      </w:r>
      <w:r>
        <w:rPr>
          <w:rFonts w:cs="Times New Roman"/>
          <w:iCs/>
          <w:sz w:val="22"/>
          <w:lang w:val="es-EC"/>
        </w:rPr>
        <w:t xml:space="preserve"> </w:t>
      </w:r>
      <w:r w:rsidR="00E57A01">
        <w:rPr>
          <w:rFonts w:cs="Times New Roman"/>
          <w:iCs/>
          <w:sz w:val="22"/>
          <w:lang w:val="es-EC"/>
        </w:rPr>
        <w:t xml:space="preserve">No obstante, cada vez crece el interés por la investigación nutricional y funcional de la </w:t>
      </w:r>
      <w:proofErr w:type="spellStart"/>
      <w:r w:rsidR="00E57A01">
        <w:rPr>
          <w:rFonts w:cs="Times New Roman"/>
          <w:iCs/>
          <w:sz w:val="22"/>
          <w:lang w:val="es-EC"/>
        </w:rPr>
        <w:t>mashua</w:t>
      </w:r>
      <w:proofErr w:type="spellEnd"/>
      <w:r w:rsidR="00E57A01">
        <w:rPr>
          <w:rFonts w:cs="Times New Roman"/>
          <w:iCs/>
          <w:sz w:val="22"/>
          <w:lang w:val="es-EC"/>
        </w:rPr>
        <w:t xml:space="preserve"> debido a la caracterización de sus macronutrientes, micronutrientes y fitoquímicos con bioactividad demostrada </w:t>
      </w:r>
      <w:r w:rsidR="00E57A01">
        <w:rPr>
          <w:rFonts w:cs="Times New Roman"/>
          <w:iCs/>
          <w:sz w:val="22"/>
          <w:lang w:val="es-EC"/>
        </w:rPr>
        <w:fldChar w:fldCharType="begin"/>
      </w:r>
      <w:r w:rsidR="00E57A01">
        <w:rPr>
          <w:rFonts w:cs="Times New Roman"/>
          <w:iCs/>
          <w:sz w:val="22"/>
          <w:lang w:val="es-EC"/>
        </w:rPr>
        <w:instrText xml:space="preserve"> ADDIN ZOTERO_ITEM CSL_CITATION {"citationID":"mumj88LZ","properties":{"formattedCitation":"(Malpartidas Yapias et\\uc0\\u160{}al., 2022)","plainCitation":"(Malpartidas Yapias et al., 2022)","noteIndex":0},"citationItems":[{"id":84,"uris":["http://zotero.org/users/5236988/items/SQ42UU2E"],"itemData":{"id":84,"type":"article-journal","container-title":"Revista Tecnológica-ESPOL","DOI":"https://doi.org/10.37815/rte.v34n2.891","issue":"2","page":"41–51","source":"Google Scholar","title":"Características fisicoquímicas, composición nutricional y compuestos bioactivos en tres variedades de Mashua (Tropaeolum tuberosum Ruiz y Pavón): Una revisión","title-short":"Características fisicoquímicas, composición nutricional y compuestos bioactivos en tres variedades de Mashua (Tropaeolum tuberosum Ruiz y Pavón)","volume":"34","author":[{"family":"Malpartidas Yapias","given":"Rafael Julian"},{"family":"Adama Astete","given":"Jhuliana Milagros"},{"family":"Cajachagua Uscuchagua","given":"Yamely Yeraldine"},{"family":"Rosales Sánchez","given":"María Cristina"}],"issued":{"date-parts":[["2022"]]}}}],"schema":"https://github.com/citation-style-language/schema/raw/master/csl-citation.json"} </w:instrText>
      </w:r>
      <w:r w:rsidR="00E57A01">
        <w:rPr>
          <w:rFonts w:cs="Times New Roman"/>
          <w:iCs/>
          <w:sz w:val="22"/>
          <w:lang w:val="es-EC"/>
        </w:rPr>
        <w:fldChar w:fldCharType="separate"/>
      </w:r>
      <w:r w:rsidR="00E57A01" w:rsidRPr="00E57A01">
        <w:rPr>
          <w:rFonts w:cs="Times New Roman"/>
          <w:sz w:val="22"/>
        </w:rPr>
        <w:t>(Malpartidas Yapias et al., 2022)</w:t>
      </w:r>
      <w:r w:rsidR="00E57A01">
        <w:rPr>
          <w:rFonts w:cs="Times New Roman"/>
          <w:iCs/>
          <w:sz w:val="22"/>
          <w:lang w:val="es-EC"/>
        </w:rPr>
        <w:fldChar w:fldCharType="end"/>
      </w:r>
      <w:r w:rsidR="00E57A01">
        <w:rPr>
          <w:rFonts w:cs="Times New Roman"/>
          <w:iCs/>
          <w:sz w:val="22"/>
          <w:lang w:val="es-EC"/>
        </w:rPr>
        <w:t>.</w:t>
      </w:r>
    </w:p>
    <w:p w14:paraId="75A737BF" w14:textId="2E09E79A" w:rsidR="00393FE7" w:rsidRPr="00393FE7" w:rsidRDefault="00393FE7">
      <w:pPr>
        <w:pStyle w:val="Heading2"/>
        <w:numPr>
          <w:ilvl w:val="1"/>
          <w:numId w:val="5"/>
        </w:numPr>
        <w:rPr>
          <w:color w:val="FF0000"/>
        </w:rPr>
      </w:pPr>
      <w:r>
        <w:lastRenderedPageBreak/>
        <w:t>Morfología, ecotipos y biodiversidad fenotípica</w:t>
      </w:r>
    </w:p>
    <w:p w14:paraId="0C703ADC" w14:textId="785BB002" w:rsidR="00C8134E" w:rsidRDefault="0015066B" w:rsidP="008226DF">
      <w:pPr>
        <w:rPr>
          <w:rFonts w:cs="Arial"/>
          <w:szCs w:val="24"/>
        </w:rPr>
      </w:pPr>
      <w:r>
        <w:t xml:space="preserve">El </w:t>
      </w:r>
      <w:r w:rsidR="005C370C">
        <w:t xml:space="preserve">género </w:t>
      </w:r>
      <w:r w:rsidR="005C370C" w:rsidRPr="005C370C">
        <w:rPr>
          <w:i/>
          <w:iCs/>
        </w:rPr>
        <w:t>Tropaeolum</w:t>
      </w:r>
      <w:r w:rsidR="005C370C">
        <w:t xml:space="preserve">, corresponde a la familia </w:t>
      </w:r>
      <w:proofErr w:type="spellStart"/>
      <w:r w:rsidR="005C370C" w:rsidRPr="005C370C">
        <w:rPr>
          <w:i/>
          <w:iCs/>
        </w:rPr>
        <w:t>Tropaeolaceae</w:t>
      </w:r>
      <w:proofErr w:type="spellEnd"/>
      <w:r w:rsidR="005C370C">
        <w:t xml:space="preserve">, abarca plantas herbáceas perennes de tipo rastrero o trepador, caracterizadas por tener hojas peltadas y flores que varían del amarillo al rojo intenso. La parte comestible de la </w:t>
      </w:r>
      <w:proofErr w:type="spellStart"/>
      <w:r w:rsidR="005C370C">
        <w:t>mashua</w:t>
      </w:r>
      <w:proofErr w:type="spellEnd"/>
      <w:r w:rsidR="005C370C">
        <w:t xml:space="preserve"> corresponde al tubérculo, desarrollados en los extremos de los estolones con una morfología predominantemente cónica</w:t>
      </w:r>
      <w:r w:rsidR="006C50CE">
        <w:t xml:space="preserve"> </w:t>
      </w:r>
      <w:r w:rsidR="006D5B87">
        <w:fldChar w:fldCharType="begin"/>
      </w:r>
      <w:r w:rsidR="006D5B87">
        <w:instrText xml:space="preserve"> ADDIN ZOTERO_ITEM CSL_CITATION {"citationID":"ENMOAVAs","properties":{"formattedCitation":"(Ben\\uc0\\u237{}tez Santill\\uc0\\u225{}n et\\uc0\\u160{}al., 2016)","plainCitation":"(Benítez Santillán et al., 2016)","noteIndex":0},"citationItems":[{"id":21,"uris":["http://zotero.org/users/5236988/items/I3KTG2XJ"],"itemData":{"id":21,"type":"article-journal","container-title":"Rev. Esp. Nutr. Comunitaria","DOI":"10.14642/RENC.2016.22.4.5155","issue":"4","note":"number: 4","page":"0–0","source":"Google Scholar","title":"Propiedades funcionales de tubérculos nativos de la región andina de Chimborazo (Ecuador): una revisión","title-short":"Propiedades funcionales de tubérculos nativos de la región andina de Chimborazo (Ecuador)","volume":"22","author":[{"family":"Benítez Santillán","given":"Lourdes"},{"family":"Pagán Moreno","given":"MJ"},{"family":"Martínez-Monzó","given":"J."},{"family":"García-Segovia","given":"Purificación"}],"issued":{"date-parts":[["2016"]]}}}],"schema":"https://github.com/citation-style-language/schema/raw/master/csl-citation.json"} </w:instrText>
      </w:r>
      <w:r w:rsidR="006D5B87">
        <w:fldChar w:fldCharType="separate"/>
      </w:r>
      <w:r w:rsidR="006D5B87" w:rsidRPr="006D5B87">
        <w:rPr>
          <w:rFonts w:cs="Times New Roman"/>
        </w:rPr>
        <w:t>(Benítez Santillán et al., 2016)</w:t>
      </w:r>
      <w:r w:rsidR="006D5B87">
        <w:fldChar w:fldCharType="end"/>
      </w:r>
      <w:r w:rsidR="00C8134E">
        <w:t xml:space="preserve">. </w:t>
      </w:r>
      <w:r w:rsidR="00C8134E" w:rsidRPr="002901F9">
        <w:rPr>
          <w:rFonts w:cs="Arial"/>
          <w:szCs w:val="24"/>
        </w:rPr>
        <w:t xml:space="preserve">En Ecuador existen aproximadamente 100 variedades de </w:t>
      </w:r>
      <w:proofErr w:type="spellStart"/>
      <w:r w:rsidR="00C8134E" w:rsidRPr="002901F9">
        <w:rPr>
          <w:rFonts w:cs="Arial"/>
          <w:szCs w:val="24"/>
        </w:rPr>
        <w:t>mashua</w:t>
      </w:r>
      <w:proofErr w:type="spellEnd"/>
      <w:r w:rsidR="00C8134E" w:rsidRPr="002901F9">
        <w:rPr>
          <w:rFonts w:cs="Arial"/>
          <w:szCs w:val="24"/>
        </w:rPr>
        <w:t xml:space="preserve"> y en el Centro Internacional de la Papa en Lima, Perú, se conservan 113 agrupamientos morfológicos (</w:t>
      </w:r>
      <w:proofErr w:type="spellStart"/>
      <w:r w:rsidR="00C8134E" w:rsidRPr="002901F9">
        <w:rPr>
          <w:rFonts w:cs="Arial"/>
          <w:szCs w:val="24"/>
        </w:rPr>
        <w:t>morfotipos</w:t>
      </w:r>
      <w:proofErr w:type="spellEnd"/>
      <w:r w:rsidR="00C8134E" w:rsidRPr="002901F9">
        <w:rPr>
          <w:rFonts w:cs="Arial"/>
          <w:szCs w:val="24"/>
        </w:rPr>
        <w:t xml:space="preserve">) de </w:t>
      </w:r>
      <w:proofErr w:type="spellStart"/>
      <w:r w:rsidR="00C8134E" w:rsidRPr="002901F9">
        <w:rPr>
          <w:rFonts w:cs="Arial"/>
          <w:szCs w:val="24"/>
        </w:rPr>
        <w:t>mashua</w:t>
      </w:r>
      <w:proofErr w:type="spellEnd"/>
      <w:r w:rsidR="006D5B87">
        <w:rPr>
          <w:rFonts w:cs="Arial"/>
          <w:szCs w:val="24"/>
        </w:rPr>
        <w:t xml:space="preserve"> </w:t>
      </w:r>
      <w:r w:rsidR="006D5B87">
        <w:rPr>
          <w:rFonts w:cs="Arial"/>
          <w:szCs w:val="24"/>
        </w:rPr>
        <w:fldChar w:fldCharType="begin"/>
      </w:r>
      <w:r w:rsidR="006D5B87">
        <w:rPr>
          <w:rFonts w:cs="Arial"/>
          <w:szCs w:val="24"/>
        </w:rPr>
        <w:instrText xml:space="preserve"> ADDIN ZOTERO_ITEM CSL_CITATION {"citationID":"qgwH4Zwq","properties":{"formattedCitation":"(Hern\\uc0\\u225{}ndez V. et\\uc0\\u160{}al., 2022)","plainCitation":"(Hernández V. et al., 2022)","noteIndex":0},"citationItems":[{"id":296,"uris":["http://zotero.org/users/5236988/items/GGAJQYNK"],"itemData":{"id":296,"type":"article-journal","abstract":"Rebaï N., Bilhaut A.-G., de Suremain C.-E., Katz E., Paredes M., (eds.), 2021. Patrimonios alimentarios en América Latina: recursos locales, actores y globalización, Lima, IFEA/IRD, 268 p. El libro que a continuación comentamos, Patrimonios alimentarios en América Latina: recursos locales, actores y globalización, se publicó a raíz del coloquio del mismo nombre, realizado en la ciudad de Quito, Ecuador, en el mes de octubre del año 2016. Este evento reunió a investigadores de disciplinas dive...","container-title":"Anthropology of food","DOI":"10.4000/aof.13719","ISSN":"1609-9168","language":"es","license":"https://creativecommons.org/licenses/by-nc-nd/4.0/","note":"publisher: Anthropology of Food Webjournal","source":"journals.openedition.org","title":"Patrimonios alimentarios en América Latina: recursos locales, actores y globalización","title-short":"Patrimonios alimentarios en América Latina","URL":"https://journals.openedition.org/aof/13719","author":[{"family":"Hernández V.","given":"Consuelo"},{"family":"Morançay","given":"Céline"},{"family":"Pécout-Le Bras","given":"Nathan"},{"family":"Ricaud Oneto","given":"Emmanuelle"}],"accessed":{"date-parts":[["2026",6,12]]},"issued":{"date-parts":[["2022",6]]}}}],"schema":"https://github.com/citation-style-language/schema/raw/master/csl-citation.json"} </w:instrText>
      </w:r>
      <w:r w:rsidR="006D5B87">
        <w:rPr>
          <w:rFonts w:cs="Arial"/>
          <w:szCs w:val="24"/>
        </w:rPr>
        <w:fldChar w:fldCharType="separate"/>
      </w:r>
      <w:r w:rsidR="006D5B87" w:rsidRPr="006D5B87">
        <w:rPr>
          <w:rFonts w:cs="Times New Roman"/>
        </w:rPr>
        <w:t>(Hernández V. et al., 2022)</w:t>
      </w:r>
      <w:r w:rsidR="006D5B87">
        <w:rPr>
          <w:rFonts w:cs="Arial"/>
          <w:szCs w:val="24"/>
        </w:rPr>
        <w:fldChar w:fldCharType="end"/>
      </w:r>
      <w:r w:rsidR="006D5B87">
        <w:rPr>
          <w:rFonts w:cs="Arial"/>
          <w:szCs w:val="24"/>
        </w:rPr>
        <w:t>.</w:t>
      </w:r>
    </w:p>
    <w:p w14:paraId="2201ACC8" w14:textId="77777777" w:rsidR="00030513" w:rsidRDefault="00C8134E" w:rsidP="008226DF">
      <w:pPr>
        <w:rPr>
          <w:rFonts w:cs="Arial"/>
          <w:szCs w:val="24"/>
        </w:rPr>
      </w:pPr>
      <w:r w:rsidRPr="002901F9">
        <w:rPr>
          <w:rFonts w:cs="Arial"/>
          <w:szCs w:val="24"/>
        </w:rPr>
        <w:t xml:space="preserve">Desde el punto de vista agronómico, la </w:t>
      </w:r>
      <w:proofErr w:type="spellStart"/>
      <w:r w:rsidRPr="002901F9">
        <w:rPr>
          <w:rFonts w:cs="Arial"/>
          <w:szCs w:val="24"/>
        </w:rPr>
        <w:t>mashua</w:t>
      </w:r>
      <w:proofErr w:type="spellEnd"/>
      <w:r w:rsidRPr="002901F9">
        <w:rPr>
          <w:rFonts w:cs="Arial"/>
          <w:szCs w:val="24"/>
        </w:rPr>
        <w:t xml:space="preserve"> se cultiva en suelos muy pobres y sin fertilizantes </w:t>
      </w:r>
      <w:r w:rsidR="003024E3">
        <w:rPr>
          <w:rFonts w:cs="Arial"/>
          <w:szCs w:val="24"/>
        </w:rPr>
        <w:t>ni</w:t>
      </w:r>
      <w:r w:rsidRPr="002901F9">
        <w:rPr>
          <w:rFonts w:cs="Arial"/>
          <w:szCs w:val="24"/>
        </w:rPr>
        <w:t xml:space="preserve"> pesticidas</w:t>
      </w:r>
      <w:r w:rsidR="008C2861">
        <w:rPr>
          <w:rFonts w:cs="Arial"/>
          <w:szCs w:val="24"/>
        </w:rPr>
        <w:t>;</w:t>
      </w:r>
      <w:r w:rsidRPr="002901F9">
        <w:rPr>
          <w:rFonts w:cs="Arial"/>
          <w:szCs w:val="24"/>
        </w:rPr>
        <w:t xml:space="preserve"> aún en estas condiciones, su rendimiento puede duplicar al de la papa, a</w:t>
      </w:r>
      <w:r w:rsidR="00A01702">
        <w:rPr>
          <w:rFonts w:cs="Arial"/>
          <w:szCs w:val="24"/>
        </w:rPr>
        <w:t xml:space="preserve">lcanzando </w:t>
      </w:r>
      <w:r w:rsidRPr="002901F9">
        <w:rPr>
          <w:rFonts w:cs="Arial"/>
          <w:szCs w:val="24"/>
        </w:rPr>
        <w:t>entre nueve y setenta toneladas por hectárea (Manrique y col., 2014).</w:t>
      </w:r>
      <w:r>
        <w:t xml:space="preserve"> </w:t>
      </w:r>
      <w:r w:rsidRPr="002901F9">
        <w:rPr>
          <w:rFonts w:cs="Arial"/>
          <w:szCs w:val="24"/>
        </w:rPr>
        <w:t>Una de las ventajas de este tubérculo es que se cosecha entre seis y nueve meses y puede ser almacenado hasta seis meses en lugares fríos y ventilados,</w:t>
      </w:r>
      <w:r w:rsidR="00A01702">
        <w:rPr>
          <w:rFonts w:cs="Arial"/>
          <w:szCs w:val="24"/>
        </w:rPr>
        <w:t xml:space="preserve"> e</w:t>
      </w:r>
      <w:r w:rsidRPr="002901F9">
        <w:rPr>
          <w:rFonts w:cs="Arial"/>
          <w:szCs w:val="24"/>
        </w:rPr>
        <w:t xml:space="preserve"> inclusive bajo el suelo para ser extraído cuando se necesite</w:t>
      </w:r>
      <w:r w:rsidR="008A66FC">
        <w:rPr>
          <w:rFonts w:cs="Arial"/>
          <w:szCs w:val="24"/>
        </w:rPr>
        <w:t xml:space="preserve"> </w:t>
      </w:r>
      <w:r w:rsidR="008A66FC">
        <w:rPr>
          <w:rFonts w:cs="Arial"/>
          <w:szCs w:val="24"/>
        </w:rPr>
        <w:fldChar w:fldCharType="begin"/>
      </w:r>
      <w:r w:rsidR="008A66FC">
        <w:rPr>
          <w:rFonts w:cs="Arial"/>
          <w:szCs w:val="24"/>
        </w:rPr>
        <w:instrText xml:space="preserve"> ADDIN ZOTERO_ITEM CSL_CITATION {"citationID":"hngum4ja","properties":{"formattedCitation":"(Aguilar-Galvez et\\uc0\\u160{}al., 2020)","plainCitation":"(Aguilar-Galvez et al., 2020)","noteIndex":0},"citationItems":[{"id":38,"uris":["http://zotero.org/users/5236988/items/7PWPSD4B"],"itemData":{"id":38,"type":"article-journal","abstract":"Mashua (Tropaeolum tuberosum) is an important food in certain areas of the Andean region, where it is popularly believed to possess medicinal properties. Several studies have previously shown the potential of this tuber as a source of bioactive compounds. Traditionally, the tuber is exposed to the sun before consumption, in order to reduce its bitterness. The present work aims to study, at the proteome level, the differential abundance of proteins in tubers subjected to different postharvest treatments: sun-exposure (SUN), shade (SHA), refrigeration (COLD) and shade combined with sun-exposure (SHA-SUN) compared to recently harvested tubers (INIT). Results showed that sun exposure for prolonged times (9 days) resulted in increased abundance of proteins classified as heat shock proteins, intracellular traffic, disease/defense and protein degradation. Our results reflect that the sun treatment activates defense systems and osmoprotection adjustment against water loss and reactive oxygen species.","container-title":"Food Chemistry","DOI":"10.1016/j.foodchem.2019.125485","ISSN":"0308-8146","journalAbbreviation":"Food Chemistry","language":"en","page":"125485","source":"ScienceDirect","title":"Proteomic analysis of mashua (Tropaeolum tuberosum) tubers subjected to postharvest treatments","volume":"305","author":[{"family":"Aguilar-Galvez","given":"Ana"},{"family":"Pedreschi","given":"Romina"},{"family":"Carpentier","given":"Sebastien"},{"family":"Chirinos","given":"Rosana"},{"family":"García-Ríos","given":"Diego"},{"family":"Campos","given":"David"}],"issued":{"date-parts":[["2020",2,1]]}}}],"schema":"https://github.com/citation-style-language/schema/raw/master/csl-citation.json"} </w:instrText>
      </w:r>
      <w:r w:rsidR="008A66FC">
        <w:rPr>
          <w:rFonts w:cs="Arial"/>
          <w:szCs w:val="24"/>
        </w:rPr>
        <w:fldChar w:fldCharType="separate"/>
      </w:r>
      <w:r w:rsidR="008A66FC" w:rsidRPr="008A66FC">
        <w:rPr>
          <w:rFonts w:cs="Times New Roman"/>
        </w:rPr>
        <w:t>(Aguilar-Galvez et al., 2020)</w:t>
      </w:r>
      <w:r w:rsidR="008A66FC">
        <w:rPr>
          <w:rFonts w:cs="Arial"/>
          <w:szCs w:val="24"/>
        </w:rPr>
        <w:fldChar w:fldCharType="end"/>
      </w:r>
      <w:r w:rsidR="008A66FC">
        <w:rPr>
          <w:rFonts w:cs="Arial"/>
          <w:szCs w:val="24"/>
        </w:rPr>
        <w:t>.</w:t>
      </w:r>
    </w:p>
    <w:p w14:paraId="4804835D" w14:textId="44E50BC7" w:rsidR="00C8134E" w:rsidRPr="00030513" w:rsidRDefault="00C8134E" w:rsidP="008226DF">
      <w:pPr>
        <w:rPr>
          <w:rFonts w:cs="Arial"/>
          <w:szCs w:val="24"/>
        </w:rPr>
      </w:pPr>
      <w:r w:rsidRPr="002901F9">
        <w:rPr>
          <w:rFonts w:cs="Arial"/>
          <w:szCs w:val="24"/>
        </w:rPr>
        <w:t xml:space="preserve">Generalmente los agricultores suelen almacenar la </w:t>
      </w:r>
      <w:proofErr w:type="spellStart"/>
      <w:r w:rsidRPr="002901F9">
        <w:rPr>
          <w:rFonts w:cs="Arial"/>
          <w:szCs w:val="24"/>
        </w:rPr>
        <w:t>mashua</w:t>
      </w:r>
      <w:proofErr w:type="spellEnd"/>
      <w:r w:rsidRPr="002901F9">
        <w:rPr>
          <w:rFonts w:cs="Arial"/>
          <w:szCs w:val="24"/>
        </w:rPr>
        <w:t xml:space="preserve"> en los patios de las casas, al aire libre, cubiertos por una capa de hierba seca para mantenerlos en la obscuridad, evitar las heladas nocturnas y las elevadas temperaturas del día. Sin embargo, este es un cultivo ancestral que se encuentra en peligro de desaparecer debido a la escasa difusión a nivel nacional y </w:t>
      </w:r>
      <w:r w:rsidR="00553A6E">
        <w:rPr>
          <w:rFonts w:cs="Arial"/>
          <w:szCs w:val="24"/>
        </w:rPr>
        <w:t>a</w:t>
      </w:r>
      <w:r w:rsidRPr="002901F9">
        <w:rPr>
          <w:rFonts w:cs="Arial"/>
          <w:szCs w:val="24"/>
        </w:rPr>
        <w:t xml:space="preserve"> la adopción de nuevas costumbres alimentarias</w:t>
      </w:r>
      <w:r w:rsidR="00F46E1B">
        <w:rPr>
          <w:rFonts w:cs="Arial"/>
          <w:szCs w:val="24"/>
        </w:rPr>
        <w:t xml:space="preserve"> </w:t>
      </w:r>
      <w:r w:rsidR="00F46E1B">
        <w:rPr>
          <w:rFonts w:cs="Arial"/>
          <w:szCs w:val="24"/>
        </w:rPr>
        <w:fldChar w:fldCharType="begin"/>
      </w:r>
      <w:r w:rsidR="00F46E1B">
        <w:rPr>
          <w:rFonts w:cs="Arial"/>
          <w:szCs w:val="24"/>
        </w:rPr>
        <w:instrText xml:space="preserve"> ADDIN ZOTERO_ITEM CSL_CITATION {"citationID":"gOxS3xuC","properties":{"formattedCitation":"(Tac\\uc0\\u225{}n et\\uc0\\u160{}al., 2024)","plainCitation":"(Tacán et al., 2024)","noteIndex":0},"citationItems":[{"id":3,"uris":["http://zotero.org/users/5236988/items/Y354NN4U"],"itemData":{"id":3,"type":"article-journal","note":"publisher: Quito, EC: INIAP-EESC, 2024","source":"Google Scholar","title":"Zonas de Conservación para 25 Cultivos Andinos en Ecuador","URL":"http://repositorio.iniap.gob.ec/handle/41000/6155","author":[{"family":"Tacán","given":"Marcelo"},{"family":"Rosales","given":"Oscar"},{"family":"Naranjo","given":"Edwin"},{"family":"Tapia","given":"César"},{"family":"Monteros","given":"Álvaro"},{"family":"Roura","given":"Alberto"},{"family":"Sigcha","given":"Franklin"},{"family":"Valverde","given":"Marilú"},{"family":"Lima","given":"Luis"},{"family":"Suango","given":"Verónica"}],"accessed":{"date-parts":[["2024",5,20]]},"issued":{"date-parts":[["2024"]]}}}],"schema":"https://github.com/citation-style-language/schema/raw/master/csl-citation.json"} </w:instrText>
      </w:r>
      <w:r w:rsidR="00F46E1B">
        <w:rPr>
          <w:rFonts w:cs="Arial"/>
          <w:szCs w:val="24"/>
        </w:rPr>
        <w:fldChar w:fldCharType="separate"/>
      </w:r>
      <w:r w:rsidR="00F46E1B" w:rsidRPr="00F46E1B">
        <w:rPr>
          <w:rFonts w:cs="Times New Roman"/>
        </w:rPr>
        <w:t>(Tacán et al., 2024)</w:t>
      </w:r>
      <w:r w:rsidR="00F46E1B">
        <w:rPr>
          <w:rFonts w:cs="Arial"/>
          <w:szCs w:val="24"/>
        </w:rPr>
        <w:fldChar w:fldCharType="end"/>
      </w:r>
      <w:r w:rsidR="00F46E1B">
        <w:rPr>
          <w:rFonts w:cs="Arial"/>
          <w:szCs w:val="24"/>
        </w:rPr>
        <w:t>.</w:t>
      </w:r>
    </w:p>
    <w:p w14:paraId="532A6B96" w14:textId="6EDE888B" w:rsidR="00C8134E" w:rsidRDefault="00C8134E" w:rsidP="008226DF">
      <w:pPr>
        <w:rPr>
          <w:rFonts w:cs="Arial"/>
          <w:szCs w:val="24"/>
        </w:rPr>
      </w:pPr>
      <w:r w:rsidRPr="002901F9">
        <w:rPr>
          <w:rFonts w:cs="Arial"/>
          <w:szCs w:val="24"/>
        </w:rPr>
        <w:t xml:space="preserve">La </w:t>
      </w:r>
      <w:proofErr w:type="spellStart"/>
      <w:r w:rsidRPr="002901F9">
        <w:rPr>
          <w:rFonts w:cs="Arial"/>
          <w:szCs w:val="24"/>
        </w:rPr>
        <w:t>mashua</w:t>
      </w:r>
      <w:proofErr w:type="spellEnd"/>
      <w:r w:rsidRPr="002901F9">
        <w:rPr>
          <w:rFonts w:cs="Arial"/>
          <w:szCs w:val="24"/>
        </w:rPr>
        <w:t xml:space="preserve"> </w:t>
      </w:r>
      <w:r w:rsidR="00553A6E">
        <w:rPr>
          <w:rFonts w:cs="Arial"/>
          <w:szCs w:val="24"/>
        </w:rPr>
        <w:t>presenta un</w:t>
      </w:r>
      <w:r w:rsidRPr="002901F9">
        <w:rPr>
          <w:rFonts w:cs="Arial"/>
          <w:szCs w:val="24"/>
        </w:rPr>
        <w:t xml:space="preserve"> sabor picante y el color de la corteza de la superficie del tubérculo puede ser blanco, amarillo naranja, morado o negro (Figura 1), siendo la variedad amarillo</w:t>
      </w:r>
      <w:r w:rsidR="00553A6E">
        <w:rPr>
          <w:rFonts w:cs="Arial"/>
          <w:szCs w:val="24"/>
        </w:rPr>
        <w:t>-</w:t>
      </w:r>
      <w:r w:rsidRPr="002901F9">
        <w:rPr>
          <w:rFonts w:cs="Arial"/>
          <w:szCs w:val="24"/>
        </w:rPr>
        <w:t>naranja y morada las que predominan en el Ecuador</w:t>
      </w:r>
      <w:r w:rsidR="00A7672A">
        <w:rPr>
          <w:rFonts w:cs="Arial"/>
          <w:szCs w:val="24"/>
        </w:rPr>
        <w:t xml:space="preserve"> </w:t>
      </w:r>
      <w:r w:rsidR="00A7672A">
        <w:rPr>
          <w:rFonts w:cs="Arial"/>
          <w:szCs w:val="24"/>
        </w:rPr>
        <w:fldChar w:fldCharType="begin"/>
      </w:r>
      <w:r w:rsidR="00A7672A">
        <w:rPr>
          <w:rFonts w:cs="Arial"/>
          <w:szCs w:val="24"/>
        </w:rPr>
        <w:instrText xml:space="preserve"> ADDIN ZOTERO_ITEM CSL_CITATION {"citationID":"jKTs6mwN","properties":{"formattedCitation":"(Manrique et\\uc0\\u160{}al., 2013)","plainCitation":"(Manrique et al., 2013)","noteIndex":0},"citationItems":[{"id":77,"uris":["http://zotero.org/users/5236988/items/JYCBADUJ"],"itemData":{"id":77,"type":"book","ISBN":"978-92-9060-431-0","language":"es","note":"DOI: 10.4160/9789290604310","publisher":"Centro Internacional de la Papa","source":"DOI.org (Crossref)","title":"Tropaelum tuberosum Ruíz &amp; Pav. Catálogo de la colección de germoplasma de mashua (Tropaelum tuberosum Ruíz &amp; Pav.) conservada en el Centro Internacional de la Papa (CIP)","URL":"http://www.cipotato.org/publications/pdf/006159.pdf","author":[{"family":"Manrique","given":"I"},{"family":"Arbizu","given":"C"},{"family":"Vivanco","given":"F"},{"family":"Ramirez","given":"C"},{"family":"Chavez","given":"O"},{"family":"Tay","given":"D"},{"family":"Ellis","given":"D"}],"accessed":{"date-parts":[["2024",7,13]]},"issued":{"date-parts":[["2013",12,15]]}}}],"schema":"https://github.com/citation-style-language/schema/raw/master/csl-citation.json"} </w:instrText>
      </w:r>
      <w:r w:rsidR="00A7672A">
        <w:rPr>
          <w:rFonts w:cs="Arial"/>
          <w:szCs w:val="24"/>
        </w:rPr>
        <w:fldChar w:fldCharType="separate"/>
      </w:r>
      <w:r w:rsidR="00A7672A" w:rsidRPr="00A7672A">
        <w:rPr>
          <w:rFonts w:cs="Times New Roman"/>
        </w:rPr>
        <w:t>(Manrique et al., 2013)</w:t>
      </w:r>
      <w:r w:rsidR="00A7672A">
        <w:rPr>
          <w:rFonts w:cs="Arial"/>
          <w:szCs w:val="24"/>
        </w:rPr>
        <w:fldChar w:fldCharType="end"/>
      </w:r>
      <w:r w:rsidR="00A7672A">
        <w:rPr>
          <w:rFonts w:cs="Arial"/>
          <w:szCs w:val="24"/>
        </w:rPr>
        <w:t>.</w:t>
      </w:r>
    </w:p>
    <w:p w14:paraId="5E915072" w14:textId="0AF010E6" w:rsidR="00213AFF" w:rsidRDefault="00213AFF" w:rsidP="008226DF">
      <w:pPr>
        <w:rPr>
          <w:rFonts w:cs="Arial"/>
          <w:szCs w:val="24"/>
        </w:rPr>
      </w:pPr>
      <w:r>
        <w:rPr>
          <w:rFonts w:cs="Arial"/>
          <w:szCs w:val="24"/>
        </w:rPr>
        <w:t xml:space="preserve">En el fenotipo andino anaranjado, la pigmentación </w:t>
      </w:r>
      <w:proofErr w:type="spellStart"/>
      <w:r>
        <w:rPr>
          <w:rFonts w:cs="Arial"/>
          <w:szCs w:val="24"/>
        </w:rPr>
        <w:t>peridérmica</w:t>
      </w:r>
      <w:proofErr w:type="spellEnd"/>
      <w:r>
        <w:rPr>
          <w:rFonts w:cs="Arial"/>
          <w:szCs w:val="24"/>
        </w:rPr>
        <w:t xml:space="preserve"> está directamente asociada a la biosíntesis de carotenoides, los cuales actúan como fotoprotectores celulares en la planta y aportan propiedades antioxidantes en la dieta humana</w:t>
      </w:r>
      <w:r w:rsidR="00F46E1B">
        <w:rPr>
          <w:rFonts w:cs="Arial"/>
          <w:szCs w:val="24"/>
        </w:rPr>
        <w:t xml:space="preserve"> </w:t>
      </w:r>
      <w:r w:rsidR="00F46E1B">
        <w:rPr>
          <w:rFonts w:cs="Arial"/>
          <w:szCs w:val="24"/>
        </w:rPr>
        <w:fldChar w:fldCharType="begin"/>
      </w:r>
      <w:r w:rsidR="00F46E1B">
        <w:rPr>
          <w:rFonts w:cs="Arial"/>
          <w:szCs w:val="24"/>
        </w:rPr>
        <w:instrText xml:space="preserve"> ADDIN ZOTERO_ITEM CSL_CITATION {"citationID":"yfevVj4K","properties":{"formattedCitation":"(Luziatelli et\\uc0\\u160{}al., 2023)","plainCitation":"(Luziatelli et al., 2023)","noteIndex":0},"citationItems":[{"id":34,"uris":["http://zotero.org/users/5236988/items/3MXEQ8UR"],"itemData":{"id":34,"type":"chapter","abstract":"Andean minor tuber crops are plants domesticated and cultivated since ancient times for their edible underground parts in the Andean region. This review describes the botanical and agronomic features of Oxalis tuberosa, Tropaeolum tuberosum, and Ullucus tuberosus and reports their traditional and new uses, including the latest evidence available on their beneficial properties, complemented with observations from Peru and Bolivia. Oca has good potential to be promoted on the market for its fresh or transformed consumption, while a new promising industrial application of ulluco is the extraction of its betalains to be used as natural food colorants. Finally, mashua, for its high contents of antioxidants and anticarcinogenic properties, is highly relevant to the nutraceutical sector. The use of the three crops in gourmet restaurants of the Andean region has increased notably during the last decade, which suggests that their demand might increase in the future as they become more popular.","collection-title":"Underground Starchy Crops of South American Origin","container-title":"Varieties and Landraces","ISBN":"978-0-323-90057-7","language":"en","note":"DOI: 10.1016/B978-0-323-90057-7.00009-7","page":"79-100","publisher":"Academic Press","source":"ScienceDirect","title":"Chapter 6 - Ethnobotany of Andean minor tuber crops: tradition and innovation—Oca (Oxalis tuberosa Molina—Oxalidaceae), Mashua (Tropaeolum tuberosum Ruíz &amp; Pav.—Tropaeoleaceae) and Ulluco (Ullucus tuberosus Caldas—Basellaceae)","title-short":"Chapter 6 - Ethnobotany of Andean minor tuber crops","URL":"https://www.sciencedirect.com/science/article/pii/B9780323900577000097","volume":"2","author":[{"family":"Luziatelli","given":"Gaia"},{"family":"Alandia","given":"Gabriela"},{"family":"Rodríguez","given":"Juan Pablo"},{"family":"Manrique","given":"Ivan"},{"family":"Jacobsen","given":"Sven-Erik"},{"family":"Sørensen","given":"Marten"}],"editor":[{"family":"Pascoli Cereda","given":"Marney"},{"family":"François Vilpoux","given":"Olivier"}],"accessed":{"date-parts":[["2023",5,11]]},"issued":{"date-parts":[["2023",1,1]]}}}],"schema":"https://github.com/citation-style-language/schema/raw/master/csl-citation.json"} </w:instrText>
      </w:r>
      <w:r w:rsidR="00F46E1B">
        <w:rPr>
          <w:rFonts w:cs="Arial"/>
          <w:szCs w:val="24"/>
        </w:rPr>
        <w:fldChar w:fldCharType="separate"/>
      </w:r>
      <w:r w:rsidR="00F46E1B" w:rsidRPr="00F46E1B">
        <w:rPr>
          <w:rFonts w:cs="Times New Roman"/>
        </w:rPr>
        <w:t>(Luziatelli et al., 2023)</w:t>
      </w:r>
      <w:r w:rsidR="00F46E1B">
        <w:rPr>
          <w:rFonts w:cs="Arial"/>
          <w:szCs w:val="24"/>
        </w:rPr>
        <w:fldChar w:fldCharType="end"/>
      </w:r>
      <w:r w:rsidR="00F46E1B">
        <w:rPr>
          <w:rFonts w:cs="Arial"/>
          <w:szCs w:val="24"/>
        </w:rPr>
        <w:t>.</w:t>
      </w:r>
    </w:p>
    <w:p w14:paraId="12138057" w14:textId="77777777" w:rsidR="00936A52" w:rsidRDefault="00213AFF" w:rsidP="008226DF">
      <w:pPr>
        <w:rPr>
          <w:rFonts w:cs="Arial"/>
          <w:szCs w:val="24"/>
        </w:rPr>
      </w:pPr>
      <w:r>
        <w:rPr>
          <w:rFonts w:cs="Arial"/>
          <w:szCs w:val="24"/>
        </w:rPr>
        <w:lastRenderedPageBreak/>
        <w:t>La variabilidad morfométrica, en términos de masa, longitud y calibre mayor, es altamente heterogénea y depende tanto de la carga genética del germoplasma como de la presión selectiva del ambiente donde se cultiva.</w:t>
      </w:r>
      <w:r w:rsidR="00936A52">
        <w:rPr>
          <w:rFonts w:cs="Arial"/>
          <w:szCs w:val="24"/>
        </w:rPr>
        <w:t xml:space="preserve"> </w:t>
      </w:r>
    </w:p>
    <w:p w14:paraId="7BE1097F" w14:textId="40496477" w:rsidR="00BE6876" w:rsidRPr="00BE6876" w:rsidRDefault="004D24FE" w:rsidP="00BE6876">
      <w:pPr>
        <w:pStyle w:val="Figuras"/>
        <w:rPr>
          <w:rFonts w:cs="Arial"/>
          <w:szCs w:val="24"/>
          <w:lang w:val="es-EC"/>
        </w:rPr>
      </w:pPr>
      <w:r w:rsidRPr="004D24FE">
        <w:rPr>
          <w:b/>
          <w:bCs/>
          <w:noProof/>
          <w:lang w:eastAsia="es-ES"/>
        </w:rPr>
        <w:drawing>
          <wp:anchor distT="0" distB="0" distL="114300" distR="114300" simplePos="0" relativeHeight="251659264" behindDoc="0" locked="0" layoutInCell="1" allowOverlap="1" wp14:anchorId="21087728" wp14:editId="05951CBA">
            <wp:simplePos x="0" y="0"/>
            <wp:positionH relativeFrom="margin">
              <wp:posOffset>199586</wp:posOffset>
            </wp:positionH>
            <wp:positionV relativeFrom="paragraph">
              <wp:posOffset>323850</wp:posOffset>
            </wp:positionV>
            <wp:extent cx="4051935" cy="2584450"/>
            <wp:effectExtent l="0" t="0" r="5715" b="6350"/>
            <wp:wrapThrough wrapText="bothSides">
              <wp:wrapPolygon edited="0">
                <wp:start x="0" y="0"/>
                <wp:lineTo x="0" y="21494"/>
                <wp:lineTo x="21529" y="21494"/>
                <wp:lineTo x="21529" y="0"/>
                <wp:lineTo x="0" y="0"/>
              </wp:wrapPolygon>
            </wp:wrapThrough>
            <wp:docPr id="13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51935" cy="258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0B96" w:rsidRPr="004D24FE">
        <w:rPr>
          <w:rFonts w:eastAsia="Times New Roman"/>
          <w:b/>
          <w:bCs/>
          <w:color w:val="000000"/>
          <w:lang w:eastAsia="es-EC"/>
        </w:rPr>
        <w:t>Figura 1</w:t>
      </w:r>
      <w:r w:rsidR="00C40B96" w:rsidRPr="00434C9C">
        <w:rPr>
          <w:rFonts w:eastAsia="Times New Roman"/>
          <w:color w:val="000000"/>
          <w:lang w:eastAsia="es-EC"/>
        </w:rPr>
        <w:t>.</w:t>
      </w:r>
      <w:r w:rsidR="00C40B96" w:rsidRPr="00434C9C">
        <w:t xml:space="preserve"> </w:t>
      </w:r>
      <w:r w:rsidR="00A74859">
        <w:t xml:space="preserve">Diversidad morfológica del tubérculo de </w:t>
      </w:r>
      <w:proofErr w:type="spellStart"/>
      <w:r w:rsidR="00A74859">
        <w:t>mashua</w:t>
      </w:r>
      <w:proofErr w:type="spellEnd"/>
      <w:r w:rsidR="00A74859">
        <w:t xml:space="preserve"> (</w:t>
      </w:r>
      <w:r w:rsidR="00C40B96" w:rsidRPr="00434C9C">
        <w:t>Tropaeolum</w:t>
      </w:r>
      <w:r w:rsidR="00A74859">
        <w:t xml:space="preserve"> </w:t>
      </w:r>
      <w:proofErr w:type="spellStart"/>
      <w:r w:rsidR="00A74859">
        <w:t>tuberosum</w:t>
      </w:r>
      <w:proofErr w:type="spellEnd"/>
      <w:r w:rsidR="00A74859">
        <w:t>)</w:t>
      </w:r>
    </w:p>
    <w:p w14:paraId="7E352324" w14:textId="77777777" w:rsidR="00BE6876" w:rsidRDefault="00BE6876" w:rsidP="00C40B96">
      <w:pPr>
        <w:pStyle w:val="Fuente"/>
      </w:pPr>
    </w:p>
    <w:p w14:paraId="28DF6E33" w14:textId="20C69B00" w:rsidR="005900A4" w:rsidRPr="00C40B96" w:rsidRDefault="00936A52" w:rsidP="00C40B96">
      <w:pPr>
        <w:pStyle w:val="Fuente"/>
        <w:rPr>
          <w:szCs w:val="24"/>
        </w:rPr>
      </w:pPr>
      <w:r w:rsidRPr="00BE5F2C">
        <w:t xml:space="preserve">Fuente: </w:t>
      </w:r>
      <w:r>
        <w:t>Manrique et al., 2013</w:t>
      </w:r>
    </w:p>
    <w:p w14:paraId="69382381" w14:textId="6302E4EB" w:rsidR="00213AFF" w:rsidRDefault="0015066B" w:rsidP="008226DF">
      <w:pPr>
        <w:pStyle w:val="Heading2"/>
      </w:pPr>
      <w:r w:rsidRPr="0015066B">
        <w:t>1.</w:t>
      </w:r>
      <w:r>
        <w:t xml:space="preserve">2. </w:t>
      </w:r>
      <w:r w:rsidR="00213AFF">
        <w:t>Influencia de los factores edafoclimáticos y la altitud sobre la acumulación de metabolitos</w:t>
      </w:r>
    </w:p>
    <w:p w14:paraId="65E287DB" w14:textId="789EBAE8" w:rsidR="00213AFF" w:rsidRPr="0009066A" w:rsidRDefault="00213AFF" w:rsidP="008226DF">
      <w:pPr>
        <w:rPr>
          <w:lang w:val="es-EC"/>
        </w:rPr>
      </w:pPr>
      <w:r>
        <w:t xml:space="preserve">La </w:t>
      </w:r>
      <w:r w:rsidR="00F5367E">
        <w:t xml:space="preserve">región interandina </w:t>
      </w:r>
      <w:r>
        <w:t xml:space="preserve">ecuatoriana se distingue por una variabilidad geomorfológica y microclimática </w:t>
      </w:r>
      <w:r w:rsidR="00F5367E">
        <w:t xml:space="preserve">marcada </w:t>
      </w:r>
      <w:r>
        <w:t xml:space="preserve">en muy cortas distancias. Las provincias altoandinas, como Chimborazo y Tungurahua, presentan marcadas diferencias en gradientes altitudinales, regímenes pluviométricos, radiación ultravioleta y tipología de suelos. Estos factores edafoclimáticos ejercen un efecto modulador decisivo sobre la fisiología de los tubérculos </w:t>
      </w:r>
      <w:r w:rsidR="00045E87">
        <w:t>andinos</w:t>
      </w:r>
      <w:r w:rsidR="00045E87" w:rsidRPr="0009066A">
        <w:rPr>
          <w:rFonts w:cs="Times New Roman"/>
          <w:lang w:val="es-EC"/>
        </w:rPr>
        <w:t xml:space="preserve"> (</w:t>
      </w:r>
      <w:r w:rsidR="0009066A" w:rsidRPr="0009066A">
        <w:rPr>
          <w:rFonts w:cs="Times New Roman"/>
          <w:lang w:val="es-EC"/>
        </w:rPr>
        <w:t>Salazar et al., 2021)</w:t>
      </w:r>
      <w:r w:rsidR="00045E87">
        <w:rPr>
          <w:lang w:val="es-EC"/>
        </w:rPr>
        <w:t>.</w:t>
      </w:r>
    </w:p>
    <w:p w14:paraId="673CB969" w14:textId="075674AA" w:rsidR="00213AFF" w:rsidRDefault="008D0D5A" w:rsidP="008226DF">
      <w:r>
        <w:t xml:space="preserve">A mayores altitudes, la fluctuación térmica diurna, las bajas temperaturas en la noche y la elevada radiación ultravioleta conllevan a respuestas metabólicas de estrés ambiental en los cultivos de </w:t>
      </w:r>
      <w:proofErr w:type="spellStart"/>
      <w:r>
        <w:t>mashua</w:t>
      </w:r>
      <w:proofErr w:type="spellEnd"/>
      <w:r>
        <w:t xml:space="preserve">; por lo </w:t>
      </w:r>
      <w:r>
        <w:lastRenderedPageBreak/>
        <w:t xml:space="preserve">tanto, estas condiciones promueven una mayor tasa de síntesis de biomasa y acumulación de materia seca energética como los almidones y proteínas o provocan la reordenación en las rutas biosintéticas del metabolismo primario y secundario. </w:t>
      </w:r>
    </w:p>
    <w:p w14:paraId="4688CC90" w14:textId="3F1B0517" w:rsidR="008D0D5A" w:rsidRDefault="008D0D5A" w:rsidP="008226DF">
      <w:r>
        <w:t xml:space="preserve">La disponibilidad de nitrógeno, fósforo, potasio, materia orgánica, pH y </w:t>
      </w:r>
      <w:r w:rsidR="004D3F81">
        <w:t xml:space="preserve">las </w:t>
      </w:r>
      <w:r>
        <w:t xml:space="preserve">propiedades físicas (textura, retención de agua y porosidad) </w:t>
      </w:r>
      <w:r w:rsidR="004D3F81">
        <w:t xml:space="preserve">del suelo </w:t>
      </w:r>
      <w:r>
        <w:t xml:space="preserve">determinan el grado de </w:t>
      </w:r>
      <w:r w:rsidR="002C2FC6">
        <w:t xml:space="preserve">absorción de nutrientes </w:t>
      </w:r>
      <w:r w:rsidR="004D3F81">
        <w:t>y la expansión del tubérculo subterráneo</w:t>
      </w:r>
      <w:r w:rsidR="001B5202">
        <w:t xml:space="preserve"> </w:t>
      </w:r>
      <w:r w:rsidR="001B5202">
        <w:fldChar w:fldCharType="begin"/>
      </w:r>
      <w:r w:rsidR="001B5202">
        <w:instrText xml:space="preserve"> ADDIN ZOTERO_ITEM CSL_CITATION {"citationID":"mRL3kPmX","properties":{"formattedCitation":"(Chirinos et\\uc0\\u160{}al., 2007; Luziatelli et\\uc0\\u160{}al., 2023)","plainCitation":"(Chirinos et al., 2007; Luziatelli et al., 2023)","noteIndex":0},"citationItems":[{"id":39,"uris":["http://zotero.org/users/5236988/items/HYAPHMY9"],"itemData":{"id":39,"type":"article-journal","abstract":"Optimal conditions for the extraction of phenolic compounds, anthocyanins, flavanols and ORAC antioxidant activity for two mashua genotypes were determined using the conventional liquid–solid method. Phenolic contents and antioxidant activity were affected by the type of solvent, pH level, solvent–water ratio and extraction time. In general, no significant differences in total phenolic recovery and ORAC values were observed when 90% methanol or methanol/acetone/water (45/45/10), both with 0.1% HCl, were used. By contrast, the 90% methanol solution with 0.1% HCl extracted the highest level of anthocyanins, whereas the solvent mixture extracted the highest level of flavanols. The purified extracts from the mashua genotypes presented total phenolics and ORAC contents within the ranges 14.4–18.7mg gallic acid equivalents/g mashua dry matter (DM) and 221–359μmol of trolox equivalents/g mashua DM, respectively. The HPLC-DAD phenolic profiles obtained for the purified phenolic extracts for both mashua genotypes showed differences in proportions (% total area at 280 and 520nm) depending on the solvents selected in this study. The high content of phenolic compounds and antioxidant activity found in the purified extracts for both mashua genotypes indicated that mashua extracts might be considered as a potential source of nutraceuticals in the future.","container-title":"Separation and Purification Technology","DOI":"10.1016/j.seppur.2006.12.005","ISSN":"1383-5866","issue":"2","journalAbbreviation":"Separation and Purification Technology","language":"en","note":"number: 2","page":"217-225","source":"ScienceDirect","title":"Optimization of extraction conditions of antioxidant phenolic compounds from mashua (Tropaeolum tuberosum Ruíz &amp; Pavón) tubers","volume":"55","author":[{"family":"Chirinos","given":"Rosana"},{"family":"Rogez","given":"Hervé"},{"family":"Campos","given":"David"},{"family":"Pedreschi","given":"Romina"},{"family":"Larondelle","given":"Yvan"}],"issued":{"date-parts":[["2007",6,15]]}},"label":"page"},{"id":34,"uris":["http://zotero.org/users/5236988/items/3MXEQ8UR"],"itemData":{"id":34,"type":"chapter","abstract":"Andean minor tuber crops are plants domesticated and cultivated since ancient times for their edible underground parts in the Andean region. This review describes the botanical and agronomic features of Oxalis tuberosa, Tropaeolum tuberosum, and Ullucus tuberosus and reports their traditional and new uses, including the latest evidence available on their beneficial properties, complemented with observations from Peru and Bolivia. Oca has good potential to be promoted on the market for its fresh or transformed consumption, while a new promising industrial application of ulluco is the extraction of its betalains to be used as natural food colorants. Finally, mashua, for its high contents of antioxidants and anticarcinogenic properties, is highly relevant to the nutraceutical sector. The use of the three crops in gourmet restaurants of the Andean region has increased notably during the last decade, which suggests that their demand might increase in the future as they become more popular.","collection-title":"Underground Starchy Crops of South American Origin","container-title":"Varieties and Landraces","ISBN":"978-0-323-90057-7","language":"en","note":"DOI: 10.1016/B978-0-323-90057-7.00009-7","page":"79-100","publisher":"Academic Press","source":"ScienceDirect","title":"Chapter 6 - Ethnobotany of Andean minor tuber crops: tradition and innovation—Oca (Oxalis tuberosa Molina—Oxalidaceae), Mashua (Tropaeolum tuberosum Ruíz &amp; Pav.—Tropaeoleaceae) and Ulluco (Ullucus tuberosus Caldas—Basellaceae)","title-short":"Chapter 6 - Ethnobotany of Andean minor tuber crops","URL":"https://www.sciencedirect.com/science/article/pii/B9780323900577000097","volume":"2","author":[{"family":"Luziatelli","given":"Gaia"},{"family":"Alandia","given":"Gabriela"},{"family":"Rodríguez","given":"Juan Pablo"},{"family":"Manrique","given":"Ivan"},{"family":"Jacobsen","given":"Sven-Erik"},{"family":"Sørensen","given":"Marten"}],"editor":[{"family":"Pascoli Cereda","given":"Marney"},{"family":"François Vilpoux","given":"Olivier"}],"accessed":{"date-parts":[["2023",5,11]]},"issued":{"date-parts":[["2023",1,1]]}}}],"schema":"https://github.com/citation-style-language/schema/raw/master/csl-citation.json"} </w:instrText>
      </w:r>
      <w:r w:rsidR="001B5202">
        <w:fldChar w:fldCharType="separate"/>
      </w:r>
      <w:r w:rsidR="001B5202" w:rsidRPr="001B5202">
        <w:rPr>
          <w:rFonts w:cs="Times New Roman"/>
        </w:rPr>
        <w:t>(Luziatelli et al., 2023)</w:t>
      </w:r>
      <w:r w:rsidR="001B5202">
        <w:fldChar w:fldCharType="end"/>
      </w:r>
      <w:r w:rsidR="001B5202">
        <w:t>.</w:t>
      </w:r>
    </w:p>
    <w:p w14:paraId="3AA27555" w14:textId="518234DB" w:rsidR="004D3F81" w:rsidRPr="00213AFF" w:rsidRDefault="004D3F81" w:rsidP="008226DF">
      <w:r>
        <w:t>Por consiguiente, el estudio comparativo de un mismo ecotipo en localidades contrastantes resulta indispensable para determinar la interacción entre el genotipo y el ambiente.</w:t>
      </w:r>
    </w:p>
    <w:p w14:paraId="09C55A65" w14:textId="458B11D8" w:rsidR="0015066B" w:rsidRPr="009C0DFA" w:rsidRDefault="0015066B" w:rsidP="00BC55BB">
      <w:pPr>
        <w:pStyle w:val="Heading2"/>
      </w:pPr>
      <w:proofErr w:type="gramStart"/>
      <w:r w:rsidRPr="0015066B">
        <w:t>1.</w:t>
      </w:r>
      <w:bookmarkStart w:id="0" w:name="_Hlk68449564"/>
      <w:r w:rsidR="00BC55BB">
        <w:t>3  composición</w:t>
      </w:r>
      <w:proofErr w:type="gramEnd"/>
      <w:r w:rsidR="00BC55BB">
        <w:t xml:space="preserve"> nutricional y fitoquímica de la </w:t>
      </w:r>
      <w:proofErr w:type="spellStart"/>
      <w:r w:rsidR="00BC55BB">
        <w:t>mashua</w:t>
      </w:r>
      <w:proofErr w:type="spellEnd"/>
    </w:p>
    <w:bookmarkEnd w:id="0"/>
    <w:p w14:paraId="407D8A52" w14:textId="6AB93192" w:rsidR="00654440" w:rsidRPr="009A1E41" w:rsidRDefault="00654440" w:rsidP="00A51440">
      <w:pPr>
        <w:tabs>
          <w:tab w:val="left" w:pos="5361"/>
        </w:tabs>
        <w:spacing w:after="0"/>
        <w:rPr>
          <w:rFonts w:cs="Times New Roman"/>
          <w:color w:val="000000" w:themeColor="text1"/>
          <w:szCs w:val="23"/>
        </w:rPr>
      </w:pPr>
      <w:r w:rsidRPr="009A1E41">
        <w:rPr>
          <w:rFonts w:cs="Times New Roman"/>
          <w:color w:val="000000" w:themeColor="text1"/>
          <w:szCs w:val="23"/>
        </w:rPr>
        <w:t xml:space="preserve">Debido a su contenido de antioxidantes y a sus propiedades anticancerígenas, la </w:t>
      </w:r>
      <w:proofErr w:type="spellStart"/>
      <w:r w:rsidRPr="009A1E41">
        <w:rPr>
          <w:rFonts w:cs="Times New Roman"/>
          <w:color w:val="000000" w:themeColor="text1"/>
          <w:szCs w:val="23"/>
        </w:rPr>
        <w:t>mashua</w:t>
      </w:r>
      <w:proofErr w:type="spellEnd"/>
      <w:r w:rsidRPr="009A1E41">
        <w:rPr>
          <w:rFonts w:cs="Times New Roman"/>
          <w:color w:val="000000" w:themeColor="text1"/>
          <w:szCs w:val="23"/>
        </w:rPr>
        <w:t xml:space="preserve"> ha despertado un creciente interés en el sector nutracéutico </w:t>
      </w:r>
      <w:r w:rsidRPr="009A1E41">
        <w:rPr>
          <w:rFonts w:cs="Times New Roman"/>
          <w:color w:val="000000" w:themeColor="text1"/>
          <w:szCs w:val="23"/>
        </w:rPr>
        <w:fldChar w:fldCharType="begin"/>
      </w:r>
      <w:r w:rsidRPr="009A1E41">
        <w:rPr>
          <w:rFonts w:cs="Times New Roman"/>
          <w:color w:val="000000" w:themeColor="text1"/>
          <w:szCs w:val="23"/>
        </w:rPr>
        <w:instrText xml:space="preserve"> ADDIN ZOTERO_ITEM CSL_CITATION {"citationID":"pUquss1E","properties":{"formattedCitation":"(Luziatelli et\\uc0\\u160{}al., 2023)","plainCitation":"(Luziatelli et al., 2023)","noteIndex":0},"citationItems":[{"id":34,"uris":["http://zotero.org/users/5236988/items/3MXEQ8UR"],"itemData":{"id":34,"type":"chapter","abstract":"Andean minor tuber crops are plants domesticated and cultivated since ancient times for their edible underground parts in the Andean region. This review describes the botanical and agronomic features of Oxalis tuberosa, Tropaeolum tuberosum, and Ullucus tuberosus and reports their traditional and new uses, including the latest evidence available on their beneficial properties, complemented with observations from Peru and Bolivia. Oca has good potential to be promoted on the market for its fresh or transformed consumption, while a new promising industrial application of ulluco is the extraction of its betalains to be used as natural food colorants. Finally, mashua, for its high contents of antioxidants and anticarcinogenic properties, is highly relevant to the nutraceutical sector. The use of the three crops in gourmet restaurants of the Andean region has increased notably during the last decade, which suggests that their demand might increase in the future as they become more popular.","collection-title":"Underground Starchy Crops of South American Origin","container-title":"Varieties and Landraces","ISBN":"978-0-323-90057-7","language":"en","note":"DOI: 10.1016/B978-0-323-90057-7.00009-7","page":"79-100","publisher":"Academic Press","source":"ScienceDirect","title":"Chapter 6 - Ethnobotany of Andean minor tuber crops: tradition and innovation—Oca (Oxalis tuberosa Molina—Oxalidaceae), Mashua (Tropaeolum tuberosum Ruíz &amp; Pav.—Tropaeoleaceae) and Ulluco (Ullucus tuberosus Caldas—Basellaceae)","title-short":"Chapter 6 - Ethnobotany of Andean minor tuber crops","URL":"https://www.sciencedirect.com/science/article/pii/B9780323900577000097","volume":"2","author":[{"family":"Luziatelli","given":"Gaia"},{"family":"Alandia","given":"Gabriela"},{"family":"Rodríguez","given":"Juan Pablo"},{"family":"Manrique","given":"Ivan"},{"family":"Jacobsen","given":"Sven-Erik"},{"family":"Sørensen","given":"Marten"}],"editor":[{"family":"Pascoli Cereda","given":"Marney"},{"family":"François Vilpoux","given":"Olivier"}],"accessed":{"date-parts":[["2023",5,11]]},"issued":{"date-parts":[["2023",1,1]]}}}],"schema":"https://github.com/citation-style-language/schema/raw/master/csl-citation.json"} </w:instrText>
      </w:r>
      <w:r w:rsidRPr="009A1E41">
        <w:rPr>
          <w:rFonts w:cs="Times New Roman"/>
          <w:color w:val="000000" w:themeColor="text1"/>
          <w:szCs w:val="23"/>
        </w:rPr>
        <w:fldChar w:fldCharType="separate"/>
      </w:r>
      <w:r w:rsidRPr="009A1E41">
        <w:rPr>
          <w:rFonts w:cs="Times New Roman"/>
          <w:szCs w:val="23"/>
        </w:rPr>
        <w:t>(Luziatelli et al., 2023)</w:t>
      </w:r>
      <w:r w:rsidRPr="009A1E41">
        <w:rPr>
          <w:rFonts w:cs="Times New Roman"/>
          <w:color w:val="000000" w:themeColor="text1"/>
          <w:szCs w:val="23"/>
        </w:rPr>
        <w:fldChar w:fldCharType="end"/>
      </w:r>
      <w:r w:rsidRPr="009A1E41">
        <w:rPr>
          <w:rFonts w:cs="Times New Roman"/>
          <w:color w:val="000000" w:themeColor="text1"/>
          <w:szCs w:val="23"/>
        </w:rPr>
        <w:t xml:space="preserve">. También se le atribuyen efectos beneficiosos en el alivio de trastornos prostáticos, dolencias renales, hepáticas, entre otros </w:t>
      </w:r>
      <w:r w:rsidRPr="009A1E41">
        <w:rPr>
          <w:rFonts w:cs="Times New Roman"/>
          <w:color w:val="000000" w:themeColor="text1"/>
          <w:szCs w:val="23"/>
        </w:rPr>
        <w:fldChar w:fldCharType="begin"/>
      </w:r>
      <w:r w:rsidRPr="009A1E41">
        <w:rPr>
          <w:rFonts w:cs="Times New Roman"/>
          <w:color w:val="000000" w:themeColor="text1"/>
          <w:szCs w:val="23"/>
        </w:rPr>
        <w:instrText xml:space="preserve"> ADDIN ZOTERO_ITEM CSL_CITATION {"citationID":"Yx9aTmNa","properties":{"formattedCitation":"(Chirinos et\\uc0\\u160{}al., 2007; Lyon, 1992)","plainCitation":"(Chirinos et al., 2007; Lyon, 1992)","noteIndex":0},"citationItems":[{"id":39,"uris":["http://zotero.org/users/5236988/items/HYAPHMY9"],"itemData":{"id":39,"type":"article-journal","abstract":"Optimal conditions for the extraction of phenolic compounds, anthocyanins, flavanols and ORAC antioxidant activity for two mashua genotypes were determined using the conventional liquid–solid method. Phenolic contents and antioxidant activity were affected by the type of solvent, pH level, solvent–water ratio and extraction time. In general, no significant differences in total phenolic recovery and ORAC values were observed when 90% methanol or methanol/acetone/water (45/45/10), both with 0.1% HCl, were used. By contrast, the 90% methanol solution with 0.1% HCl extracted the highest level of anthocyanins, whereas the solvent mixture extracted the highest level of flavanols. The purified extracts from the mashua genotypes presented total phenolics and ORAC contents within the ranges 14.4–18.7mg gallic acid equivalents/g mashua dry matter (DM) and 221–359μmol of trolox equivalents/g mashua DM, respectively. The HPLC-DAD phenolic profiles obtained for the purified phenolic extracts for both mashua genotypes showed differences in proportions (% total area at 280 and 520nm) depending on the solvents selected in this study. The high content of phenolic compounds and antioxidant activity found in the purified extracts for both mashua genotypes indicated that mashua extracts might be considered as a potential source of nutraceuticals in the future.","container-title":"Separation and Purification Technology","DOI":"10.1016/j.seppur.2006.12.005","ISSN":"1383-5866","issue":"2","journalAbbreviation":"Separation and Purification Technology","language":"en","note":"number: 2","page":"217-225","source":"ScienceDirect","title":"Optimization of extraction conditions of antioxidant phenolic compounds from mashua (Tropaeolum tuberosum Ruíz &amp; Pavón) tubers","volume":"55","author":[{"family":"Chirinos","given":"Rosana"},{"family":"Rogez","given":"Hervé"},{"family":"Campos","given":"David"},{"family":"Pedreschi","given":"Romina"},{"family":"Larondelle","given":"Yvan"}],"issued":{"date-parts":[["2007",6,15]]}}},{"id":144,"uris":["http://zotero.org/users/5236988/items/ZPKL72RN"],"itemData":{"id":144,"type":"article-journal","abstract":"Lost Crops of the Incas: Little‐known Plants of the Andes with Promise for Worldwide Cultivation. National Research Council. Washington: National Academy Press, 1989. xii + 415 pp., figures. $24.95 (paper). ISBN 0–309–04264‐X.","container-title":"The Latin American Anthropology Review","DOI":"10.1525/jlca.1992.4.1.41.1","ISSN":"1045-7577","issue":"1","journalAbbreviation":"The Latin American Anthropology Review","language":"en","license":"http://onlinelibrary.wiley.com/termsAndConditions#vor","page":"41-41","source":"DOI.org (Crossref)","title":"Lost Crops of the Incas: Little‐known Plants of the Andes with Promise for Worldwide Cultivation","title-short":"Lost Crops of the Incas","volume":"4","author":[{"family":"Lyon","given":"Patricia J."}],"issued":{"date-parts":[["1992",3]]}}}],"schema":"https://github.com/citation-style-language/schema/raw/master/csl-citation.json"} </w:instrText>
      </w:r>
      <w:r w:rsidRPr="009A1E41">
        <w:rPr>
          <w:rFonts w:cs="Times New Roman"/>
          <w:color w:val="000000" w:themeColor="text1"/>
          <w:szCs w:val="23"/>
        </w:rPr>
        <w:fldChar w:fldCharType="separate"/>
      </w:r>
      <w:r w:rsidRPr="009A1E41">
        <w:rPr>
          <w:rFonts w:cs="Times New Roman"/>
          <w:szCs w:val="23"/>
        </w:rPr>
        <w:t>(Chirinos et al., 2007; Lyon, 1992)</w:t>
      </w:r>
      <w:r w:rsidRPr="009A1E41">
        <w:rPr>
          <w:rFonts w:cs="Times New Roman"/>
          <w:color w:val="000000" w:themeColor="text1"/>
          <w:szCs w:val="23"/>
        </w:rPr>
        <w:fldChar w:fldCharType="end"/>
      </w:r>
      <w:r w:rsidRPr="009A1E41">
        <w:rPr>
          <w:rFonts w:cs="Times New Roman"/>
          <w:color w:val="000000" w:themeColor="text1"/>
          <w:szCs w:val="23"/>
        </w:rPr>
        <w:t xml:space="preserve">. Tales propiedades se asocian a la presencia de compuestos bioactivos </w:t>
      </w:r>
      <w:r w:rsidRPr="009A1E41">
        <w:rPr>
          <w:rFonts w:cs="Times New Roman"/>
          <w:color w:val="000000" w:themeColor="text1"/>
          <w:szCs w:val="23"/>
        </w:rPr>
        <w:fldChar w:fldCharType="begin"/>
      </w:r>
      <w:r w:rsidR="00A51440">
        <w:rPr>
          <w:rFonts w:cs="Times New Roman"/>
          <w:color w:val="000000" w:themeColor="text1"/>
          <w:szCs w:val="23"/>
        </w:rPr>
        <w:instrText xml:space="preserve"> ADDIN ZOTERO_ITEM CSL_CITATION {"citationID":"HwNCXUnC","properties":{"formattedCitation":"(Ortega et\\uc0\\u160{}al., 2006a)","plainCitation":"(Ortega et al., 2006a)","dontUpdate":true,"noteIndex":0},"citationItems":[{"id":170,"uris":["http://zotero.org/users/5236988/items/2I2CC5ES"],"itemData":{"id":170,"type":"article-journal","abstract":"Glucosinolates (GSL) present in cultivated and feral accessions of mashua (Tropaeolum tuberosum í &amp; Pavón) were identified and quantfied by High Performance Liquid Chromatography (HPLC) analysis. The nwin glucosinolates detected were aromatic: 4—Hydroxybenzyl GSL (OHB, Glucosinalbin), Benzyl GSL (B, Glucotropaeolin), and m—Methoxybenzyl GSL (MOB, Glucolimnathin). The total amount of GSL observed ranged from 0.27 to 50.74 micromols per gram (µMol/g) of dried tuber tissue. Most of the low-content GSL accessions are distributed within the cultivated population with a total GSL concentration lower than 5.00 µMol/g of dried tuber tissue. The highest total and specific GSL (OHB, B, and MOB) contents (more than 25.00 µMol/g of dried tuber tissue) were observed in the feral population with few exceptions. in addition, only six different GSL profiles were found: Only MOB; only B; OHB and B; OHB and MOB; B and MOB; and OHB, B and MOB.","container-title":"Economic Botany","DOI":"10.1663/0013-0001(2006)60[254:GSOCAF]2.0.CO;2","ISSN":"1874-9364","issue":"3","journalAbbreviation":"Econ Bot","language":"en","page":"254-264","source":"Springer Link","title":"Glucosinolate survey of cultivated and feral mashua (Tropaeolum tuberosum Ruíz &amp; PavÓn) in the Cuzco region of Peru","volume":"60","author":[{"family":"Ortega","given":"Oscar R."},{"family":"Kliebenstein","given":"Daniel J."},{"family":"Arbizu","given":"Carlos"},{"family":"Ortega","given":"Ramiro"},{"family":"Quiros","given":"Carlos F."}],"issued":{"date-parts":[["2006",9,1]]}}}],"schema":"https://github.com/citation-style-language/schema/raw/master/csl-citation.json"} </w:instrText>
      </w:r>
      <w:r w:rsidRPr="009A1E41">
        <w:rPr>
          <w:rFonts w:cs="Times New Roman"/>
          <w:color w:val="000000" w:themeColor="text1"/>
          <w:szCs w:val="23"/>
        </w:rPr>
        <w:fldChar w:fldCharType="separate"/>
      </w:r>
      <w:r w:rsidRPr="009A1E41">
        <w:rPr>
          <w:rFonts w:cs="Times New Roman"/>
          <w:szCs w:val="23"/>
        </w:rPr>
        <w:t>(Ortega et al., 2006)</w:t>
      </w:r>
      <w:r w:rsidRPr="009A1E41">
        <w:rPr>
          <w:rFonts w:cs="Times New Roman"/>
          <w:color w:val="000000" w:themeColor="text1"/>
          <w:szCs w:val="23"/>
        </w:rPr>
        <w:fldChar w:fldCharType="end"/>
      </w:r>
      <w:r w:rsidRPr="009A1E41">
        <w:rPr>
          <w:rFonts w:cs="Times New Roman"/>
          <w:color w:val="000000" w:themeColor="text1"/>
          <w:szCs w:val="23"/>
        </w:rPr>
        <w:t xml:space="preserve">, algunos de los cuales son responsables de su actividad antiinflamatoria </w:t>
      </w:r>
      <w:r w:rsidRPr="009A1E41">
        <w:rPr>
          <w:rFonts w:cs="Times New Roman"/>
          <w:color w:val="000000" w:themeColor="text1"/>
          <w:szCs w:val="23"/>
        </w:rPr>
        <w:fldChar w:fldCharType="begin"/>
      </w:r>
      <w:r w:rsidR="00A51440">
        <w:rPr>
          <w:rFonts w:cs="Times New Roman"/>
          <w:color w:val="000000" w:themeColor="text1"/>
          <w:szCs w:val="23"/>
        </w:rPr>
        <w:instrText xml:space="preserve"> ADDIN ZOTERO_ITEM CSL_CITATION {"citationID":"kG16giCU","properties":{"formattedCitation":"(Aguilar-Galvez et\\uc0\\u160{}al., 2020b; Chirinos et\\uc0\\u160{}al., 2007; Malpartidas Yapias et\\uc0\\u160{}al., 2022)","plainCitation":"(Aguilar-Galvez et al., 2020b; Chirinos et al., 2007; Malpartidas Yapias et al., 2022)","dontUpdate":true,"noteIndex":0},"citationItems":[{"id":38,"uris":["http://zotero.org/users/5236988/items/7PWPSD4B"],"itemData":{"id":38,"type":"article-journal","abstract":"Mashua (Tropaeolum tuberosum) is an important food in certain areas of the Andean region, where it is popularly believed to possess medicinal properties. Several studies have previously shown the potential of this tuber as a source of bioactive compounds. Traditionally, the tuber is exposed to the sun before consumption, in order to reduce its bitterness. The present work aims to study, at the proteome level, the differential abundance of proteins in tubers subjected to different postharvest treatments: sun-exposure (SUN), shade (SHA), refrigeration (COLD) and shade combined with sun-exposure (SHA-SUN) compared to recently harvested tubers (INIT). Results showed that sun exposure for prolonged times (9 days) resulted in increased abundance of proteins classified as heat shock proteins, intracellular traffic, disease/defense and protein degradation. Our results reflect that the sun treatment activates defense systems and osmoprotection adjustment against water loss and reactive oxygen species.","container-title":"Food Chemistry","DOI":"10.1016/j.foodchem.2019.125485","ISSN":"0308-8146","journalAbbreviation":"Food Chemistry","language":"en","page":"125485","source":"ScienceDirect","title":"Proteomic analysis of mashua (Tropaeolum tuberosum) tubers subjected to postharvest treatments","volume":"305","author":[{"family":"Aguilar-Galvez","given":"Ana"},{"family":"Pedreschi","given":"Romina"},{"family":"Carpentier","given":"Sebastien"},{"family":"Chirinos","given":"Rosana"},{"family":"García-Ríos","given":"Diego"},{"family":"Campos","given":"David"}],"issued":{"date-parts":[["2020",2,1]]}}},{"id":39,"uris":["http://zotero.org/users/5236988/items/HYAPHMY9"],"itemData":{"id":39,"type":"article-journal","abstract":"Optimal conditions for the extraction of phenolic compounds, anthocyanins, flavanols and ORAC antioxidant activity for two mashua genotypes were determined using the conventional liquid–solid method. Phenolic contents and antioxidant activity were affected by the type of solvent, pH level, solvent–water ratio and extraction time. In general, no significant differences in total phenolic recovery and ORAC values were observed when 90% methanol or methanol/acetone/water (45/45/10), both with 0.1% HCl, were used. By contrast, the 90% methanol solution with 0.1% HCl extracted the highest level of anthocyanins, whereas the solvent mixture extracted the highest level of flavanols. The purified extracts from the mashua genotypes presented total phenolics and ORAC contents within the ranges 14.4–18.7mg gallic acid equivalents/g mashua dry matter (DM) and 221–359μmol of trolox equivalents/g mashua DM, respectively. The HPLC-DAD phenolic profiles obtained for the purified phenolic extracts for both mashua genotypes showed differences in proportions (% total area at 280 and 520nm) depending on the solvents selected in this study. The high content of phenolic compounds and antioxidant activity found in the purified extracts for both mashua genotypes indicated that mashua extracts might be considered as a potential source of nutraceuticals in the future.","container-title":"Separation and Purification Technology","DOI":"10.1016/j.seppur.2006.12.005","ISSN":"1383-5866","issue":"2","journalAbbreviation":"Separation and Purification Technology","language":"en","note":"number: 2","page":"217-225","source":"ScienceDirect","title":"Optimization of extraction conditions of antioxidant phenolic compounds from mashua (Tropaeolum tuberosum Ruíz &amp; Pavón) tubers","volume":"55","author":[{"family":"Chirinos","given":"Rosana"},{"family":"Rogez","given":"Hervé"},{"family":"Campos","given":"David"},{"family":"Pedreschi","given":"Romina"},{"family":"Larondelle","given":"Yvan"}],"issued":{"date-parts":[["2007",6,15]]}}},{"id":84,"uris":["http://zotero.org/users/5236988/items/SQ42UU2E"],"itemData":{"id":84,"type":"article-journal","container-title":"Revista Tecnológica-ESPOL","DOI":"https://doi.org/10.37815/rte.v34n2.891","issue":"2","page":"41–51","source":"Google Scholar","title":"Características fisicoquímicas, composición nutricional y compuestos bioactivos en tres variedades de Mashua (Tropaeolum tuberosum Ruiz y Pavón): Una revisión","title-short":"Características fisicoquímicas, composición nutricional y compuestos bioactivos en tres variedades de Mashua (Tropaeolum tuberosum Ruiz y Pavón)","volume":"34","author":[{"family":"Malpartidas Yapias","given":"Rafael Julian"},{"family":"Adama Astete","given":"Jhuliana Milagros"},{"family":"Cajachagua Uscuchagua","given":"Yamely Yeraldine"},{"family":"Rosales Sánchez","given":"María Cristina"}],"issued":{"date-parts":[["2022"]]}}}],"schema":"https://github.com/citation-style-language/schema/raw/master/csl-citation.json"} </w:instrText>
      </w:r>
      <w:r w:rsidRPr="009A1E41">
        <w:rPr>
          <w:rFonts w:cs="Times New Roman"/>
          <w:color w:val="000000" w:themeColor="text1"/>
          <w:szCs w:val="23"/>
        </w:rPr>
        <w:fldChar w:fldCharType="separate"/>
      </w:r>
      <w:r w:rsidRPr="009A1E41">
        <w:rPr>
          <w:rFonts w:cs="Times New Roman"/>
          <w:szCs w:val="23"/>
        </w:rPr>
        <w:t>(Aguilar-Galvez et al., 2020; Chirinos et al., 2007; Malpartidas Yapias et al., 2022)</w:t>
      </w:r>
      <w:r w:rsidRPr="009A1E41">
        <w:rPr>
          <w:rFonts w:cs="Times New Roman"/>
          <w:color w:val="000000" w:themeColor="text1"/>
          <w:szCs w:val="23"/>
        </w:rPr>
        <w:fldChar w:fldCharType="end"/>
      </w:r>
    </w:p>
    <w:p w14:paraId="543A2E26" w14:textId="1B28ABCB" w:rsidR="00654440" w:rsidRPr="009A1E41" w:rsidRDefault="00654440" w:rsidP="00045E87">
      <w:pPr>
        <w:tabs>
          <w:tab w:val="left" w:pos="5361"/>
        </w:tabs>
        <w:spacing w:after="0"/>
        <w:rPr>
          <w:rFonts w:cs="Times New Roman"/>
          <w:color w:val="000000" w:themeColor="text1"/>
          <w:szCs w:val="23"/>
        </w:rPr>
      </w:pPr>
      <w:r w:rsidRPr="009A1E41">
        <w:rPr>
          <w:rFonts w:cs="Times New Roman"/>
          <w:color w:val="000000" w:themeColor="text1"/>
          <w:szCs w:val="23"/>
        </w:rPr>
        <w:t xml:space="preserve">La </w:t>
      </w:r>
      <w:proofErr w:type="spellStart"/>
      <w:r w:rsidRPr="009A1E41">
        <w:rPr>
          <w:rFonts w:cs="Times New Roman"/>
          <w:color w:val="000000" w:themeColor="text1"/>
          <w:szCs w:val="23"/>
        </w:rPr>
        <w:t>mashua</w:t>
      </w:r>
      <w:proofErr w:type="spellEnd"/>
      <w:r w:rsidRPr="009A1E41">
        <w:rPr>
          <w:rFonts w:cs="Times New Roman"/>
          <w:color w:val="000000" w:themeColor="text1"/>
          <w:szCs w:val="23"/>
        </w:rPr>
        <w:t xml:space="preserve"> presenta un contenido aproximado de 9.17 % de proteína, 5.86 % de fibra, 77.37 mg/100 g de vitamina C en materia fresca, 73.56 mg/100 g de equivalentes de retinol, minerales y un aporte energético cercano a 440 kcal/100 g </w:t>
      </w:r>
      <w:r w:rsidRPr="009A1E41">
        <w:rPr>
          <w:rFonts w:cs="Times New Roman"/>
          <w:color w:val="000000" w:themeColor="text1"/>
          <w:szCs w:val="23"/>
        </w:rPr>
        <w:fldChar w:fldCharType="begin"/>
      </w:r>
      <w:r w:rsidRPr="009A1E41">
        <w:rPr>
          <w:rFonts w:cs="Times New Roman"/>
          <w:color w:val="000000" w:themeColor="text1"/>
          <w:szCs w:val="23"/>
        </w:rPr>
        <w:instrText xml:space="preserve"> ADDIN ZOTERO_ITEM CSL_CITATION {"citationID":"SdKH7J5O","properties":{"formattedCitation":"(Apaza Ticona et\\uc0\\u160{}al., 2022; Johns et\\uc0\\u160{}al., 1982)","plainCitation":"(Apaza Ticona et al., 2022; Johns et al., 1982)","noteIndex":0},"citationItems":[{"id":55,"uris":["http://zotero.org/users/5236988/items/PKAVAULX"],"itemData":{"id":55,"type":"article-journal","abstract":"Tropaeolum tuberosum, commonly known as Mashua, is an herbal remedy used on the skin in order to treat local pain and to heal wounds. This study aimed to evaluate the extracts and isolated compounds from T. tuberosum with anti-glycative and anti-inflammatory activities. Guided isolation by bioassay led to the isolation and characterisation by NMR and MS of (S)-(-)-N-(α-methylbenzyl)-oleamide (1) and (S)-(-)-N-(α-methylbenzyl)-linoleamide (2). Both compounds inhibited the production of TNF-α with IC50 values of 9.38 µM (NIH/3T3 cells) and 10.06 µM (PA317 cells) for compound 1, and 5.3 µM (NIH/3T3 cells) and 6.48 µM (PA317 cells) for compound 2. Compounds 1 and 2 showed the inhibitory effect on the BSA-MGO formation at concentrations of 9.38 µM (3.39%) and 5.30 µM (8.53%), respectively. Moreover, both compounds showed significant breaking properties on the MGO-AGE-protein crosslink with percent modification of 6.58% (9.38 µM) and 18.08% (5.30 µM), respectively.","container-title":"Natural Product Research","DOI":"10.1080/14786419.2021.2016751","ISSN":"1478-6419","journalAbbreviation":"Natural Product Research","language":"en","source":"ScienceDirect","title":"Anti-glycative and anti-inflammatory effects of macamides isolated from Tropaeolum tuberosum in skin cells","URL":"https://www.sciencedirect.com/science/article/pii/S1478641922052251","author":[{"family":"Apaza Ticona","given":"L."},{"family":"Peña-Rojas","given":"G."},{"family":"Andía-Ayme","given":"V."},{"family":"Durán García","given":"B."},{"family":"Rumbero Sánchez","given":"A."}],"accessed":{"date-parts":[["2023",3,29]]},"issued":{"date-parts":[["2022",3,8]]}}},{"id":149,"uris":["http://zotero.org/users/5236988/items/IKRJ2AZG"],"itemData":{"id":149,"type":"article-journal","container-title":"Journal of Ethnopharmacology","issue":"2","note":"publisher: Elsevier","page":"149–161","source":"Google Scholar","title":"Anti-reproductive and other medicinal effects of Tropaeolum tuberos um","volume":"5","author":[{"family":"Johns","given":"Timothy"},{"family":"Kitts","given":"W. D."},{"family":"Newsome","given":"Frances"},{"family":"Towers","given":"GH Neil"}],"issued":{"date-parts":[["1982"]]}}}],"schema":"https://github.com/citation-style-language/schema/raw/master/csl-citation.json"} </w:instrText>
      </w:r>
      <w:r w:rsidRPr="009A1E41">
        <w:rPr>
          <w:rFonts w:cs="Times New Roman"/>
          <w:color w:val="000000" w:themeColor="text1"/>
          <w:szCs w:val="23"/>
        </w:rPr>
        <w:fldChar w:fldCharType="separate"/>
      </w:r>
      <w:r w:rsidRPr="009A1E41">
        <w:rPr>
          <w:rFonts w:cs="Times New Roman"/>
          <w:szCs w:val="23"/>
        </w:rPr>
        <w:t>(Apaza Ticona et al., 2022; Johns et al., 1982)</w:t>
      </w:r>
      <w:r w:rsidRPr="009A1E41">
        <w:rPr>
          <w:rFonts w:cs="Times New Roman"/>
          <w:color w:val="000000" w:themeColor="text1"/>
          <w:szCs w:val="23"/>
        </w:rPr>
        <w:fldChar w:fldCharType="end"/>
      </w:r>
      <w:r w:rsidRPr="009A1E41">
        <w:rPr>
          <w:rFonts w:cs="Times New Roman"/>
          <w:color w:val="000000" w:themeColor="text1"/>
          <w:szCs w:val="23"/>
        </w:rPr>
        <w:t xml:space="preserve">. El contenido de humedad puede variar entre 80.3 y 83 %, con un rango de sólidos solubles de 8.4 a 8.9 </w:t>
      </w:r>
      <w:proofErr w:type="spellStart"/>
      <w:r w:rsidRPr="009A1E41">
        <w:rPr>
          <w:rFonts w:cs="Times New Roman"/>
          <w:color w:val="000000" w:themeColor="text1"/>
          <w:szCs w:val="23"/>
        </w:rPr>
        <w:t>°Brix</w:t>
      </w:r>
      <w:proofErr w:type="spellEnd"/>
      <w:r w:rsidRPr="009A1E41">
        <w:rPr>
          <w:rFonts w:cs="Times New Roman"/>
          <w:color w:val="000000" w:themeColor="text1"/>
          <w:szCs w:val="23"/>
        </w:rPr>
        <w:t xml:space="preserve"> </w:t>
      </w:r>
      <w:r w:rsidRPr="009A1E41">
        <w:rPr>
          <w:rFonts w:cs="Times New Roman"/>
          <w:color w:val="000000" w:themeColor="text1"/>
          <w:szCs w:val="23"/>
        </w:rPr>
        <w:fldChar w:fldCharType="begin"/>
      </w:r>
      <w:r w:rsidRPr="009A1E41">
        <w:rPr>
          <w:rFonts w:cs="Times New Roman"/>
          <w:color w:val="000000" w:themeColor="text1"/>
          <w:szCs w:val="23"/>
        </w:rPr>
        <w:instrText xml:space="preserve"> ADDIN ZOTERO_ITEM CSL_CITATION {"citationID":"4pdcEP6K","properties":{"formattedCitation":"(Casta\\uc0\\u241{}eta et\\uc0\\u160{}al., 2024)","plainCitation":"(Castañeta et al., 2024)","noteIndex":0},"citationItems":[{"id":2,"uris":["http://zotero.org/users/5236988/items/8ACAZ7SC"],"itemData":{"id":2,"type":"article-journal","abstract":"The tubers of Tropaeolum tuberosum, locally known as Isaño and native to the Andean region of South America, have been known since ancient times for their multiple uses in the Bolivian population. They are used both as food in various preparations and in traditional medicine. In this investigation, we report the study of three Isaño cultivars currently consumed in Bolivia. We determined their proximal composition, characterized carotenoids, determined antioxidant capacity, measured total phenols and total flavonoids, and quantified the major polyphenols. The results show that, apart from being a source of important nutrients such as proteins, Bolivian Isaño is a source of antioxidants and has a higher concentration of flavonoids and anthocyanidins, particularly in the purple cultivar. Additionally, we identified the presence of three carotenoids in this food for the first time: Lutein, Neoxanthin, and β-carotene. Through these types of studies, we aim to revalue this food, which is little known both in Bolivia and outside the Andean region of South America. Considering its nutritional properties, we seek to increase its consumption.","container-title":"Discover Food","DOI":"10.1007/s44187-024-00078-8","ISSN":"2731-4286","issue":"1","journalAbbreviation":"Discover Food","page":"9","title":"Characterization of carotenoids, proximal analysis, phenolic compounds, anthocyanidins and antioxidant capacity of an underutilized tuber (Tropaeolum tuberosum) from Bolivia","volume":"4","author":[{"family":"Castañeta","given":"Grover"},{"family":"Miranda-Flores","given":"Daniela"},{"family":"Bascopé","given":"Marcelo"},{"family":"Peñarrieta","given":"J. Mauricio"}],"issued":{"date-parts":[["2024",2,19]]}}}],"schema":"https://github.com/citation-style-language/schema/raw/master/csl-citation.json"} </w:instrText>
      </w:r>
      <w:r w:rsidRPr="009A1E41">
        <w:rPr>
          <w:rFonts w:cs="Times New Roman"/>
          <w:color w:val="000000" w:themeColor="text1"/>
          <w:szCs w:val="23"/>
        </w:rPr>
        <w:fldChar w:fldCharType="separate"/>
      </w:r>
      <w:r w:rsidRPr="009A1E41">
        <w:rPr>
          <w:rFonts w:cs="Times New Roman"/>
          <w:szCs w:val="23"/>
        </w:rPr>
        <w:t>(Castañeta et al., 2024)</w:t>
      </w:r>
      <w:r w:rsidRPr="009A1E41">
        <w:rPr>
          <w:rFonts w:cs="Times New Roman"/>
          <w:color w:val="000000" w:themeColor="text1"/>
          <w:szCs w:val="23"/>
        </w:rPr>
        <w:fldChar w:fldCharType="end"/>
      </w:r>
      <w:r w:rsidRPr="009A1E41">
        <w:rPr>
          <w:rFonts w:cs="Times New Roman"/>
          <w:color w:val="000000" w:themeColor="text1"/>
          <w:szCs w:val="23"/>
        </w:rPr>
        <w:t xml:space="preserve">. Alrededor del 46.92 % es almidón en base seca, el cual puede emplearse como agente espesante o gelificante tanto en aplicaciones alimentarias como en diversos biomateriales </w:t>
      </w:r>
      <w:r w:rsidRPr="009A1E41">
        <w:rPr>
          <w:rFonts w:cs="Times New Roman"/>
          <w:color w:val="000000" w:themeColor="text1"/>
          <w:szCs w:val="23"/>
        </w:rPr>
        <w:fldChar w:fldCharType="begin"/>
      </w:r>
      <w:r w:rsidRPr="009A1E41">
        <w:rPr>
          <w:rFonts w:cs="Times New Roman"/>
          <w:color w:val="000000" w:themeColor="text1"/>
          <w:szCs w:val="23"/>
        </w:rPr>
        <w:instrText xml:space="preserve"> ADDIN ZOTERO_ITEM CSL_CITATION {"citationID":"a3n7Kkfc","properties":{"formattedCitation":"(Pacheco et\\uc0\\u160{}al., 2019)","plainCitation":"(Pacheco et al., 2019)","noteIndex":0},"citationItems":[{"id":51,"uris":["http://zotero.org/users/5236988/items/YWWC5T8D"],"itemData":{"id":51,"type":"article-journal","abstract":"Morphological, technological and nutritional analyses were done in two scarcely studied starches from Andean tubers (mashua and melloco). The low sedimentation values, and the high zeta potential of mashua and melloco starches in cold dispersions, as consequence of their electronegativity, indicated a better behaviour as stabilizer than potato starch. During heating, mashua and melloco starches presented much higher viscosity than potato starch, associated with their higher average particle size and greater amylose content. DSC and TGA analyses indicated that melloco starch had the highest gelatinization enthalpy ΔHgel (12.32 J g−1) and degradation temperature (270 °C), in comparison with potato starch, which are indicators of a better thermal resistance. Consequently, extracted mashua and melloco starches could be excellent and cost-effective thickening or gelling agents in both foods and a wide range of biomaterials. Mashua and melloco starches exhibited a digestion rate close to 80%, which agreed with the low resistant starch content.","container-title":"Food Chemistry","DOI":"10.1016/j.foodchem.2019.125268","ISSN":"0308-8146","journalAbbreviation":"Food Chemistry","language":"en","page":"125268","source":"ScienceDirect","title":"Morphological, technological and nutritional properties of flours and starches from mashua (Tropaeolum tuberosum) and melloco (Ullucus tuberosus) cultivated in Ecuador","volume":"301","author":[{"family":"Pacheco","given":"M. Teresa"},{"family":"Moreno","given":"F. Javier"},{"family":"Moreno","given":"Rodrigo"},{"family":"Villamiel","given":"Mar"},{"family":"Hernandez-Hernandez","given":"Oswaldo"}],"issued":{"date-parts":[["2019",12,15]]}}}],"schema":"https://github.com/citation-style-language/schema/raw/master/csl-citation.json"} </w:instrText>
      </w:r>
      <w:r w:rsidRPr="009A1E41">
        <w:rPr>
          <w:rFonts w:cs="Times New Roman"/>
          <w:color w:val="000000" w:themeColor="text1"/>
          <w:szCs w:val="23"/>
        </w:rPr>
        <w:fldChar w:fldCharType="separate"/>
      </w:r>
      <w:r w:rsidRPr="009A1E41">
        <w:rPr>
          <w:rFonts w:cs="Times New Roman"/>
          <w:szCs w:val="23"/>
        </w:rPr>
        <w:t>(Pacheco et al., 2019)</w:t>
      </w:r>
      <w:r w:rsidRPr="009A1E41">
        <w:rPr>
          <w:rFonts w:cs="Times New Roman"/>
          <w:color w:val="000000" w:themeColor="text1"/>
          <w:szCs w:val="23"/>
        </w:rPr>
        <w:fldChar w:fldCharType="end"/>
      </w:r>
      <w:r w:rsidRPr="009A1E41">
        <w:rPr>
          <w:rFonts w:cs="Times New Roman"/>
          <w:color w:val="000000" w:themeColor="text1"/>
          <w:szCs w:val="23"/>
        </w:rPr>
        <w:t>.</w:t>
      </w:r>
    </w:p>
    <w:p w14:paraId="57095C2B" w14:textId="6AACD132" w:rsidR="00654440" w:rsidRPr="009A1E41" w:rsidRDefault="00654440" w:rsidP="00A51440">
      <w:pPr>
        <w:tabs>
          <w:tab w:val="left" w:pos="5361"/>
        </w:tabs>
        <w:spacing w:after="0"/>
        <w:rPr>
          <w:rFonts w:cs="Times New Roman"/>
          <w:color w:val="000000" w:themeColor="text1"/>
          <w:szCs w:val="23"/>
        </w:rPr>
      </w:pPr>
      <w:r w:rsidRPr="009A1E41">
        <w:rPr>
          <w:rFonts w:cs="Times New Roman"/>
          <w:color w:val="000000" w:themeColor="text1"/>
          <w:szCs w:val="23"/>
        </w:rPr>
        <w:t xml:space="preserve">Se han identificado concentraciones elevadas de maltosa, sacarosa, fructosa, glucosa, prolina, alanina, ácido succínico, fumárico, fórmico y acético </w:t>
      </w:r>
      <w:r w:rsidRPr="009A1E41">
        <w:rPr>
          <w:rFonts w:cs="Times New Roman"/>
          <w:color w:val="000000" w:themeColor="text1"/>
          <w:szCs w:val="23"/>
        </w:rPr>
        <w:fldChar w:fldCharType="begin"/>
      </w:r>
      <w:r w:rsidRPr="009A1E41">
        <w:rPr>
          <w:rFonts w:cs="Times New Roman"/>
          <w:color w:val="000000" w:themeColor="text1"/>
          <w:szCs w:val="23"/>
        </w:rPr>
        <w:instrText xml:space="preserve"> ADDIN ZOTERO_ITEM CSL_CITATION {"citationID":"V4yE6vAa","properties":{"formattedCitation":"(Valle-Parra et\\uc0\\u160{}al., 2020)","plainCitation":"(Valle-Parra et al., 2020)","noteIndex":0},"citationItems":[{"id":50,"uris":["http://zotero.org/users/5236988/items/YUUV7U7Q"],"itemData":{"id":50,"type":"article-journal","abstract":"The objective of our research was to contrast the resonance techniques on tubers with the more commonly used morphological analyses. With the aims of establishing a classification among ecotypes and food fingerprint of mashua tuber, a multivariable data analysis like principal component analysis (PCA) and orthogonal projections to latent structures discriminant analysis (OPLS-DA), were performed with morphological and metabolomic profiling data. Accordingly, the morphological traits showed a clear separation among most of the studied ecotypes. For a 1H NMR metabolic profiling, at least 35 compounds were identified in tubers. The relative concentration of these compounds was used to perform a PCA and OPLS-DA analysis. A clear separation, according to PC1 = 31.7%, was between TTE_01 &amp; TTE_02 and the ecotypes TTE_06 and TTE_05 with significantly higher concentrations of disaccharides such as maltose and sucrose. Amino acids such as proline and alanine were found and organic acid including succinic, fumaric, formic and acetic acid. In contrast, TTE_05 and TTE_06 ecotypes contained higher concentrations of monosaccharides such as fructose, glucose. Metabolic profile demonstrated to be a more reliable technique than morphological analysis for classification of ecotypes.","container-title":"LWT","DOI":"10.1016/j.lwt.2019.108869","ISSN":"0023-6438","journalAbbreviation":"LWT","language":"en","page":"108869","source":"ScienceDirect","title":"From morphological traits to the food fingerprint of Tropaeolum tuberosum through metabolomics by NMR","volume":"119","author":[{"family":"Valle-Parra","given":"Miguel"},{"family":"Lalaleo","given":"Liliana"},{"family":"Pomboza-Tamaquiza","given":"Pedro"},{"family":"Ramírez-Estrada","given":"Karla"},{"family":"Becerra-Martínez","given":"Elvia"},{"family":"Hidalgo","given":"Diego"}],"issued":{"date-parts":[["2020",2,1]]}}}],"schema":"https://github.com/citation-style-language/schema/raw/master/csl-citation.json"} </w:instrText>
      </w:r>
      <w:r w:rsidRPr="009A1E41">
        <w:rPr>
          <w:rFonts w:cs="Times New Roman"/>
          <w:color w:val="000000" w:themeColor="text1"/>
          <w:szCs w:val="23"/>
        </w:rPr>
        <w:fldChar w:fldCharType="separate"/>
      </w:r>
      <w:r w:rsidRPr="009A1E41">
        <w:rPr>
          <w:rFonts w:cs="Times New Roman"/>
          <w:szCs w:val="23"/>
        </w:rPr>
        <w:t>(Valle-Parra et al., 2020)</w:t>
      </w:r>
      <w:r w:rsidRPr="009A1E41">
        <w:rPr>
          <w:rFonts w:cs="Times New Roman"/>
          <w:color w:val="000000" w:themeColor="text1"/>
          <w:szCs w:val="23"/>
        </w:rPr>
        <w:fldChar w:fldCharType="end"/>
      </w:r>
      <w:r w:rsidRPr="009A1E41">
        <w:rPr>
          <w:rFonts w:cs="Times New Roman"/>
          <w:color w:val="000000" w:themeColor="text1"/>
          <w:szCs w:val="23"/>
        </w:rPr>
        <w:t xml:space="preserve">. Este tubérculo contiene metabolitos </w:t>
      </w:r>
      <w:r w:rsidRPr="009A1E41">
        <w:rPr>
          <w:rFonts w:cs="Times New Roman"/>
          <w:color w:val="000000" w:themeColor="text1"/>
          <w:szCs w:val="23"/>
        </w:rPr>
        <w:lastRenderedPageBreak/>
        <w:t xml:space="preserve">secundarios, como ácidos </w:t>
      </w:r>
      <w:proofErr w:type="spellStart"/>
      <w:r w:rsidRPr="009A1E41">
        <w:rPr>
          <w:rFonts w:cs="Times New Roman"/>
          <w:color w:val="000000" w:themeColor="text1"/>
          <w:szCs w:val="23"/>
        </w:rPr>
        <w:t>hidroxibenzoicos</w:t>
      </w:r>
      <w:proofErr w:type="spellEnd"/>
      <w:r w:rsidRPr="009A1E41">
        <w:rPr>
          <w:rFonts w:cs="Times New Roman"/>
          <w:color w:val="000000" w:themeColor="text1"/>
          <w:szCs w:val="23"/>
        </w:rPr>
        <w:t xml:space="preserve">, taninos, </w:t>
      </w:r>
      <w:proofErr w:type="spellStart"/>
      <w:r w:rsidRPr="009A1E41">
        <w:rPr>
          <w:rFonts w:cs="Times New Roman"/>
          <w:color w:val="000000" w:themeColor="text1"/>
          <w:szCs w:val="23"/>
        </w:rPr>
        <w:t>flavanoles</w:t>
      </w:r>
      <w:proofErr w:type="spellEnd"/>
      <w:r w:rsidRPr="009A1E41">
        <w:rPr>
          <w:rFonts w:cs="Times New Roman"/>
          <w:color w:val="000000" w:themeColor="text1"/>
          <w:szCs w:val="23"/>
        </w:rPr>
        <w:t xml:space="preserve">, antocianinas, isotiocianatos, fitoesteroles, ácidos grasos y </w:t>
      </w:r>
      <w:proofErr w:type="spellStart"/>
      <w:r w:rsidRPr="009A1E41">
        <w:rPr>
          <w:rFonts w:cs="Times New Roman"/>
          <w:color w:val="000000" w:themeColor="text1"/>
          <w:szCs w:val="23"/>
        </w:rPr>
        <w:t>alcamidas</w:t>
      </w:r>
      <w:proofErr w:type="spellEnd"/>
      <w:r w:rsidRPr="009A1E41">
        <w:rPr>
          <w:rFonts w:cs="Times New Roman"/>
          <w:color w:val="000000" w:themeColor="text1"/>
          <w:szCs w:val="23"/>
        </w:rPr>
        <w:t xml:space="preserve">, así como un alto contenido de glucosinolatos (GLS) </w:t>
      </w:r>
      <w:r w:rsidRPr="009A1E41">
        <w:rPr>
          <w:rFonts w:cs="Times New Roman"/>
          <w:color w:val="000000" w:themeColor="text1"/>
          <w:szCs w:val="23"/>
        </w:rPr>
        <w:fldChar w:fldCharType="begin"/>
      </w:r>
      <w:r w:rsidR="00A51440">
        <w:rPr>
          <w:rFonts w:cs="Times New Roman"/>
          <w:color w:val="000000" w:themeColor="text1"/>
          <w:szCs w:val="23"/>
        </w:rPr>
        <w:instrText xml:space="preserve"> ADDIN ZOTERO_ITEM CSL_CITATION {"citationID":"WIojdxH4","properties":{"formattedCitation":"(Aguilar-Galvez et\\uc0\\u160{}al., 2020; Apaza Ticona et\\uc0\\u160{}al., 2022)","plainCitation":"(Aguilar-Galvez et al., 2020; Apaza Ticona et al., 2022)","noteIndex":0},"citationItems":[{"id":38,"uris":["http://zotero.org/users/5236988/items/7PWPSD4B"],"itemData":{"id":38,"type":"article-journal","abstract":"Mashua (Tropaeolum tuberosum) is an important food in certain areas of the Andean region, where it is popularly believed to possess medicinal properties. Several studies have previously shown the potential of this tuber as a source of bioactive compounds. Traditionally, the tuber is exposed to the sun before consumption, in order to reduce its bitterness. The present work aims to study, at the proteome level, the differential abundance of proteins in tubers subjected to different postharvest treatments: sun-exposure (SUN), shade (SHA), refrigeration (COLD) and shade combined with sun-exposure (SHA-SUN) compared to recently harvested tubers (INIT). Results showed that sun exposure for prolonged times (9 days) resulted in increased abundance of proteins classified as heat shock proteins, intracellular traffic, disease/defense and protein degradation. Our results reflect that the sun treatment activates defense systems and osmoprotection adjustment against water loss and reactive oxygen species.","container-title":"Food Chemistry","DOI":"10.1016/j.foodchem.2019.125485","ISSN":"0308-8146","journalAbbreviation":"Food Chemistry","language":"en","page":"125485","source":"ScienceDirect","title":"Proteomic analysis of mashua (Tropaeolum tuberosum) tubers subjected to postharvest treatments","volume":"305","author":[{"family":"Aguilar-Galvez","given":"Ana"},{"family":"Pedreschi","given":"Romina"},{"family":"Carpentier","given":"Sebastien"},{"family":"Chirinos","given":"Rosana"},{"family":"García-Ríos","given":"Diego"},{"family":"Campos","given":"David"}],"issued":{"date-parts":[["2020",2,1]]}}},{"id":55,"uris":["http://zotero.org/users/5236988/items/PKAVAULX"],"itemData":{"id":55,"type":"article-journal","abstract":"Tropaeolum tuberosum, commonly known as Mashua, is an herbal remedy used on the skin in order to treat local pain and to heal wounds. This study aimed to evaluate the extracts and isolated compounds from T. tuberosum with anti-glycative and anti-inflammatory activities. Guided isolation by bioassay led to the isolation and characterisation by NMR and MS of (S)-(-)-N-(α-methylbenzyl)-oleamide (1) and (S)-(-)-N-(α-methylbenzyl)-linoleamide (2). Both compounds inhibited the production of TNF-α with IC50 values of 9.38 µM (NIH/3T3 cells) and 10.06 µM (PA317 cells) for compound 1, and 5.3 µM (NIH/3T3 cells) and 6.48 µM (PA317 cells) for compound 2. Compounds 1 and 2 showed the inhibitory effect on the BSA-MGO formation at concentrations of 9.38 µM (3.39%) and 5.30 µM (8.53%), respectively. Moreover, both compounds showed significant breaking properties on the MGO-AGE-protein crosslink with percent modification of 6.58% (9.38 µM) and 18.08% (5.30 µM), respectively.","container-title":"Natural Product Research","DOI":"10.1080/14786419.2021.2016751","ISSN":"1478-6419","journalAbbreviation":"Natural Product Research","language":"en","source":"ScienceDirect","title":"Anti-glycative and anti-inflammatory effects of macamides isolated from Tropaeolum tuberosum in skin cells","URL":"https://www.sciencedirect.com/science/article/pii/S1478641922052251","author":[{"family":"Apaza Ticona","given":"L."},{"family":"Peña-Rojas","given":"G."},{"family":"Andía-Ayme","given":"V."},{"family":"Durán García","given":"B."},{"family":"Rumbero Sánchez","given":"A."}],"accessed":{"date-parts":[["2023",3,29]]},"issued":{"date-parts":[["2022",3,8]]}}}],"schema":"https://github.com/citation-style-language/schema/raw/master/csl-citation.json"} </w:instrText>
      </w:r>
      <w:r w:rsidRPr="009A1E41">
        <w:rPr>
          <w:rFonts w:cs="Times New Roman"/>
          <w:color w:val="000000" w:themeColor="text1"/>
          <w:szCs w:val="23"/>
        </w:rPr>
        <w:fldChar w:fldCharType="separate"/>
      </w:r>
      <w:r w:rsidR="00A51440" w:rsidRPr="00A51440">
        <w:rPr>
          <w:rFonts w:cs="Times New Roman"/>
        </w:rPr>
        <w:t>(Aguilar-Galvez et al., 2020; Apaza Ticona et al., 2022)</w:t>
      </w:r>
      <w:r w:rsidRPr="009A1E41">
        <w:rPr>
          <w:rFonts w:cs="Times New Roman"/>
          <w:color w:val="000000" w:themeColor="text1"/>
          <w:szCs w:val="23"/>
        </w:rPr>
        <w:fldChar w:fldCharType="end"/>
      </w:r>
    </w:p>
    <w:p w14:paraId="0761AC85" w14:textId="482D620C" w:rsidR="00654440" w:rsidRPr="009A1E41" w:rsidRDefault="00654440" w:rsidP="00A51440">
      <w:pPr>
        <w:tabs>
          <w:tab w:val="left" w:pos="5361"/>
        </w:tabs>
        <w:spacing w:after="0"/>
        <w:rPr>
          <w:rFonts w:cs="Times New Roman"/>
          <w:color w:val="000000" w:themeColor="text1"/>
          <w:szCs w:val="23"/>
        </w:rPr>
      </w:pPr>
      <w:r w:rsidRPr="009A1E41">
        <w:rPr>
          <w:rFonts w:cs="Times New Roman"/>
          <w:color w:val="000000" w:themeColor="text1"/>
          <w:szCs w:val="23"/>
        </w:rPr>
        <w:t xml:space="preserve">Los GLS se encuentran en especies de las familias </w:t>
      </w:r>
      <w:proofErr w:type="spellStart"/>
      <w:r w:rsidRPr="009A1E41">
        <w:rPr>
          <w:rFonts w:cs="Times New Roman"/>
          <w:color w:val="000000" w:themeColor="text1"/>
          <w:szCs w:val="23"/>
        </w:rPr>
        <w:t>Brassicaceae</w:t>
      </w:r>
      <w:proofErr w:type="spellEnd"/>
      <w:r w:rsidRPr="009A1E41">
        <w:rPr>
          <w:rFonts w:cs="Times New Roman"/>
          <w:color w:val="000000" w:themeColor="text1"/>
          <w:szCs w:val="23"/>
        </w:rPr>
        <w:t xml:space="preserve">, </w:t>
      </w:r>
      <w:proofErr w:type="spellStart"/>
      <w:r w:rsidRPr="009A1E41">
        <w:rPr>
          <w:rFonts w:cs="Times New Roman"/>
          <w:color w:val="000000" w:themeColor="text1"/>
          <w:szCs w:val="23"/>
        </w:rPr>
        <w:t>Capparidaceae</w:t>
      </w:r>
      <w:proofErr w:type="spellEnd"/>
      <w:r w:rsidRPr="009A1E41">
        <w:rPr>
          <w:rFonts w:cs="Times New Roman"/>
          <w:color w:val="000000" w:themeColor="text1"/>
          <w:szCs w:val="23"/>
        </w:rPr>
        <w:t xml:space="preserve">, </w:t>
      </w:r>
      <w:proofErr w:type="spellStart"/>
      <w:r w:rsidRPr="009A1E41">
        <w:rPr>
          <w:rFonts w:cs="Times New Roman"/>
          <w:color w:val="000000" w:themeColor="text1"/>
          <w:szCs w:val="23"/>
        </w:rPr>
        <w:t>Moringaceae</w:t>
      </w:r>
      <w:proofErr w:type="spellEnd"/>
      <w:r w:rsidRPr="009A1E41">
        <w:rPr>
          <w:rFonts w:cs="Times New Roman"/>
          <w:color w:val="000000" w:themeColor="text1"/>
          <w:szCs w:val="23"/>
        </w:rPr>
        <w:t xml:space="preserve"> y </w:t>
      </w:r>
      <w:proofErr w:type="spellStart"/>
      <w:r w:rsidRPr="009A1E41">
        <w:rPr>
          <w:rFonts w:cs="Times New Roman"/>
          <w:color w:val="000000" w:themeColor="text1"/>
          <w:szCs w:val="23"/>
        </w:rPr>
        <w:t>Resedaceae</w:t>
      </w:r>
      <w:proofErr w:type="spellEnd"/>
      <w:r w:rsidRPr="009A1E41">
        <w:rPr>
          <w:rFonts w:cs="Times New Roman"/>
          <w:color w:val="000000" w:themeColor="text1"/>
          <w:szCs w:val="23"/>
        </w:rPr>
        <w:t xml:space="preserve"> </w:t>
      </w:r>
      <w:r w:rsidRPr="009A1E41">
        <w:rPr>
          <w:rFonts w:cs="Times New Roman"/>
          <w:color w:val="000000" w:themeColor="text1"/>
          <w:szCs w:val="23"/>
        </w:rPr>
        <w:fldChar w:fldCharType="begin"/>
      </w:r>
      <w:r w:rsidR="00A51440">
        <w:rPr>
          <w:rFonts w:cs="Times New Roman"/>
          <w:color w:val="000000" w:themeColor="text1"/>
          <w:szCs w:val="23"/>
        </w:rPr>
        <w:instrText xml:space="preserve"> ADDIN ZOTERO_ITEM CSL_CITATION {"citationID":"WwBYtM8h","properties":{"formattedCitation":"(Mart\\uc0\\u237{}n y Higuera, 2016; Pacheco et\\uc0\\u160{}al., 2019; Valle-Parra et\\uc0\\u160{}al., 2020)","plainCitation":"(Martín y Higuera, 2016; Pacheco et al., 2019; Valle-Parra et al., 2020)","noteIndex":0},"citationItems":[{"id":172,"uris":["http://zotero.org/users/5236988/items/UEEQCM22"],"itemData":{"id":172,"type":"article-journal","abstract":"BACKGROUND The content of individual and total glucosinolates in 65 mashua tuber accessions (Tropaeolum tuberosum) from the germplasm bank at Universidad Nacional de Colombia was determined by reverse phase high-performance liquid chromatography on enzymatically desulfated extracts. The predominant glucosinolate was identified and the possible structure of the glucosinolate present in lower proportion was postulated from evidence obtained by high-performance liquid chromatography/mass spectrometry, 1H and 13C nuclear magnetic resonance and bi-dimensional experiments. The biological action of the hydrolysis products generated from the glucosinolates in the accessions that showed a higher content of these compounds was assessed in the presence of Fusarium oxysporum f. sp. dianthi, Rhizoctonia solani and Phytophthora infestans. RESULTS The total content of glucosinolates ranged between &gt;3.00 × 10−1 and 25.8 µmol g−1 dry matter. p-Methoxybenzyl glucosinolate was identified as the predominant glucosinolate in Colombian mashua accessions; besides, the possible presence of p-hydroxybenzyl glucosinolate was postulated. In vitro assays established an important fungal growth inhibition of the potato pathogen P. infestans. CONCLUSION The biological action from p-methoxybenzyl glucosinolate and p-hydroxybenzyl glucosinolate found in Colombian mashua accessions depends on their concentration, with the Tt30 accession, characterized for showing the highest content of glucosinolates, being the most promising to control the assessed pathogens. © 2016 Society of Chemical Industry","container-title":"Journal of the Science of Food and Agriculture","DOI":"10.1002/jsfa.7689","ISSN":"1097-0010","issue":"14","language":"en","license":"© 2016 Society of Chemical Industry","note":"_eprint: https://onlinelibrary.wiley.com/doi/pdf/10.1002/jsfa.7689","page":"4702-4712","source":"Wiley Online Library","title":"Glucosinolate composition of Colombian accessions of mashua (Tropaeolum tuberosum Ruíz &amp; Pavón), structural elucidation of the predominant glucosinolate and assessment of its antifungal activity","volume":"96","author":[{"family":"Martín","given":"Jenny Carolina"},{"family":"Higuera","given":"Blanca Ligia"}],"issued":{"date-parts":[["2016"]]}}},{"id":51,"uris":["http://zotero.org/users/5236988/items/YWWC5T8D"],"itemData":{"id":51,"type":"article-journal","abstract":"Morphological, technological and nutritional analyses were done in two scarcely studied starches from Andean tubers (mashua and melloco). The low sedimentation values, and the high zeta potential of mashua and melloco starches in cold dispersions, as consequence of their electronegativity, indicated a better behaviour as stabilizer than potato starch. During heating, mashua and melloco starches presented much higher viscosity than potato starch, associated with their higher average particle size and greater amylose content. DSC and TGA analyses indicated that melloco starch had the highest gelatinization enthalpy ΔHgel (12.32 J g−1) and degradation temperature (270 °C), in comparison with potato starch, which are indicators of a better thermal resistance. Consequently, extracted mashua and melloco starches could be excellent and cost-effective thickening or gelling agents in both foods and a wide range of biomaterials. Mashua and melloco starches exhibited a digestion rate close to 80%, which agreed with the low resistant starch content.","container-title":"Food Chemistry","DOI":"10.1016/j.foodchem.2019.125268","ISSN":"0308-8146","journalAbbreviation":"Food Chemistry","language":"en","page":"125268","source":"ScienceDirect","title":"Morphological, technological and nutritional properties of flours and starches from mashua (Tropaeolum tuberosum) and melloco (Ullucus tuberosus) cultivated in Ecuador","volume":"301","author":[{"family":"Pacheco","given":"M. Teresa"},{"family":"Moreno","given":"F. Javier"},{"family":"Moreno","given":"Rodrigo"},{"family":"Villamiel","given":"Mar"},{"family":"Hernandez-Hernandez","given":"Oswaldo"}],"issued":{"date-parts":[["2019",12,15]]}}},{"id":50,"uris":["http://zotero.org/users/5236988/items/YUUV7U7Q"],"itemData":{"id":50,"type":"article-journal","abstract":"The objective of our research was to contrast the resonance techniques on tubers with the more commonly used morphological analyses. With the aims of establishing a classification among ecotypes and food fingerprint of mashua tuber, a multivariable data analysis like principal component analysis (PCA) and orthogonal projections to latent structures discriminant analysis (OPLS-DA), were performed with morphological and metabolomic profiling data. Accordingly, the morphological traits showed a clear separation among most of the studied ecotypes. For a 1H NMR metabolic profiling, at least 35 compounds were identified in tubers. The relative concentration of these compounds was used to perform a PCA and OPLS-DA analysis. A clear separation, according to PC1 = 31.7%, was between TTE_01 &amp; TTE_02 and the ecotypes TTE_06 and TTE_05 with significantly higher concentrations of disaccharides such as maltose and sucrose. Amino acids such as proline and alanine were found and organic acid including succinic, fumaric, formic and acetic acid. In contrast, TTE_05 and TTE_06 ecotypes contained higher concentrations of monosaccharides such as fructose, glucose. Metabolic profile demonstrated to be a more reliable technique than morphological analysis for classification of ecotypes.","container-title":"LWT","DOI":"10.1016/j.lwt.2019.108869","ISSN":"0023-6438","journalAbbreviation":"LWT","language":"en","page":"108869","source":"ScienceDirect","title":"From morphological traits to the food fingerprint of Tropaeolum tuberosum through metabolomics by NMR","volume":"119","author":[{"family":"Valle-Parra","given":"Miguel"},{"family":"Lalaleo","given":"Liliana"},{"family":"Pomboza-Tamaquiza","given":"Pedro"},{"family":"Ramírez-Estrada","given":"Karla"},{"family":"Becerra-Martínez","given":"Elvia"},{"family":"Hidalgo","given":"Diego"}],"issued":{"date-parts":[["2020",2,1]]}}}],"schema":"https://github.com/citation-style-language/schema/raw/master/csl-citation.json"} </w:instrText>
      </w:r>
      <w:r w:rsidRPr="009A1E41">
        <w:rPr>
          <w:rFonts w:cs="Times New Roman"/>
          <w:color w:val="000000" w:themeColor="text1"/>
          <w:szCs w:val="23"/>
        </w:rPr>
        <w:fldChar w:fldCharType="separate"/>
      </w:r>
      <w:r w:rsidR="00A51440" w:rsidRPr="00A51440">
        <w:rPr>
          <w:rFonts w:cs="Times New Roman"/>
        </w:rPr>
        <w:t xml:space="preserve">(Martín </w:t>
      </w:r>
      <w:proofErr w:type="spellStart"/>
      <w:r w:rsidR="00A51440" w:rsidRPr="00A51440">
        <w:rPr>
          <w:rFonts w:cs="Times New Roman"/>
        </w:rPr>
        <w:t>y</w:t>
      </w:r>
      <w:proofErr w:type="spellEnd"/>
      <w:r w:rsidR="00A51440" w:rsidRPr="00A51440">
        <w:rPr>
          <w:rFonts w:cs="Times New Roman"/>
        </w:rPr>
        <w:t xml:space="preserve"> Higuera, 2016; Pacheco et al., 2019; Valle-Parra et al., 2020)</w:t>
      </w:r>
      <w:r w:rsidRPr="009A1E41">
        <w:rPr>
          <w:rFonts w:cs="Times New Roman"/>
          <w:color w:val="000000" w:themeColor="text1"/>
          <w:szCs w:val="23"/>
        </w:rPr>
        <w:fldChar w:fldCharType="end"/>
      </w:r>
      <w:r w:rsidRPr="009A1E41">
        <w:rPr>
          <w:rFonts w:cs="Times New Roman"/>
          <w:color w:val="000000" w:themeColor="text1"/>
          <w:szCs w:val="23"/>
        </w:rPr>
        <w:t xml:space="preserve">. Por acción de enzimas vegetales o del microbiota intestinal, se </w:t>
      </w:r>
      <w:proofErr w:type="spellStart"/>
      <w:r w:rsidRPr="009A1E41">
        <w:rPr>
          <w:rFonts w:cs="Times New Roman"/>
          <w:color w:val="000000" w:themeColor="text1"/>
          <w:szCs w:val="23"/>
        </w:rPr>
        <w:t>biotransforman</w:t>
      </w:r>
      <w:proofErr w:type="spellEnd"/>
      <w:r w:rsidRPr="009A1E41">
        <w:rPr>
          <w:rFonts w:cs="Times New Roman"/>
          <w:color w:val="000000" w:themeColor="text1"/>
          <w:szCs w:val="23"/>
        </w:rPr>
        <w:t xml:space="preserve"> en metabolitos biológicos activos, los cuales ejercen efectos beneficiosos para la salud humana </w:t>
      </w:r>
      <w:r w:rsidRPr="009A1E41">
        <w:rPr>
          <w:rFonts w:cs="Times New Roman"/>
          <w:color w:val="000000" w:themeColor="text1"/>
          <w:szCs w:val="23"/>
        </w:rPr>
        <w:fldChar w:fldCharType="begin"/>
      </w:r>
      <w:r w:rsidRPr="009A1E41">
        <w:rPr>
          <w:rFonts w:cs="Times New Roman"/>
          <w:color w:val="000000" w:themeColor="text1"/>
          <w:szCs w:val="23"/>
        </w:rPr>
        <w:instrText xml:space="preserve"> ADDIN ZOTERO_ITEM CSL_CITATION {"citationID":"cqyXIYXW","properties":{"formattedCitation":"(Aguilar-Galvez et\\uc0\\u160{}al., 2023)","plainCitation":"(Aguilar-Galvez et al., 2023)","noteIndex":0},"citationItems":[{"id":58,"uris":["http://zotero.org/users/5236988/items/35PANL89"],"itemData":{"id":58,"type":"article-journal","abstract":"Mashua (Tropaeolum tuberosum) is an Andean tuber with a high content of glucosinolates (GLSs). GLSs subjected to biotransformation by plant enzymes or enzymes of the gastrointestinal microbiota give rise to biologically active compounds, to which chemo preventive properties are attributed. In this work, the biotransformation of mashua GLSs was evaluated in vitro by six strains of lactic acid bacteria (LAB) and in vivo using rats with and without previous LAB dosing. The results showed that L. rhamnosus GG utilized the totality of glucosinalbin and glucotropaeolin, and 46.7 % of glucoaubrietin. Four GLSs derivatives were detected. The GLSs were absorbed and metabolized by the rats with low contents in feces (0.02 %) and urine (0.59 %) and were detected up to 3 h after consumption in plasma. The results showed that probiotic bacteria play an important role in transforming GLSs into beneficial compounds for the health of consumers.","container-title":"Food Chemistry","DOI":"10.1016/j.foodchem.2022.134631","ISSN":"0308-8146","journalAbbreviation":"Food Chemistry","language":"en","page":"134631","source":"ScienceDirect","title":"In vitro and in vivo biotransformation of glucosinolates from mashua (Tropaeolum tuberosum) by lactic acid bacteria","volume":"404","author":[{"family":"Aguilar-Galvez","given":"Ana"},{"family":"García-Ríos","given":"Diego"},{"family":"Ramírez-Guzmán","given":"Daniel"},{"family":"Lindo","given":"Johana"},{"family":"Chirinos","given":"Rosana"},{"family":"Pedreschi","given":"Romina"},{"family":"Campos","given":"David"}],"issued":{"date-parts":[["2023",3,15]]}}}],"schema":"https://github.com/citation-style-language/schema/raw/master/csl-citation.json"} </w:instrText>
      </w:r>
      <w:r w:rsidRPr="009A1E41">
        <w:rPr>
          <w:rFonts w:cs="Times New Roman"/>
          <w:color w:val="000000" w:themeColor="text1"/>
          <w:szCs w:val="23"/>
        </w:rPr>
        <w:fldChar w:fldCharType="separate"/>
      </w:r>
      <w:r w:rsidRPr="009A1E41">
        <w:rPr>
          <w:rFonts w:cs="Times New Roman"/>
          <w:szCs w:val="23"/>
        </w:rPr>
        <w:t>(Aguilar-Galvez et al., 2023)</w:t>
      </w:r>
      <w:r w:rsidRPr="009A1E41">
        <w:rPr>
          <w:rFonts w:cs="Times New Roman"/>
          <w:color w:val="000000" w:themeColor="text1"/>
          <w:szCs w:val="23"/>
        </w:rPr>
        <w:fldChar w:fldCharType="end"/>
      </w:r>
      <w:r w:rsidRPr="009A1E41">
        <w:rPr>
          <w:rFonts w:cs="Times New Roman"/>
          <w:color w:val="000000" w:themeColor="text1"/>
          <w:szCs w:val="23"/>
        </w:rPr>
        <w:t>.</w:t>
      </w:r>
    </w:p>
    <w:p w14:paraId="547294A3" w14:textId="489B1DD1" w:rsidR="0020734C" w:rsidRPr="0072217F" w:rsidRDefault="0020734C" w:rsidP="0072217F">
      <w:pPr>
        <w:spacing w:after="0"/>
        <w:rPr>
          <w:szCs w:val="23"/>
        </w:rPr>
      </w:pPr>
      <w:r w:rsidRPr="009A1E41">
        <w:rPr>
          <w:rFonts w:cs="Times New Roman"/>
          <w:szCs w:val="23"/>
        </w:rPr>
        <w:t xml:space="preserve">La </w:t>
      </w:r>
      <w:proofErr w:type="spellStart"/>
      <w:r w:rsidRPr="009A1E41">
        <w:rPr>
          <w:rFonts w:cs="Times New Roman"/>
          <w:szCs w:val="23"/>
        </w:rPr>
        <w:t>mashua</w:t>
      </w:r>
      <w:proofErr w:type="spellEnd"/>
      <w:r w:rsidRPr="009A1E41">
        <w:rPr>
          <w:rFonts w:cs="Times New Roman"/>
          <w:szCs w:val="23"/>
        </w:rPr>
        <w:t xml:space="preserve">, destaca por un perfil fitoquímico rico en compuestos bioactivos con propiedades antioxidantes, </w:t>
      </w:r>
      <w:proofErr w:type="spellStart"/>
      <w:r w:rsidRPr="009A1E41">
        <w:rPr>
          <w:rFonts w:cs="Times New Roman"/>
          <w:szCs w:val="23"/>
        </w:rPr>
        <w:t>antiproliferativas</w:t>
      </w:r>
      <w:proofErr w:type="spellEnd"/>
      <w:r w:rsidRPr="009A1E41">
        <w:rPr>
          <w:rFonts w:cs="Times New Roman"/>
          <w:szCs w:val="23"/>
        </w:rPr>
        <w:t xml:space="preserve"> y antiinflamatorias, además de poseer </w:t>
      </w:r>
      <w:proofErr w:type="spellStart"/>
      <w:r w:rsidRPr="009A1E41">
        <w:rPr>
          <w:rFonts w:cs="Times New Roman"/>
          <w:szCs w:val="23"/>
        </w:rPr>
        <w:t>fitocomplejos</w:t>
      </w:r>
      <w:proofErr w:type="spellEnd"/>
      <w:r w:rsidRPr="009A1E41">
        <w:rPr>
          <w:rFonts w:cs="Times New Roman"/>
          <w:szCs w:val="23"/>
        </w:rPr>
        <w:t xml:space="preserve"> antimicrobianos naturales de interés para la industria nutracéutica, este producto destaca como un agente coadyuvante en la prevención oncológica y el tratamiento de patologías genitourinarias y hepáticas</w:t>
      </w:r>
      <w:r w:rsidR="00A51440">
        <w:rPr>
          <w:rFonts w:cs="Times New Roman"/>
          <w:szCs w:val="23"/>
        </w:rPr>
        <w:t xml:space="preserve"> </w:t>
      </w:r>
      <w:r w:rsidR="00A51440">
        <w:rPr>
          <w:rFonts w:cs="Times New Roman"/>
          <w:szCs w:val="23"/>
        </w:rPr>
        <w:fldChar w:fldCharType="begin"/>
      </w:r>
      <w:r w:rsidR="00A51440">
        <w:rPr>
          <w:rFonts w:cs="Times New Roman"/>
          <w:szCs w:val="23"/>
        </w:rPr>
        <w:instrText xml:space="preserve"> ADDIN ZOTERO_ITEM CSL_CITATION {"citationID":"sLkrSbLz","properties":{"formattedCitation":"(Chirinos et\\uc0\\u160{}al., 2007)","plainCitation":"(Chirinos et al., 2007)","noteIndex":0},"citationItems":[{"id":39,"uris":["http://zotero.org/users/5236988/items/HYAPHMY9"],"itemData":{"id":39,"type":"article-journal","abstract":"Optimal conditions for the extraction of phenolic compounds, anthocyanins, flavanols and ORAC antioxidant activity for two mashua genotypes were determined using the conventional liquid–solid method. Phenolic contents and antioxidant activity were affected by the type of solvent, pH level, solvent–water ratio and extraction time. In general, no significant differences in total phenolic recovery and ORAC values were observed when 90% methanol or methanol/acetone/water (45/45/10), both with 0.1% HCl, were used. By contrast, the 90% methanol solution with 0.1% HCl extracted the highest level of anthocyanins, whereas the solvent mixture extracted the highest level of flavanols. The purified extracts from the mashua genotypes presented total phenolics and ORAC contents within the ranges 14.4–18.7mg gallic acid equivalents/g mashua dry matter (DM) and 221–359μmol of trolox equivalents/g mashua DM, respectively. The HPLC-DAD phenolic profiles obtained for the purified phenolic extracts for both mashua genotypes showed differences in proportions (% total area at 280 and 520nm) depending on the solvents selected in this study. The high content of phenolic compounds and antioxidant activity found in the purified extracts for both mashua genotypes indicated that mashua extracts might be considered as a potential source of nutraceuticals in the future.","container-title":"Separation and Purification Technology","DOI":"10.1016/j.seppur.2006.12.005","ISSN":"1383-5866","issue":"2","journalAbbreviation":"Separation and Purification Technology","language":"en","note":"number: 2","page":"217-225","source":"ScienceDirect","title":"Optimization of extraction conditions of antioxidant phenolic compounds from mashua (Tropaeolum tuberosum Ruíz &amp; Pavón) tubers","volume":"55","author":[{"family":"Chirinos","given":"Rosana"},{"family":"Rogez","given":"Hervé"},{"family":"Campos","given":"David"},{"family":"Pedreschi","given":"Romina"},{"family":"Larondelle","given":"Yvan"}],"issued":{"date-parts":[["2007",6,15]]}}}],"schema":"https://github.com/citation-style-language/schema/raw/master/csl-citation.json"} </w:instrText>
      </w:r>
      <w:r w:rsidR="00A51440">
        <w:rPr>
          <w:rFonts w:cs="Times New Roman"/>
          <w:szCs w:val="23"/>
        </w:rPr>
        <w:fldChar w:fldCharType="separate"/>
      </w:r>
      <w:r w:rsidR="00A51440" w:rsidRPr="00A51440">
        <w:rPr>
          <w:rFonts w:cs="Times New Roman"/>
        </w:rPr>
        <w:t>(Chirinos et al., 2007)</w:t>
      </w:r>
      <w:r w:rsidR="00A51440">
        <w:rPr>
          <w:rFonts w:cs="Times New Roman"/>
          <w:szCs w:val="23"/>
        </w:rPr>
        <w:fldChar w:fldCharType="end"/>
      </w:r>
      <w:r w:rsidR="00A51440">
        <w:rPr>
          <w:rFonts w:cs="Times New Roman"/>
          <w:szCs w:val="23"/>
        </w:rPr>
        <w:t>.</w:t>
      </w:r>
    </w:p>
    <w:p w14:paraId="5D8DC444" w14:textId="73CC29D6" w:rsidR="00607EE3" w:rsidRDefault="00607EE3" w:rsidP="008226DF">
      <w:pPr>
        <w:pStyle w:val="Heading1"/>
      </w:pPr>
      <w:r>
        <w:t>2. Objetivos</w:t>
      </w:r>
    </w:p>
    <w:p w14:paraId="7A6DDB25" w14:textId="13947B78" w:rsidR="00607EE3" w:rsidRPr="008F3BDB" w:rsidRDefault="00607EE3" w:rsidP="008226DF">
      <w:pPr>
        <w:pStyle w:val="Heading2"/>
      </w:pPr>
      <w:r>
        <w:t>2.</w:t>
      </w:r>
      <w:r w:rsidRPr="008F3BDB">
        <w:t xml:space="preserve">1. </w:t>
      </w:r>
      <w:r w:rsidR="00C533E0" w:rsidRPr="008F3BDB">
        <w:t>Objetivo general</w:t>
      </w:r>
    </w:p>
    <w:p w14:paraId="281F5386" w14:textId="6BA517FB" w:rsidR="00607EE3" w:rsidRPr="008F3BDB" w:rsidRDefault="00607EE3" w:rsidP="008226DF">
      <w:pPr>
        <w:pStyle w:val="Listado"/>
      </w:pPr>
      <w:r w:rsidRPr="008F3BDB">
        <w:t>E</w:t>
      </w:r>
      <w:r w:rsidR="008F3BDB">
        <w:t xml:space="preserve">valuar las características físicas, morfométricas y la composición bromatológica de tubérculos de </w:t>
      </w:r>
      <w:r w:rsidR="008F3BDB" w:rsidRPr="008F3BDB">
        <w:rPr>
          <w:i/>
          <w:iCs/>
        </w:rPr>
        <w:t xml:space="preserve">Tropaeolum </w:t>
      </w:r>
      <w:proofErr w:type="spellStart"/>
      <w:r w:rsidR="008F3BDB" w:rsidRPr="008F3BDB">
        <w:rPr>
          <w:i/>
          <w:iCs/>
        </w:rPr>
        <w:t>tuberosum</w:t>
      </w:r>
      <w:proofErr w:type="spellEnd"/>
      <w:r w:rsidR="008F3BDB">
        <w:t xml:space="preserve"> Ruiz &amp; Pav</w:t>
      </w:r>
      <w:proofErr w:type="spellStart"/>
      <w:r w:rsidR="008F3BDB" w:rsidRPr="008F3BDB">
        <w:rPr>
          <w:lang w:val="es-EC"/>
        </w:rPr>
        <w:t>ó</w:t>
      </w:r>
      <w:r w:rsidR="008F3BDB">
        <w:rPr>
          <w:lang w:val="es-EC"/>
        </w:rPr>
        <w:t>n</w:t>
      </w:r>
      <w:proofErr w:type="spellEnd"/>
      <w:r w:rsidR="008F3BDB">
        <w:rPr>
          <w:lang w:val="es-EC"/>
        </w:rPr>
        <w:t xml:space="preserve"> anaranjado cosechados en dos localidades de la Sierra ecuatoriana, para determinar la influencia del origen geográfico sobre la calidad nutricional y su potencial de transformación agroindustrial.</w:t>
      </w:r>
    </w:p>
    <w:p w14:paraId="54B3FF41" w14:textId="0863D400" w:rsidR="00607EE3" w:rsidRPr="008F3BDB" w:rsidRDefault="00607EE3" w:rsidP="008226DF">
      <w:pPr>
        <w:pStyle w:val="Heading2"/>
      </w:pPr>
      <w:r w:rsidRPr="008F3BDB">
        <w:t xml:space="preserve">2.2. </w:t>
      </w:r>
      <w:r w:rsidR="00C533E0" w:rsidRPr="008F3BDB">
        <w:t>Objetivos específicos</w:t>
      </w:r>
    </w:p>
    <w:p w14:paraId="00CE03FD" w14:textId="2ABCE4D6" w:rsidR="00607EE3" w:rsidRDefault="0048575F" w:rsidP="008226DF">
      <w:pPr>
        <w:pStyle w:val="Listadoajustado"/>
      </w:pPr>
      <w:r>
        <w:t xml:space="preserve">Determinar los parámetros morfométricos y los rasgos físicos morfológicos del fenotipo anaranjado de </w:t>
      </w:r>
      <w:proofErr w:type="spellStart"/>
      <w:r>
        <w:t>mashua</w:t>
      </w:r>
      <w:proofErr w:type="spellEnd"/>
      <w:r>
        <w:t xml:space="preserve"> procedente de los cantones Guamote y Pelileo.</w:t>
      </w:r>
    </w:p>
    <w:p w14:paraId="4002D674" w14:textId="50DF742C" w:rsidR="0048575F" w:rsidRDefault="0048575F" w:rsidP="008226DF">
      <w:pPr>
        <w:pStyle w:val="Listadoajustado"/>
      </w:pPr>
      <w:r>
        <w:t>Cuantificar el perfil bromatológico proximal en las muestras de tubérculos de los dos sectores mediante metodologías normalizadas.</w:t>
      </w:r>
    </w:p>
    <w:p w14:paraId="57F05322" w14:textId="118AE4C8" w:rsidR="0048575F" w:rsidRDefault="0048575F" w:rsidP="008226DF">
      <w:pPr>
        <w:pStyle w:val="Listadoajustado"/>
      </w:pPr>
      <w:r>
        <w:lastRenderedPageBreak/>
        <w:t>Analizar estadísticamente la variación en las propiedades físicas y químicas mediante la prueba de Rangos Múltiple para establecer diferencias significativas atribuibles a las condiciones edafoclimáticas y altitudinales de cada zona de cultivo.</w:t>
      </w:r>
    </w:p>
    <w:p w14:paraId="526E7CD4" w14:textId="2C531559" w:rsidR="003B78C7" w:rsidRDefault="005A43E3" w:rsidP="008226DF">
      <w:pPr>
        <w:pStyle w:val="Heading1"/>
      </w:pPr>
      <w:r>
        <w:t>3. Metodología</w:t>
      </w:r>
    </w:p>
    <w:p w14:paraId="5F201F41" w14:textId="3601251C" w:rsidR="00855189" w:rsidRDefault="00855189" w:rsidP="00855189">
      <w:pPr>
        <w:pStyle w:val="Heading2"/>
      </w:pPr>
      <w:r>
        <w:t>3.1 Zona de estudio y recolección de los tubérculos</w:t>
      </w:r>
    </w:p>
    <w:p w14:paraId="0E07F1DC" w14:textId="656025BC" w:rsidR="00FF7026" w:rsidRDefault="00FF7026" w:rsidP="008226DF">
      <w:pPr>
        <w:rPr>
          <w:rFonts w:cs="Times New Roman"/>
        </w:rPr>
      </w:pPr>
      <w:r>
        <w:rPr>
          <w:rFonts w:cs="Times New Roman"/>
        </w:rPr>
        <w:t xml:space="preserve">Las muestras de </w:t>
      </w:r>
      <w:proofErr w:type="spellStart"/>
      <w:r>
        <w:rPr>
          <w:rFonts w:cs="Times New Roman"/>
        </w:rPr>
        <w:t>mashua</w:t>
      </w:r>
      <w:proofErr w:type="spellEnd"/>
      <w:r>
        <w:rPr>
          <w:rFonts w:cs="Times New Roman"/>
        </w:rPr>
        <w:t xml:space="preserve"> (</w:t>
      </w:r>
      <w:r w:rsidRPr="00FF7026">
        <w:rPr>
          <w:rFonts w:cs="Times New Roman"/>
          <w:i/>
          <w:iCs/>
        </w:rPr>
        <w:t xml:space="preserve">Tropaeolum </w:t>
      </w:r>
      <w:proofErr w:type="spellStart"/>
      <w:r w:rsidRPr="00FF7026">
        <w:rPr>
          <w:rFonts w:cs="Times New Roman"/>
          <w:i/>
          <w:iCs/>
        </w:rPr>
        <w:t>tuberosum</w:t>
      </w:r>
      <w:proofErr w:type="spellEnd"/>
      <w:r>
        <w:rPr>
          <w:rFonts w:cs="Times New Roman"/>
        </w:rPr>
        <w:t>) fenotipo anaranjado fueron recolectadas en estado de madurez fisiológica directamente en las parcelas agrícolas situadas en las dos zonas de la Sierra ecuatoriana:</w:t>
      </w:r>
    </w:p>
    <w:p w14:paraId="3F9700C8" w14:textId="3DB3CFB6" w:rsidR="00FF7026" w:rsidRDefault="00FF7026" w:rsidP="00FF7026">
      <w:pPr>
        <w:pStyle w:val="ListParagraph"/>
        <w:numPr>
          <w:ilvl w:val="0"/>
          <w:numId w:val="9"/>
        </w:numPr>
        <w:rPr>
          <w:rFonts w:cs="Times New Roman"/>
        </w:rPr>
      </w:pPr>
      <w:r>
        <w:rPr>
          <w:rFonts w:cs="Times New Roman"/>
        </w:rPr>
        <w:t xml:space="preserve">Guamote (Provincia de Chimborazo): se caracteriza por altitudes superiores a 3 200 m.s.n.m., clima frio interandino, </w:t>
      </w:r>
      <w:r w:rsidR="00872B50">
        <w:rPr>
          <w:rFonts w:cs="Times New Roman"/>
        </w:rPr>
        <w:t>temperaturas promedias</w:t>
      </w:r>
      <w:r>
        <w:rPr>
          <w:rFonts w:cs="Times New Roman"/>
        </w:rPr>
        <w:t xml:space="preserve"> que oscilan entre 8 </w:t>
      </w:r>
      <w:proofErr w:type="spellStart"/>
      <w:r w:rsidR="00872B50">
        <w:rPr>
          <w:rFonts w:cs="Times New Roman"/>
          <w:vertAlign w:val="superscript"/>
        </w:rPr>
        <w:t>o</w:t>
      </w:r>
      <w:r w:rsidR="00872B50">
        <w:rPr>
          <w:rFonts w:cs="Times New Roman"/>
        </w:rPr>
        <w:t>C</w:t>
      </w:r>
      <w:proofErr w:type="spellEnd"/>
      <w:r w:rsidR="00872B50">
        <w:rPr>
          <w:rFonts w:cs="Times New Roman"/>
        </w:rPr>
        <w:t xml:space="preserve"> y</w:t>
      </w:r>
      <w:r>
        <w:rPr>
          <w:rFonts w:cs="Times New Roman"/>
        </w:rPr>
        <w:t xml:space="preserve"> 12 </w:t>
      </w:r>
      <w:proofErr w:type="spellStart"/>
      <w:r>
        <w:rPr>
          <w:rFonts w:cs="Times New Roman"/>
          <w:vertAlign w:val="superscript"/>
        </w:rPr>
        <w:t>o</w:t>
      </w:r>
      <w:r>
        <w:rPr>
          <w:rFonts w:cs="Times New Roman"/>
        </w:rPr>
        <w:t>C</w:t>
      </w:r>
      <w:proofErr w:type="spellEnd"/>
      <w:r>
        <w:rPr>
          <w:rFonts w:cs="Times New Roman"/>
        </w:rPr>
        <w:t xml:space="preserve">, y suelos de origen volcánico ricos en materia orgánica pero expuestos a marcadas heladas </w:t>
      </w:r>
      <w:r w:rsidR="00872B50">
        <w:rPr>
          <w:rFonts w:cs="Times New Roman"/>
        </w:rPr>
        <w:t>diurnas y alta radiación UV.</w:t>
      </w:r>
    </w:p>
    <w:p w14:paraId="7A0298E6" w14:textId="55251B77" w:rsidR="00872B50" w:rsidRPr="00FF7026" w:rsidRDefault="00872B50" w:rsidP="00FF7026">
      <w:pPr>
        <w:pStyle w:val="ListParagraph"/>
        <w:numPr>
          <w:ilvl w:val="0"/>
          <w:numId w:val="9"/>
        </w:numPr>
        <w:rPr>
          <w:rFonts w:cs="Times New Roman"/>
        </w:rPr>
      </w:pPr>
      <w:r>
        <w:rPr>
          <w:rFonts w:cs="Times New Roman"/>
        </w:rPr>
        <w:t xml:space="preserve">Pelileo (Provincia de Tungurahua): </w:t>
      </w:r>
      <w:r w:rsidR="00C3478F">
        <w:rPr>
          <w:rFonts w:cs="Times New Roman"/>
        </w:rPr>
        <w:t xml:space="preserve">zona caracterizada por una altitud promedio de 2 600 m.s.n.m., clima templado frio, temperaturas promedio entre 13 </w:t>
      </w:r>
      <w:proofErr w:type="spellStart"/>
      <w:r w:rsidR="00C3478F">
        <w:rPr>
          <w:rFonts w:cs="Times New Roman"/>
          <w:vertAlign w:val="superscript"/>
        </w:rPr>
        <w:t>o</w:t>
      </w:r>
      <w:r w:rsidR="00C3478F">
        <w:rPr>
          <w:rFonts w:cs="Times New Roman"/>
        </w:rPr>
        <w:t>C</w:t>
      </w:r>
      <w:proofErr w:type="spellEnd"/>
      <w:r w:rsidR="00C3478F">
        <w:rPr>
          <w:rFonts w:cs="Times New Roman"/>
        </w:rPr>
        <w:t xml:space="preserve"> y 16 </w:t>
      </w:r>
      <w:proofErr w:type="spellStart"/>
      <w:r w:rsidR="00C3478F">
        <w:rPr>
          <w:rFonts w:cs="Times New Roman"/>
          <w:vertAlign w:val="superscript"/>
        </w:rPr>
        <w:t>o</w:t>
      </w:r>
      <w:r w:rsidR="00C3478F">
        <w:rPr>
          <w:rFonts w:cs="Times New Roman"/>
        </w:rPr>
        <w:t>C</w:t>
      </w:r>
      <w:proofErr w:type="spellEnd"/>
      <w:r w:rsidR="00C3478F">
        <w:rPr>
          <w:rFonts w:cs="Times New Roman"/>
        </w:rPr>
        <w:t xml:space="preserve"> y suelos permeables con variaciones en la retención de humedad y fertilidad mineral.</w:t>
      </w:r>
    </w:p>
    <w:p w14:paraId="19E3D3EB" w14:textId="343A4969" w:rsidR="00162F53" w:rsidRDefault="003B78C7" w:rsidP="008226DF">
      <w:pPr>
        <w:rPr>
          <w:rFonts w:cs="Times New Roman"/>
        </w:rPr>
      </w:pPr>
      <w:r w:rsidRPr="008226DF">
        <w:rPr>
          <w:rFonts w:cs="Times New Roman"/>
        </w:rPr>
        <w:t xml:space="preserve">Para la conformación del lote experimental, </w:t>
      </w:r>
      <w:r w:rsidR="006031C2">
        <w:rPr>
          <w:rFonts w:cs="Times New Roman"/>
        </w:rPr>
        <w:t>se aplicó un muestreo simple aleatorio</w:t>
      </w:r>
      <w:r w:rsidR="00DD5187">
        <w:rPr>
          <w:rFonts w:cs="Times New Roman"/>
        </w:rPr>
        <w:t xml:space="preserve">; </w:t>
      </w:r>
      <w:r w:rsidRPr="008226DF">
        <w:rPr>
          <w:rFonts w:cs="Times New Roman"/>
        </w:rPr>
        <w:t xml:space="preserve">se realizó una rigurosa selección de los tubérculos de </w:t>
      </w:r>
      <w:proofErr w:type="spellStart"/>
      <w:r w:rsidRPr="008226DF">
        <w:rPr>
          <w:rFonts w:cs="Times New Roman"/>
        </w:rPr>
        <w:t>mashua</w:t>
      </w:r>
      <w:proofErr w:type="spellEnd"/>
      <w:r w:rsidRPr="008226DF">
        <w:rPr>
          <w:rFonts w:cs="Times New Roman"/>
        </w:rPr>
        <w:t>, aplicando criterios estrictos de uniformidad física y de calidad sanitaria. Se seleccionaron unidades que presentaron un tamaño, morfología y estado de madurez similares, descartando aquell</w:t>
      </w:r>
      <w:r w:rsidR="00265FE8">
        <w:rPr>
          <w:rFonts w:cs="Times New Roman"/>
        </w:rPr>
        <w:t>a</w:t>
      </w:r>
      <w:r w:rsidRPr="008226DF">
        <w:rPr>
          <w:rFonts w:cs="Times New Roman"/>
        </w:rPr>
        <w:t>s que evidenciaran presencia de materias extrañas, daños mecánicos o defectos fitosanitarios visibles que pudieran alterar la composición bioquímica del material vegetal.</w:t>
      </w:r>
    </w:p>
    <w:p w14:paraId="51D70546" w14:textId="28D15735" w:rsidR="00E77391" w:rsidRPr="00E77391" w:rsidRDefault="00E77391" w:rsidP="008226DF">
      <w:pPr>
        <w:rPr>
          <w:rFonts w:cs="Times New Roman"/>
        </w:rPr>
      </w:pPr>
      <w:r>
        <w:rPr>
          <w:rFonts w:cs="Times New Roman"/>
        </w:rPr>
        <w:t xml:space="preserve">Los tubérculos sanos fueron lavados con agua desionizada para remover el suelo adherido, secados a temperatura ambiente y acondicionados en bolsa de polietileno perforadas bajo refrigeración a 4 </w:t>
      </w:r>
      <w:proofErr w:type="spellStart"/>
      <w:r>
        <w:rPr>
          <w:rFonts w:cs="Times New Roman"/>
          <w:vertAlign w:val="superscript"/>
        </w:rPr>
        <w:t>o</w:t>
      </w:r>
      <w:r>
        <w:rPr>
          <w:rFonts w:cs="Times New Roman"/>
        </w:rPr>
        <w:t>C</w:t>
      </w:r>
      <w:proofErr w:type="spellEnd"/>
      <w:r>
        <w:rPr>
          <w:rFonts w:cs="Times New Roman"/>
        </w:rPr>
        <w:t xml:space="preserve"> hasta la realización de los ensayos físicos y analíticos.</w:t>
      </w:r>
    </w:p>
    <w:p w14:paraId="6593D84D" w14:textId="53BD05E4" w:rsidR="00162F53" w:rsidRPr="00684A85" w:rsidRDefault="00162F53" w:rsidP="00684A85">
      <w:pPr>
        <w:rPr>
          <w:rFonts w:cs="Times New Roman"/>
          <w:szCs w:val="23"/>
        </w:rPr>
      </w:pPr>
      <w:r w:rsidRPr="00684A85">
        <w:rPr>
          <w:rFonts w:cs="Times New Roman"/>
          <w:szCs w:val="23"/>
          <w:lang w:val="es-EC"/>
        </w:rPr>
        <w:lastRenderedPageBreak/>
        <w:t>La presente investigación se desarrolló bajo un enfoque cuantitativo, caracterizado por el registro, medición y análisis numérico de las variables operativas, físicas y químicas involucradas en el proceso.</w:t>
      </w:r>
      <w:r w:rsidR="001E6783" w:rsidRPr="00684A85">
        <w:rPr>
          <w:rFonts w:cs="Times New Roman"/>
          <w:szCs w:val="23"/>
        </w:rPr>
        <w:t xml:space="preserve"> El estudio tuvo un alcance descriptivo, ya que se identificaron y caracterizaron las propiedades físicas y químicas del material vegetal.</w:t>
      </w:r>
    </w:p>
    <w:p w14:paraId="5741B627" w14:textId="77777777" w:rsidR="001E6783" w:rsidRPr="00684A85" w:rsidRDefault="001E6783" w:rsidP="00684A85">
      <w:pPr>
        <w:rPr>
          <w:rFonts w:cs="Times New Roman"/>
          <w:szCs w:val="23"/>
        </w:rPr>
      </w:pPr>
      <w:r w:rsidRPr="00684A85">
        <w:rPr>
          <w:rFonts w:cs="Times New Roman"/>
          <w:szCs w:val="23"/>
          <w:lang w:val="es-EC"/>
        </w:rPr>
        <w:t>En cuanto</w:t>
      </w:r>
      <w:r w:rsidRPr="00684A85">
        <w:rPr>
          <w:rFonts w:cs="Times New Roman"/>
          <w:szCs w:val="23"/>
        </w:rPr>
        <w:t xml:space="preserve"> al horizonte de tiempo, la investigación posee un diseño transversal o transeccional, puesto que la recolección de los datos y la caracterización de las variables operativas se efectuaron en un momento único y determinado, proveyendo la base analítica necesaria para el desarrollo de los ensayos. </w:t>
      </w:r>
      <w:r w:rsidRPr="00684A85">
        <w:rPr>
          <w:rFonts w:eastAsia="Times New Roman" w:cs="Times New Roman"/>
          <w:szCs w:val="23"/>
          <w:lang w:val="es-EC"/>
        </w:rPr>
        <w:t>La investigación se desarrolló en Guayaquil, Ecuador, entre septiembre de 2019 y agosto de 2022.</w:t>
      </w:r>
    </w:p>
    <w:p w14:paraId="7877AF94" w14:textId="4F294E6D" w:rsidR="006B58FB" w:rsidRPr="00684A85" w:rsidRDefault="006B58FB" w:rsidP="00684A85">
      <w:pPr>
        <w:pStyle w:val="Heading2"/>
        <w:rPr>
          <w:rFonts w:cs="Times New Roman"/>
          <w:spacing w:val="0"/>
          <w:szCs w:val="23"/>
        </w:rPr>
      </w:pPr>
      <w:bookmarkStart w:id="1" w:name="_Toc235871699"/>
      <w:r w:rsidRPr="00684A85">
        <w:rPr>
          <w:rFonts w:cs="Times New Roman"/>
          <w:szCs w:val="23"/>
        </w:rPr>
        <w:t>3.</w:t>
      </w:r>
      <w:r w:rsidR="00DC5E4E" w:rsidRPr="00684A85">
        <w:rPr>
          <w:rFonts w:cs="Times New Roman"/>
          <w:szCs w:val="23"/>
        </w:rPr>
        <w:t>2</w:t>
      </w:r>
      <w:r w:rsidRPr="00684A85">
        <w:rPr>
          <w:rFonts w:cs="Times New Roman"/>
          <w:szCs w:val="23"/>
        </w:rPr>
        <w:t xml:space="preserve"> </w:t>
      </w:r>
      <w:r w:rsidR="001E6783" w:rsidRPr="00684A85">
        <w:rPr>
          <w:rFonts w:cs="Times New Roman"/>
          <w:szCs w:val="23"/>
        </w:rPr>
        <w:t>Caracterización</w:t>
      </w:r>
      <w:r w:rsidR="001E6783" w:rsidRPr="00684A85">
        <w:rPr>
          <w:rFonts w:cs="Times New Roman"/>
          <w:spacing w:val="2"/>
          <w:szCs w:val="23"/>
        </w:rPr>
        <w:t xml:space="preserve"> </w:t>
      </w:r>
      <w:r w:rsidR="001E6783" w:rsidRPr="00684A85">
        <w:rPr>
          <w:rFonts w:cs="Times New Roman"/>
          <w:szCs w:val="23"/>
        </w:rPr>
        <w:t>botánica</w:t>
      </w:r>
      <w:r w:rsidRPr="00684A85">
        <w:rPr>
          <w:rFonts w:cs="Times New Roman"/>
          <w:szCs w:val="23"/>
        </w:rPr>
        <w:t xml:space="preserve"> y </w:t>
      </w:r>
      <w:proofErr w:type="spellStart"/>
      <w:r w:rsidRPr="00684A85">
        <w:rPr>
          <w:rFonts w:cs="Times New Roman"/>
          <w:szCs w:val="23"/>
        </w:rPr>
        <w:t>morfofisiológica</w:t>
      </w:r>
      <w:proofErr w:type="spellEnd"/>
      <w:r w:rsidR="001E6783" w:rsidRPr="00684A85">
        <w:rPr>
          <w:rFonts w:cs="Times New Roman"/>
          <w:spacing w:val="-4"/>
          <w:szCs w:val="23"/>
        </w:rPr>
        <w:t xml:space="preserve"> </w:t>
      </w:r>
      <w:r w:rsidR="001E6783" w:rsidRPr="00684A85">
        <w:rPr>
          <w:rFonts w:cs="Times New Roman"/>
          <w:szCs w:val="23"/>
        </w:rPr>
        <w:t>de</w:t>
      </w:r>
      <w:r w:rsidR="001E6783" w:rsidRPr="00684A85">
        <w:rPr>
          <w:rFonts w:cs="Times New Roman"/>
          <w:spacing w:val="-7"/>
          <w:szCs w:val="23"/>
        </w:rPr>
        <w:t xml:space="preserve"> </w:t>
      </w:r>
      <w:r w:rsidR="001E6783" w:rsidRPr="00684A85">
        <w:rPr>
          <w:rFonts w:cs="Times New Roman"/>
          <w:szCs w:val="23"/>
        </w:rPr>
        <w:t>la</w:t>
      </w:r>
      <w:r w:rsidR="001E6783" w:rsidRPr="00684A85">
        <w:rPr>
          <w:rFonts w:cs="Times New Roman"/>
          <w:spacing w:val="-7"/>
          <w:szCs w:val="23"/>
        </w:rPr>
        <w:t xml:space="preserve"> </w:t>
      </w:r>
      <w:proofErr w:type="spellStart"/>
      <w:r w:rsidR="001E6783" w:rsidRPr="00684A85">
        <w:rPr>
          <w:rFonts w:cs="Times New Roman"/>
          <w:spacing w:val="-2"/>
          <w:szCs w:val="23"/>
        </w:rPr>
        <w:t>mashua</w:t>
      </w:r>
      <w:bookmarkEnd w:id="1"/>
      <w:proofErr w:type="spellEnd"/>
    </w:p>
    <w:p w14:paraId="2C8BF6C9" w14:textId="5BF42CF4" w:rsidR="001E6783" w:rsidRPr="00684A85" w:rsidRDefault="001E6783" w:rsidP="00684A85">
      <w:pPr>
        <w:pStyle w:val="BodyText"/>
        <w:spacing w:line="276" w:lineRule="auto"/>
        <w:ind w:right="288"/>
        <w:jc w:val="both"/>
        <w:rPr>
          <w:rFonts w:ascii="Times New Roman" w:hAnsi="Times New Roman" w:cs="Times New Roman"/>
          <w:sz w:val="23"/>
          <w:szCs w:val="23"/>
        </w:rPr>
      </w:pPr>
      <w:r w:rsidRPr="00684A85">
        <w:rPr>
          <w:rFonts w:ascii="Times New Roman" w:hAnsi="Times New Roman" w:cs="Times New Roman"/>
          <w:sz w:val="23"/>
          <w:szCs w:val="23"/>
        </w:rPr>
        <w:t xml:space="preserve">La verificación taxonómica y la descripción morfológica de los tubérculos de </w:t>
      </w:r>
      <w:proofErr w:type="spellStart"/>
      <w:r w:rsidRPr="00684A85">
        <w:rPr>
          <w:rFonts w:ascii="Times New Roman" w:hAnsi="Times New Roman" w:cs="Times New Roman"/>
          <w:sz w:val="23"/>
          <w:szCs w:val="23"/>
        </w:rPr>
        <w:t>mashua</w:t>
      </w:r>
      <w:proofErr w:type="spellEnd"/>
      <w:r w:rsidRPr="00684A85">
        <w:rPr>
          <w:rFonts w:ascii="Times New Roman" w:hAnsi="Times New Roman" w:cs="Times New Roman"/>
          <w:sz w:val="23"/>
          <w:szCs w:val="23"/>
        </w:rPr>
        <w:t xml:space="preserve"> (</w:t>
      </w:r>
      <w:r w:rsidRPr="00684A85">
        <w:rPr>
          <w:rFonts w:ascii="Times New Roman" w:hAnsi="Times New Roman" w:cs="Times New Roman"/>
          <w:i/>
          <w:iCs/>
          <w:sz w:val="23"/>
          <w:szCs w:val="23"/>
        </w:rPr>
        <w:t xml:space="preserve">Tropaeolum </w:t>
      </w:r>
      <w:proofErr w:type="spellStart"/>
      <w:r w:rsidRPr="00684A85">
        <w:rPr>
          <w:rFonts w:ascii="Times New Roman" w:hAnsi="Times New Roman" w:cs="Times New Roman"/>
          <w:i/>
          <w:iCs/>
          <w:sz w:val="23"/>
          <w:szCs w:val="23"/>
        </w:rPr>
        <w:t>tuberosum</w:t>
      </w:r>
      <w:proofErr w:type="spellEnd"/>
      <w:r w:rsidRPr="00684A85">
        <w:rPr>
          <w:rFonts w:ascii="Times New Roman" w:hAnsi="Times New Roman" w:cs="Times New Roman"/>
          <w:sz w:val="23"/>
          <w:szCs w:val="23"/>
        </w:rPr>
        <w:t xml:space="preserve">) se llevaron a cabo mediante un análisis comparativo utilizando catálogos especializados de germoplasma e información pasaporte de referencia. Para la determinación de los descriptores botánicos de los tubérculos, la arquitectura de la planta, las estructuras florales y los especímenes de herbario, se contrastaron los caracteres organolépticos y morfométricos observados con los registros y archivos fotográficos reportados por </w:t>
      </w:r>
      <w:r w:rsidRPr="00684A85">
        <w:rPr>
          <w:rFonts w:ascii="Times New Roman" w:hAnsi="Times New Roman" w:cs="Times New Roman"/>
          <w:sz w:val="23"/>
          <w:szCs w:val="23"/>
        </w:rPr>
        <w:fldChar w:fldCharType="begin"/>
      </w:r>
      <w:r w:rsidR="00936A52" w:rsidRPr="00684A85">
        <w:rPr>
          <w:rFonts w:ascii="Times New Roman" w:hAnsi="Times New Roman" w:cs="Times New Roman"/>
          <w:sz w:val="23"/>
          <w:szCs w:val="23"/>
        </w:rPr>
        <w:instrText xml:space="preserve"> ADDIN ZOTERO_ITEM CSL_CITATION {"citationID":"R10OC1VS","properties":{"formattedCitation":"(Manrique et\\uc0\\u160{}al., 2013; Tapia et\\uc0\\u160{}al., 1996)","plainCitation":"(Manrique et al., 2013; Tapia et al., 1996)","dontUpdate":true,"noteIndex":0},"citationItems":[{"id":77,"uris":["http://zotero.org/users/5236988/items/JYCBADUJ"],"itemData":{"id":77,"type":"book","ISBN":"978-92-9060-431-0","language":"es","note":"DOI: 10.4160/9789290604310","publisher":"Centro Internacional de la Papa","source":"DOI.org (Crossref)","title":"Tropaelum tuberosum Ruíz &amp; Pav. Catálogo de la colección de germoplasma de mashua (Tropaelum tuberosum Ruíz &amp; Pav.) conservada en el Centro Internacional de la Papa (CIP)","URL":"http://www.cipotato.org/publications/pdf/006159.pdf","author":[{"family":"Manrique","given":"I"},{"family":"Arbizu","given":"C"},{"family":"Vivanco","given":"F"},{"family":"Ramirez","given":"C"},{"family":"Chavez","given":"O"},{"family":"Tay","given":"D"},{"family":"Ellis","given":"D"}],"accessed":{"date-parts":[["2024",7,13]]},"issued":{"date-parts":[["2013",12,15]]}}},{"id":118,"uris":["http://zotero.org/users/5236988/items/TIY77TAY"],"itemData":{"id":118,"type":"article-journal","note":"publisher: Quito, EC: INIAP, Estación Experimental Santa Catalina, Departamento …","source":"Google Scholar","title":"Catálogo de recursos genéticos de raíces y tubérculos andinos en Ecuador","URL":"http://repositorio.iniap.gob.ec/handle/41000/2695","author":[{"family":"Tapia","given":"César"},{"family":"Castillo","given":"Raúl"},{"family":"Mazón","given":"Nelson"}],"accessed":{"date-parts":[["2024",7,18]]},"issued":{"date-parts":[["1996"]]}}}],"schema":"https://github.com/citation-style-language/schema/raw/master/csl-citation.json"} </w:instrText>
      </w:r>
      <w:r w:rsidRPr="00684A85">
        <w:rPr>
          <w:rFonts w:ascii="Times New Roman" w:hAnsi="Times New Roman" w:cs="Times New Roman"/>
          <w:sz w:val="23"/>
          <w:szCs w:val="23"/>
        </w:rPr>
        <w:fldChar w:fldCharType="separate"/>
      </w:r>
      <w:r w:rsidRPr="00684A85">
        <w:rPr>
          <w:rFonts w:ascii="Times New Roman" w:hAnsi="Times New Roman" w:cs="Times New Roman"/>
          <w:sz w:val="23"/>
          <w:szCs w:val="23"/>
        </w:rPr>
        <w:t>Manrique et al. (2013); Tapia et al. (1996)</w:t>
      </w:r>
      <w:r w:rsidRPr="00684A85">
        <w:rPr>
          <w:rFonts w:ascii="Times New Roman" w:hAnsi="Times New Roman" w:cs="Times New Roman"/>
          <w:sz w:val="23"/>
          <w:szCs w:val="23"/>
        </w:rPr>
        <w:fldChar w:fldCharType="end"/>
      </w:r>
      <w:r w:rsidRPr="00684A85">
        <w:rPr>
          <w:rFonts w:ascii="Times New Roman" w:hAnsi="Times New Roman" w:cs="Times New Roman"/>
          <w:sz w:val="23"/>
          <w:szCs w:val="23"/>
        </w:rPr>
        <w:t>.</w:t>
      </w:r>
    </w:p>
    <w:p w14:paraId="33752396" w14:textId="699574DE" w:rsidR="001E6783" w:rsidRPr="00684A85" w:rsidRDefault="001E6783" w:rsidP="00684A85">
      <w:pPr>
        <w:pStyle w:val="BodyText"/>
        <w:spacing w:line="276" w:lineRule="auto"/>
        <w:ind w:right="288"/>
        <w:jc w:val="both"/>
        <w:rPr>
          <w:rFonts w:ascii="Times New Roman" w:hAnsi="Times New Roman" w:cs="Times New Roman"/>
          <w:sz w:val="23"/>
          <w:szCs w:val="23"/>
        </w:rPr>
      </w:pPr>
      <w:r w:rsidRPr="00684A85">
        <w:rPr>
          <w:rFonts w:ascii="Times New Roman" w:hAnsi="Times New Roman" w:cs="Times New Roman"/>
          <w:sz w:val="23"/>
          <w:szCs w:val="23"/>
        </w:rPr>
        <w:t xml:space="preserve">Este procedimiento estandarizado permitió validar la identidad botánica de las variedades seleccionadas (específicamente la morfología correspondiente al </w:t>
      </w:r>
      <w:proofErr w:type="spellStart"/>
      <w:r w:rsidRPr="00684A85">
        <w:rPr>
          <w:rFonts w:ascii="Times New Roman" w:hAnsi="Times New Roman" w:cs="Times New Roman"/>
          <w:sz w:val="23"/>
          <w:szCs w:val="23"/>
        </w:rPr>
        <w:t>quimiotipo</w:t>
      </w:r>
      <w:proofErr w:type="spellEnd"/>
      <w:r w:rsidRPr="00684A85">
        <w:rPr>
          <w:rFonts w:ascii="Times New Roman" w:hAnsi="Times New Roman" w:cs="Times New Roman"/>
          <w:sz w:val="23"/>
          <w:szCs w:val="23"/>
        </w:rPr>
        <w:t xml:space="preserve"> amarillo-naranja), asegurando la trazabilidad y la autenticidad del material biológico empleado en los ensay</w:t>
      </w:r>
      <w:r w:rsidR="006B58FB" w:rsidRPr="00684A85">
        <w:rPr>
          <w:rFonts w:ascii="Times New Roman" w:hAnsi="Times New Roman" w:cs="Times New Roman"/>
          <w:sz w:val="23"/>
          <w:szCs w:val="23"/>
        </w:rPr>
        <w:t>os</w:t>
      </w:r>
      <w:r w:rsidRPr="00684A85">
        <w:rPr>
          <w:rFonts w:ascii="Times New Roman" w:hAnsi="Times New Roman" w:cs="Times New Roman"/>
          <w:sz w:val="23"/>
          <w:szCs w:val="23"/>
        </w:rPr>
        <w:t>.</w:t>
      </w:r>
    </w:p>
    <w:p w14:paraId="21B4EEFB" w14:textId="1E730754" w:rsidR="004B534B" w:rsidRPr="00684A85" w:rsidRDefault="004B534B" w:rsidP="00684A85">
      <w:pPr>
        <w:pStyle w:val="BodyText"/>
        <w:spacing w:line="276" w:lineRule="auto"/>
        <w:ind w:right="288"/>
        <w:jc w:val="both"/>
        <w:rPr>
          <w:rFonts w:ascii="Times New Roman" w:hAnsi="Times New Roman" w:cs="Times New Roman"/>
          <w:sz w:val="23"/>
          <w:szCs w:val="23"/>
          <w:lang w:val="es-EC"/>
        </w:rPr>
      </w:pPr>
      <w:r w:rsidRPr="00684A85">
        <w:rPr>
          <w:rFonts w:ascii="Times New Roman" w:hAnsi="Times New Roman" w:cs="Times New Roman"/>
          <w:sz w:val="23"/>
          <w:szCs w:val="23"/>
        </w:rPr>
        <w:t xml:space="preserve">La caracterización morfológica visual se realizó registrando la geometría del tubérculo, la forma del ápice y la tinción </w:t>
      </w:r>
      <w:proofErr w:type="spellStart"/>
      <w:r w:rsidRPr="00684A85">
        <w:rPr>
          <w:rFonts w:ascii="Times New Roman" w:hAnsi="Times New Roman" w:cs="Times New Roman"/>
          <w:sz w:val="23"/>
          <w:szCs w:val="23"/>
        </w:rPr>
        <w:t>peridérmica</w:t>
      </w:r>
      <w:proofErr w:type="spellEnd"/>
      <w:r w:rsidRPr="00684A85">
        <w:rPr>
          <w:rFonts w:ascii="Times New Roman" w:hAnsi="Times New Roman" w:cs="Times New Roman"/>
          <w:sz w:val="23"/>
          <w:szCs w:val="23"/>
        </w:rPr>
        <w:t xml:space="preserve">. Para la evaluación morfométrica se tomó una submuestra de </w:t>
      </w:r>
      <w:r w:rsidRPr="00684A85">
        <w:rPr>
          <w:rFonts w:ascii="Times New Roman" w:hAnsi="Times New Roman" w:cs="Times New Roman"/>
          <w:i/>
          <w:iCs/>
          <w:sz w:val="23"/>
          <w:szCs w:val="23"/>
        </w:rPr>
        <w:t>n</w:t>
      </w:r>
      <w:r w:rsidRPr="00684A85">
        <w:rPr>
          <w:rFonts w:ascii="Times New Roman" w:hAnsi="Times New Roman" w:cs="Times New Roman"/>
          <w:sz w:val="23"/>
          <w:szCs w:val="23"/>
          <w:lang w:val="es-EC"/>
        </w:rPr>
        <w:t xml:space="preserve"> = 50 tubérculos por localidad. Se determinaron tres parámetros cuantitativos principales:</w:t>
      </w:r>
    </w:p>
    <w:p w14:paraId="45D5B65A" w14:textId="3B594B5A" w:rsidR="004B534B" w:rsidRPr="00684A85" w:rsidRDefault="004B534B" w:rsidP="00684A85">
      <w:pPr>
        <w:pStyle w:val="BodyText"/>
        <w:numPr>
          <w:ilvl w:val="0"/>
          <w:numId w:val="9"/>
        </w:numPr>
        <w:spacing w:line="276" w:lineRule="auto"/>
        <w:ind w:right="288"/>
        <w:jc w:val="both"/>
        <w:rPr>
          <w:rFonts w:ascii="Times New Roman" w:hAnsi="Times New Roman" w:cs="Times New Roman"/>
          <w:sz w:val="23"/>
          <w:szCs w:val="23"/>
          <w:lang w:val="es-EC"/>
        </w:rPr>
      </w:pPr>
      <w:r w:rsidRPr="00684A85">
        <w:rPr>
          <w:rFonts w:ascii="Times New Roman" w:hAnsi="Times New Roman" w:cs="Times New Roman"/>
          <w:sz w:val="23"/>
          <w:szCs w:val="23"/>
          <w:lang w:val="es-EC"/>
        </w:rPr>
        <w:t>Masa individual (g): determinada mediante una balanza analítica de precisión (marca Sartorius, sensibilidad ± 0.01 g).</w:t>
      </w:r>
    </w:p>
    <w:p w14:paraId="4BF9A1DA" w14:textId="4AC1525B" w:rsidR="004B534B" w:rsidRPr="00684A85" w:rsidRDefault="004B534B" w:rsidP="00684A85">
      <w:pPr>
        <w:pStyle w:val="BodyText"/>
        <w:numPr>
          <w:ilvl w:val="0"/>
          <w:numId w:val="9"/>
        </w:numPr>
        <w:spacing w:line="276" w:lineRule="auto"/>
        <w:ind w:right="288"/>
        <w:jc w:val="both"/>
        <w:rPr>
          <w:rFonts w:ascii="Times New Roman" w:hAnsi="Times New Roman" w:cs="Times New Roman"/>
          <w:sz w:val="23"/>
          <w:szCs w:val="23"/>
          <w:lang w:val="es-EC"/>
        </w:rPr>
      </w:pPr>
      <w:r w:rsidRPr="00684A85">
        <w:rPr>
          <w:rFonts w:ascii="Times New Roman" w:hAnsi="Times New Roman" w:cs="Times New Roman"/>
          <w:sz w:val="23"/>
          <w:szCs w:val="23"/>
          <w:lang w:val="es-EC"/>
        </w:rPr>
        <w:lastRenderedPageBreak/>
        <w:t>Longitud ecuatorial-polar (mm): medida desde la inserción del estolón hasta el ápice utilizando un calibrador digital vernier (marca Mitutoyo, precisión ± 0.01 mm).</w:t>
      </w:r>
    </w:p>
    <w:p w14:paraId="3E4BA119" w14:textId="0203BC2C" w:rsidR="00C04199" w:rsidRPr="00684A85" w:rsidRDefault="00C04199" w:rsidP="00684A85">
      <w:pPr>
        <w:pStyle w:val="BodyText"/>
        <w:numPr>
          <w:ilvl w:val="0"/>
          <w:numId w:val="9"/>
        </w:numPr>
        <w:spacing w:line="276" w:lineRule="auto"/>
        <w:ind w:right="288"/>
        <w:jc w:val="both"/>
        <w:rPr>
          <w:rFonts w:ascii="Times New Roman" w:hAnsi="Times New Roman" w:cs="Times New Roman"/>
          <w:sz w:val="23"/>
          <w:szCs w:val="23"/>
          <w:lang w:val="es-EC"/>
        </w:rPr>
      </w:pPr>
      <w:r w:rsidRPr="00684A85">
        <w:rPr>
          <w:rFonts w:ascii="Times New Roman" w:hAnsi="Times New Roman" w:cs="Times New Roman"/>
          <w:sz w:val="23"/>
          <w:szCs w:val="23"/>
          <w:lang w:val="es-EC"/>
        </w:rPr>
        <w:t>Calibre mayor y menor (mm): medido en la sección transversal de mayor grosor (calibre mayor) y menor grosor (calibre menor) utilizando el calibrador vernier.</w:t>
      </w:r>
    </w:p>
    <w:p w14:paraId="2FE2FE38" w14:textId="36636B7B" w:rsidR="001E6783" w:rsidRPr="00684A85" w:rsidRDefault="00030513" w:rsidP="00030513">
      <w:pPr>
        <w:pStyle w:val="Heading2"/>
        <w:numPr>
          <w:ilvl w:val="1"/>
          <w:numId w:val="12"/>
        </w:numPr>
        <w:rPr>
          <w:rFonts w:cs="Times New Roman"/>
          <w:szCs w:val="23"/>
        </w:rPr>
      </w:pPr>
      <w:bookmarkStart w:id="2" w:name="_Toc235871700"/>
      <w:r>
        <w:rPr>
          <w:rFonts w:cs="Times New Roman"/>
          <w:szCs w:val="23"/>
        </w:rPr>
        <w:t xml:space="preserve"> </w:t>
      </w:r>
      <w:r w:rsidR="001E6783" w:rsidRPr="00684A85">
        <w:rPr>
          <w:rFonts w:cs="Times New Roman"/>
          <w:szCs w:val="23"/>
        </w:rPr>
        <w:t>Caracterización</w:t>
      </w:r>
      <w:r w:rsidR="001E6783" w:rsidRPr="00684A85">
        <w:rPr>
          <w:rFonts w:cs="Times New Roman"/>
          <w:spacing w:val="-9"/>
          <w:szCs w:val="23"/>
        </w:rPr>
        <w:t xml:space="preserve"> </w:t>
      </w:r>
      <w:r w:rsidR="001E6783" w:rsidRPr="00684A85">
        <w:rPr>
          <w:rFonts w:cs="Times New Roman"/>
          <w:spacing w:val="-2"/>
          <w:szCs w:val="23"/>
        </w:rPr>
        <w:t>química</w:t>
      </w:r>
      <w:bookmarkEnd w:id="2"/>
      <w:r w:rsidR="00BC0347" w:rsidRPr="00684A85">
        <w:rPr>
          <w:rFonts w:cs="Times New Roman"/>
          <w:spacing w:val="-2"/>
          <w:szCs w:val="23"/>
        </w:rPr>
        <w:t xml:space="preserve"> y analítica</w:t>
      </w:r>
    </w:p>
    <w:p w14:paraId="49BED0BF" w14:textId="1B0513DD" w:rsidR="001E6783" w:rsidRPr="00684A85" w:rsidRDefault="00011265" w:rsidP="00684A85">
      <w:pPr>
        <w:pStyle w:val="BodyText"/>
        <w:spacing w:before="137" w:line="276" w:lineRule="auto"/>
        <w:ind w:right="287"/>
        <w:jc w:val="both"/>
        <w:rPr>
          <w:rFonts w:ascii="Times New Roman" w:hAnsi="Times New Roman" w:cs="Times New Roman"/>
          <w:sz w:val="23"/>
          <w:szCs w:val="23"/>
          <w:lang w:val="es-EC"/>
        </w:rPr>
      </w:pPr>
      <w:r w:rsidRPr="00684A85">
        <w:rPr>
          <w:rFonts w:ascii="Times New Roman" w:hAnsi="Times New Roman" w:cs="Times New Roman"/>
          <w:sz w:val="23"/>
          <w:szCs w:val="23"/>
        </w:rPr>
        <w:t>Los análisis químicos se efectuaron por triplicado (</w:t>
      </w:r>
      <w:r w:rsidRPr="00684A85">
        <w:rPr>
          <w:rFonts w:ascii="Times New Roman" w:hAnsi="Times New Roman" w:cs="Times New Roman"/>
          <w:i/>
          <w:iCs/>
          <w:sz w:val="23"/>
          <w:szCs w:val="23"/>
        </w:rPr>
        <w:t>n</w:t>
      </w:r>
      <w:r w:rsidRPr="00684A85">
        <w:rPr>
          <w:rFonts w:ascii="Times New Roman" w:hAnsi="Times New Roman" w:cs="Times New Roman"/>
          <w:sz w:val="23"/>
          <w:szCs w:val="23"/>
        </w:rPr>
        <w:t xml:space="preserve"> </w:t>
      </w:r>
      <w:r w:rsidRPr="00684A85">
        <w:rPr>
          <w:rFonts w:ascii="Times New Roman" w:hAnsi="Times New Roman" w:cs="Times New Roman"/>
          <w:sz w:val="23"/>
          <w:szCs w:val="23"/>
          <w:lang w:val="es-EC"/>
        </w:rPr>
        <w:t xml:space="preserve">=3) sobre tubérculos frescos </w:t>
      </w:r>
      <w:r w:rsidR="007622D0" w:rsidRPr="00684A85">
        <w:rPr>
          <w:rFonts w:ascii="Times New Roman" w:hAnsi="Times New Roman" w:cs="Times New Roman"/>
          <w:sz w:val="23"/>
          <w:szCs w:val="23"/>
          <w:lang w:val="es-EC"/>
        </w:rPr>
        <w:t>homogenizados, cosechados</w:t>
      </w:r>
      <w:r w:rsidR="007622D0" w:rsidRPr="00684A85">
        <w:rPr>
          <w:rFonts w:ascii="Times New Roman" w:hAnsi="Times New Roman" w:cs="Times New Roman"/>
          <w:sz w:val="23"/>
          <w:szCs w:val="23"/>
        </w:rPr>
        <w:t xml:space="preserve"> en una finca de Pelileo y Guamote</w:t>
      </w:r>
      <w:r w:rsidR="00684A85" w:rsidRPr="00684A85">
        <w:rPr>
          <w:rFonts w:ascii="Times New Roman" w:hAnsi="Times New Roman" w:cs="Times New Roman"/>
          <w:sz w:val="23"/>
          <w:szCs w:val="23"/>
        </w:rPr>
        <w:t>,</w:t>
      </w:r>
      <w:r w:rsidR="007622D0" w:rsidRPr="00684A85">
        <w:rPr>
          <w:rFonts w:ascii="Times New Roman" w:hAnsi="Times New Roman" w:cs="Times New Roman"/>
          <w:sz w:val="23"/>
          <w:szCs w:val="23"/>
          <w:lang w:val="es-EC"/>
        </w:rPr>
        <w:t xml:space="preserve"> </w:t>
      </w:r>
      <w:r w:rsidRPr="00684A85">
        <w:rPr>
          <w:rFonts w:ascii="Times New Roman" w:hAnsi="Times New Roman" w:cs="Times New Roman"/>
          <w:sz w:val="23"/>
          <w:szCs w:val="23"/>
          <w:lang w:val="es-EC"/>
        </w:rPr>
        <w:t>conforme a las metodologías estandarizadas de la AOAC (</w:t>
      </w:r>
      <w:proofErr w:type="spellStart"/>
      <w:r w:rsidRPr="00684A85">
        <w:rPr>
          <w:rFonts w:ascii="Times New Roman" w:hAnsi="Times New Roman" w:cs="Times New Roman"/>
          <w:i/>
          <w:iCs/>
          <w:sz w:val="23"/>
          <w:szCs w:val="23"/>
          <w:lang w:val="es-EC"/>
        </w:rPr>
        <w:t>Association</w:t>
      </w:r>
      <w:proofErr w:type="spellEnd"/>
      <w:r w:rsidRPr="00684A85">
        <w:rPr>
          <w:rFonts w:ascii="Times New Roman" w:hAnsi="Times New Roman" w:cs="Times New Roman"/>
          <w:i/>
          <w:iCs/>
          <w:sz w:val="23"/>
          <w:szCs w:val="23"/>
          <w:lang w:val="es-EC"/>
        </w:rPr>
        <w:t xml:space="preserve"> </w:t>
      </w:r>
      <w:proofErr w:type="spellStart"/>
      <w:r w:rsidRPr="00684A85">
        <w:rPr>
          <w:rFonts w:ascii="Times New Roman" w:hAnsi="Times New Roman" w:cs="Times New Roman"/>
          <w:i/>
          <w:iCs/>
          <w:sz w:val="23"/>
          <w:szCs w:val="23"/>
          <w:lang w:val="es-EC"/>
        </w:rPr>
        <w:t>of</w:t>
      </w:r>
      <w:proofErr w:type="spellEnd"/>
      <w:r w:rsidRPr="00684A85">
        <w:rPr>
          <w:rFonts w:ascii="Times New Roman" w:hAnsi="Times New Roman" w:cs="Times New Roman"/>
          <w:i/>
          <w:iCs/>
          <w:sz w:val="23"/>
          <w:szCs w:val="23"/>
          <w:lang w:val="es-EC"/>
        </w:rPr>
        <w:t xml:space="preserve"> </w:t>
      </w:r>
      <w:proofErr w:type="spellStart"/>
      <w:r w:rsidRPr="00684A85">
        <w:rPr>
          <w:rFonts w:ascii="Times New Roman" w:hAnsi="Times New Roman" w:cs="Times New Roman"/>
          <w:i/>
          <w:iCs/>
          <w:sz w:val="23"/>
          <w:szCs w:val="23"/>
          <w:lang w:val="es-EC"/>
        </w:rPr>
        <w:t>Official</w:t>
      </w:r>
      <w:proofErr w:type="spellEnd"/>
      <w:r w:rsidRPr="00684A85">
        <w:rPr>
          <w:rFonts w:ascii="Times New Roman" w:hAnsi="Times New Roman" w:cs="Times New Roman"/>
          <w:i/>
          <w:iCs/>
          <w:sz w:val="23"/>
          <w:szCs w:val="23"/>
          <w:lang w:val="es-EC"/>
        </w:rPr>
        <w:t xml:space="preserve"> </w:t>
      </w:r>
      <w:proofErr w:type="spellStart"/>
      <w:r w:rsidRPr="00684A85">
        <w:rPr>
          <w:rFonts w:ascii="Times New Roman" w:hAnsi="Times New Roman" w:cs="Times New Roman"/>
          <w:i/>
          <w:iCs/>
          <w:sz w:val="23"/>
          <w:szCs w:val="23"/>
          <w:lang w:val="es-EC"/>
        </w:rPr>
        <w:t>Analytical</w:t>
      </w:r>
      <w:proofErr w:type="spellEnd"/>
      <w:r w:rsidRPr="00684A85">
        <w:rPr>
          <w:rFonts w:ascii="Times New Roman" w:hAnsi="Times New Roman" w:cs="Times New Roman"/>
          <w:i/>
          <w:iCs/>
          <w:sz w:val="23"/>
          <w:szCs w:val="23"/>
          <w:lang w:val="es-EC"/>
        </w:rPr>
        <w:t xml:space="preserve"> </w:t>
      </w:r>
      <w:proofErr w:type="spellStart"/>
      <w:r w:rsidRPr="00684A85">
        <w:rPr>
          <w:rFonts w:ascii="Times New Roman" w:hAnsi="Times New Roman" w:cs="Times New Roman"/>
          <w:i/>
          <w:iCs/>
          <w:sz w:val="23"/>
          <w:szCs w:val="23"/>
          <w:lang w:val="es-EC"/>
        </w:rPr>
        <w:t>Chemists</w:t>
      </w:r>
      <w:proofErr w:type="spellEnd"/>
      <w:r w:rsidRPr="00684A85">
        <w:rPr>
          <w:rFonts w:ascii="Times New Roman" w:hAnsi="Times New Roman" w:cs="Times New Roman"/>
          <w:sz w:val="23"/>
          <w:szCs w:val="23"/>
          <w:lang w:val="es-EC"/>
        </w:rPr>
        <w:t>).</w:t>
      </w:r>
      <w:r w:rsidR="007622D0" w:rsidRPr="00684A85">
        <w:rPr>
          <w:rFonts w:ascii="Times New Roman" w:hAnsi="Times New Roman" w:cs="Times New Roman"/>
          <w:sz w:val="23"/>
          <w:szCs w:val="23"/>
          <w:lang w:val="es-EC"/>
        </w:rPr>
        <w:t xml:space="preserve"> </w:t>
      </w:r>
      <w:r w:rsidR="001E6783" w:rsidRPr="00684A85">
        <w:rPr>
          <w:rFonts w:ascii="Times New Roman" w:hAnsi="Times New Roman" w:cs="Times New Roman"/>
          <w:sz w:val="23"/>
          <w:szCs w:val="23"/>
        </w:rPr>
        <w:t>A continuación, se detalla el procedimiento para cada análisis.</w:t>
      </w:r>
    </w:p>
    <w:p w14:paraId="385B08C7" w14:textId="2AFD33BF" w:rsidR="001E6783" w:rsidRPr="00684A85" w:rsidRDefault="001E6783" w:rsidP="00030513">
      <w:pPr>
        <w:pStyle w:val="Heading3"/>
        <w:numPr>
          <w:ilvl w:val="2"/>
          <w:numId w:val="12"/>
        </w:numPr>
        <w:jc w:val="both"/>
        <w:rPr>
          <w:rFonts w:cs="Times New Roman"/>
          <w:b/>
          <w:bCs/>
          <w:szCs w:val="23"/>
          <w:lang w:val="en-US"/>
        </w:rPr>
      </w:pPr>
      <w:bookmarkStart w:id="3" w:name="_Toc235871701"/>
      <w:proofErr w:type="spellStart"/>
      <w:r w:rsidRPr="00684A85">
        <w:rPr>
          <w:rFonts w:cs="Times New Roman"/>
          <w:szCs w:val="23"/>
          <w:lang w:val="en-US"/>
        </w:rPr>
        <w:t>Humedad</w:t>
      </w:r>
      <w:bookmarkEnd w:id="3"/>
      <w:proofErr w:type="spellEnd"/>
    </w:p>
    <w:p w14:paraId="176C8885" w14:textId="0326B432" w:rsidR="00445897" w:rsidRPr="00684A85" w:rsidRDefault="001E6783" w:rsidP="00445897">
      <w:pPr>
        <w:spacing w:after="0"/>
        <w:rPr>
          <w:rFonts w:cs="Times New Roman"/>
          <w:szCs w:val="23"/>
        </w:rPr>
      </w:pPr>
      <w:r w:rsidRPr="00684A85">
        <w:rPr>
          <w:rFonts w:cs="Times New Roman"/>
          <w:szCs w:val="23"/>
        </w:rPr>
        <w:t>La determinación de humedad se realizó según el</w:t>
      </w:r>
      <w:r w:rsidRPr="00684A85">
        <w:rPr>
          <w:rFonts w:cs="Times New Roman"/>
          <w:szCs w:val="23"/>
          <w:lang w:val="es-EC"/>
        </w:rPr>
        <w:t xml:space="preserve"> método AOAC 925.10 </w:t>
      </w:r>
      <w:r w:rsidRPr="00684A85">
        <w:rPr>
          <w:rFonts w:cs="Times New Roman"/>
          <w:szCs w:val="23"/>
          <w:lang w:val="es-EC"/>
        </w:rPr>
        <w:fldChar w:fldCharType="begin"/>
      </w:r>
      <w:r w:rsidRPr="00684A85">
        <w:rPr>
          <w:rFonts w:cs="Times New Roman"/>
          <w:szCs w:val="23"/>
          <w:lang w:val="es-EC"/>
        </w:rPr>
        <w:instrText xml:space="preserve"> ADDIN ZOTERO_ITEM CSL_CITATION {"citationID":"onVWCDBG","properties":{"formattedCitation":"(Association of Analytical Communities, 2023a)","plainCitation":"(Association of Analytical Communities, 2023a)","noteIndex":0},"citationItems":[{"id":101,"uris":["http://zotero.org/users/5236988/items/J9W68FUF"],"itemData":{"id":101,"type":"book","abstract":"AOAC INTERNATIONAL has been publishing a robust set of methods for analytical scientists since 1884. Scientists from around the globe contribute their expertise to ensure the content remains reliable in terms of standards development, method development, and the systematic evaluation and review of methods. As a result, the Official Methods of Analysis of AOAC INTERNATIONAL is the most comprehensive collection of chemical and microbiological methods available in the world. Now in its twenty-second edition, this publication continues to be the most extensive and reliable collection of chemical and microbiological methods and consensus standards.Many methods within the compendium have notation indicating their adoption as harmonized international reference methods by the International Organization for Standardization (ISO), the International Dairy Federation (IDF), the International Union of Pure and Applied Chemistry (IUPAC), and the Codex Alimentarius Commission. This new edition includes new and updated methods approved since 2019 \n            ,  \n             AOAC INTERNATIONAL has been publishing a robust set of methods for analytical scientists since 1884. Scientists from around the globe contribute their expertise to ensure the content remains reliable in terms of standards development, method development, and the systematic evaluation and review of methods. As a result, the Official Methods of Analysis of AOAC INTERNATIONAL is the most comprehensive collection of chemical and microbiological methods available in the world. Now in its twenty-second edition, this publication continues to be the most extensive and reliable collection of chemical and microbiological methods and consensus standards.Many methods within the compendium have notation indicating their adoption as harmonized international reference methods by the International Organization for Standardization (ISO), the International Dairy Federation (IDF), the International Union of Pure and Applied Chemistry (IUPAC), and the Codex Alimentarius Commission. This new edition includes new and updated methods approved since 2019","event-place":"Oxford, New York","ISBN":"978-0-19-761013-8","number-of-pages":"3750","publisher":"Oxford University Press","publisher-place":"Oxford, New York","source":"Oxford University Press","title":"Official Method 925.10 Solids (Total) and Loss on Drying (Moisture) in Flour: Air Oven Method Get access Arrow. In G. W. Latimer, Jr. (Ed.), Official methods of analysis of AOAC International (Chapter 32.1.03, 22nd ed.)","title-short":"Official Methods of Analysis of AOAC INTERNATIONAL","URL":"https://doi.org/10.1093/9780197610145.003.2927","author":[{"family":"Association of Analytical Communities","given":""}],"issued":{"literal":"2023a"}}}],"schema":"https://github.com/citation-style-language/schema/raw/master/csl-citation.json"} </w:instrText>
      </w:r>
      <w:r w:rsidRPr="00684A85">
        <w:rPr>
          <w:rFonts w:cs="Times New Roman"/>
          <w:szCs w:val="23"/>
          <w:lang w:val="es-EC"/>
        </w:rPr>
        <w:fldChar w:fldCharType="separate"/>
      </w:r>
      <w:r w:rsidRPr="00684A85">
        <w:rPr>
          <w:rFonts w:cs="Times New Roman"/>
          <w:szCs w:val="23"/>
          <w:lang w:val="es-EC"/>
        </w:rPr>
        <w:t>(Association of Analytical Communities, 2023a)</w:t>
      </w:r>
      <w:r w:rsidRPr="00684A85">
        <w:rPr>
          <w:rFonts w:cs="Times New Roman"/>
          <w:szCs w:val="23"/>
          <w:lang w:val="es-EC"/>
        </w:rPr>
        <w:fldChar w:fldCharType="end"/>
      </w:r>
      <w:r w:rsidRPr="00684A85">
        <w:rPr>
          <w:rFonts w:cs="Times New Roman"/>
          <w:szCs w:val="23"/>
          <w:lang w:val="es-EC"/>
        </w:rPr>
        <w:t xml:space="preserve">, para ello se secaron 2 g de harina en estufa a 130 ± 3 </w:t>
      </w:r>
      <w:proofErr w:type="spellStart"/>
      <w:r w:rsidRPr="00684A85">
        <w:rPr>
          <w:rFonts w:cs="Times New Roman"/>
          <w:szCs w:val="23"/>
          <w:lang w:val="es-EC"/>
        </w:rPr>
        <w:t>ºC</w:t>
      </w:r>
      <w:proofErr w:type="spellEnd"/>
      <w:r w:rsidRPr="00684A85">
        <w:rPr>
          <w:rFonts w:cs="Times New Roman"/>
          <w:szCs w:val="23"/>
          <w:lang w:val="es-EC"/>
        </w:rPr>
        <w:t xml:space="preserve"> por un tiempo aproximado de una hora, luego se llevó a temperatura ambiente en un desecador y se procedió a pesar. </w:t>
      </w:r>
      <w:r w:rsidRPr="00684A85">
        <w:rPr>
          <w:rFonts w:cs="Times New Roman"/>
          <w:szCs w:val="23"/>
        </w:rPr>
        <w:t>Se repitieron las operaciones de calentamiento, enfriamiento y pesaje hasta peso constante; los resultados se expresaron en porcentaje de masa (%)</w:t>
      </w:r>
      <w:r w:rsidR="00445897">
        <w:rPr>
          <w:rFonts w:cs="Times New Roman"/>
          <w:szCs w:val="23"/>
        </w:rPr>
        <w:t>.</w:t>
      </w:r>
    </w:p>
    <w:p w14:paraId="23E37B25" w14:textId="7C1EAC41" w:rsidR="001E6783" w:rsidRPr="00684A85" w:rsidRDefault="001E6783" w:rsidP="00030513">
      <w:pPr>
        <w:pStyle w:val="Heading3"/>
        <w:numPr>
          <w:ilvl w:val="2"/>
          <w:numId w:val="12"/>
        </w:numPr>
        <w:rPr>
          <w:b/>
          <w:lang w:val="es-EC"/>
        </w:rPr>
      </w:pPr>
      <w:bookmarkStart w:id="4" w:name="_Toc235871702"/>
      <w:r w:rsidRPr="00684A85">
        <w:rPr>
          <w:lang w:val="es-EC"/>
        </w:rPr>
        <w:t>Cenizas</w:t>
      </w:r>
      <w:bookmarkEnd w:id="4"/>
    </w:p>
    <w:p w14:paraId="68F80B96" w14:textId="5D164FC3" w:rsidR="001E6783" w:rsidRPr="00684A85" w:rsidRDefault="001E6783" w:rsidP="000A2AE0">
      <w:pPr>
        <w:spacing w:before="0" w:after="0"/>
        <w:rPr>
          <w:rFonts w:cs="Times New Roman"/>
          <w:b/>
          <w:szCs w:val="23"/>
          <w:lang w:val="es-EC"/>
        </w:rPr>
      </w:pPr>
      <w:r w:rsidRPr="00684A85">
        <w:rPr>
          <w:rFonts w:cs="Times New Roman"/>
          <w:szCs w:val="23"/>
          <w:lang w:val="es-EC"/>
        </w:rPr>
        <w:t>El análisis se efectuó según el método</w:t>
      </w:r>
      <w:r w:rsidRPr="00684A85">
        <w:rPr>
          <w:rFonts w:cs="Times New Roman"/>
          <w:spacing w:val="-8"/>
          <w:szCs w:val="23"/>
          <w:lang w:val="es-EC"/>
        </w:rPr>
        <w:t xml:space="preserve"> AOAC </w:t>
      </w:r>
      <w:r w:rsidRPr="00684A85">
        <w:rPr>
          <w:rFonts w:cs="Times New Roman"/>
          <w:szCs w:val="23"/>
          <w:lang w:val="es-EC"/>
        </w:rPr>
        <w:t xml:space="preserve">923.03 </w:t>
      </w:r>
      <w:r w:rsidRPr="00684A85">
        <w:rPr>
          <w:rFonts w:cs="Times New Roman"/>
          <w:b/>
          <w:szCs w:val="23"/>
          <w:lang w:val="es-EC"/>
        </w:rPr>
        <w:fldChar w:fldCharType="begin"/>
      </w:r>
      <w:r w:rsidRPr="00684A85">
        <w:rPr>
          <w:rFonts w:cs="Times New Roman"/>
          <w:szCs w:val="23"/>
          <w:lang w:val="es-EC"/>
        </w:rPr>
        <w:instrText xml:space="preserve"> ADDIN ZOTERO_ITEM CSL_CITATION {"citationID":"HriGDLdJ","properties":{"formattedCitation":"(Association of Analytical Communities, 2023b)","plainCitation":"(Association of Analytical Communities, 2023b)","noteIndex":0},"citationItems":[{"id":96,"uris":["http://zotero.org/users/5236988/items/TTG4RG7J"],"itemData":{"id":96,"type":"book","abstract":"AOAC INTERNATIONAL has been publishing a robust set of methods for analytical scientists since 1884. Scientists from around the globe contribute their expertise to ensure the content remains reliable in terms of standards development, method development, and the systematic evaluation and review of methods. As a result, the Official Methods of Analysis of AOAC INTERNATIONAL is the most comprehensive collection of chemical and microbiological methods available in the world. Now in its twenty-second edition, this publication continues to be the most extensive and reliable collection of chemical and microbiological methods and consensus standards.Many methods within the compendium have notation indicating their adoption as harmonized international reference methods by the International Organization for Standardization (ISO), the International Dairy Federation (IDF), the International Union of Pure and Applied Chemistry (IUPAC), and the Codex Alimentarius Commission. This new edition includes new and updated methods approved since 2019 \n            ,  \n             AOAC INTERNATIONAL has been publishing a robust set of methods for analytical scientists since 1884. Scientists from around the globe contribute their expertise to ensure the content remains reliable in terms of standards development, method development, and the systematic evaluation and review of methods. As a result, the Official Methods of Analysis of AOAC INTERNATIONAL is the most comprehensive collection of chemical and microbiological methods available in the world. Now in its twenty-second edition, this publication continues to be the most extensive and reliable collection of chemical and microbiological methods and consensus standards.Many methods within the compendium have notation indicating their adoption as harmonized international reference methods by the International Organization for Standardization (ISO), the International Dairy Federation (IDF), the International Union of Pure and Applied Chemistry (IUPAC), and the Codex Alimentarius Commission. This new edition includes new and updated methods approved since 2019","event-place":"Oxford, New York","ISBN":"978-0-19-761013-8","number-of-pages":"3750","publisher":"Oxford University Press","publisher-place":"Oxford, New York","source":"Oxford University Press","title":"Official Method 923.03 Ash  of Flour: Direct Method. In G. W. Latimer, Jr. (Ed.), Official methods of analysis of AOAC International (Chapter 32.1.05, 22nd ed.).","title-short":"Official Methods of Analysis of AOAC INTERNATIONAL","URL":"https://doi.org/10.1093/9780197610145.003.2929","author":[{"family":"Association of Analytical Communities","given":""}],"issued":{"literal":"2023b"}}}],"schema":"https://github.com/citation-style-language/schema/raw/master/csl-citation.json"} </w:instrText>
      </w:r>
      <w:r w:rsidRPr="00684A85">
        <w:rPr>
          <w:rFonts w:cs="Times New Roman"/>
          <w:b/>
          <w:szCs w:val="23"/>
          <w:lang w:val="es-EC"/>
        </w:rPr>
        <w:fldChar w:fldCharType="separate"/>
      </w:r>
      <w:r w:rsidRPr="00684A85">
        <w:rPr>
          <w:rFonts w:cs="Times New Roman"/>
          <w:szCs w:val="23"/>
        </w:rPr>
        <w:t>(Association of Analytical Communities, 2023b)</w:t>
      </w:r>
      <w:r w:rsidRPr="00684A85">
        <w:rPr>
          <w:rFonts w:cs="Times New Roman"/>
          <w:b/>
          <w:szCs w:val="23"/>
          <w:lang w:val="es-EC"/>
        </w:rPr>
        <w:fldChar w:fldCharType="end"/>
      </w:r>
      <w:r w:rsidRPr="00684A85">
        <w:rPr>
          <w:rFonts w:cs="Times New Roman"/>
          <w:spacing w:val="-2"/>
          <w:szCs w:val="23"/>
          <w:lang w:val="es-EC"/>
        </w:rPr>
        <w:t xml:space="preserve">. </w:t>
      </w:r>
      <w:r w:rsidRPr="00684A85">
        <w:rPr>
          <w:rFonts w:cs="Times New Roman"/>
          <w:szCs w:val="23"/>
        </w:rPr>
        <w:t>Se</w:t>
      </w:r>
      <w:r w:rsidRPr="00684A85">
        <w:rPr>
          <w:rFonts w:cs="Times New Roman"/>
          <w:spacing w:val="-1"/>
          <w:szCs w:val="23"/>
        </w:rPr>
        <w:t xml:space="preserve"> </w:t>
      </w:r>
      <w:r w:rsidRPr="00684A85">
        <w:rPr>
          <w:rFonts w:cs="Times New Roman"/>
          <w:szCs w:val="23"/>
        </w:rPr>
        <w:t>pesaron</w:t>
      </w:r>
      <w:r w:rsidRPr="00684A85">
        <w:rPr>
          <w:rFonts w:cs="Times New Roman"/>
          <w:spacing w:val="-1"/>
          <w:szCs w:val="23"/>
        </w:rPr>
        <w:t xml:space="preserve"> </w:t>
      </w:r>
      <w:r w:rsidRPr="00684A85">
        <w:rPr>
          <w:rFonts w:cs="Times New Roman"/>
          <w:szCs w:val="23"/>
        </w:rPr>
        <w:t>aproximadamente 3.0</w:t>
      </w:r>
      <w:r w:rsidRPr="00684A85">
        <w:rPr>
          <w:rFonts w:cs="Times New Roman"/>
          <w:spacing w:val="-1"/>
          <w:szCs w:val="23"/>
        </w:rPr>
        <w:t xml:space="preserve"> </w:t>
      </w:r>
      <w:r w:rsidRPr="00684A85">
        <w:rPr>
          <w:rFonts w:cs="Times New Roman"/>
          <w:szCs w:val="23"/>
        </w:rPr>
        <w:t>g</w:t>
      </w:r>
      <w:r w:rsidRPr="00684A85">
        <w:rPr>
          <w:rFonts w:cs="Times New Roman"/>
          <w:spacing w:val="-1"/>
          <w:szCs w:val="23"/>
        </w:rPr>
        <w:t xml:space="preserve"> </w:t>
      </w:r>
      <w:r w:rsidRPr="00684A85">
        <w:rPr>
          <w:rFonts w:cs="Times New Roman"/>
          <w:szCs w:val="23"/>
        </w:rPr>
        <w:t>de</w:t>
      </w:r>
      <w:r w:rsidRPr="00684A85">
        <w:rPr>
          <w:rFonts w:cs="Times New Roman"/>
          <w:spacing w:val="-1"/>
          <w:szCs w:val="23"/>
        </w:rPr>
        <w:t xml:space="preserve"> </w:t>
      </w:r>
      <w:r w:rsidRPr="00684A85">
        <w:rPr>
          <w:rFonts w:cs="Times New Roman"/>
          <w:szCs w:val="23"/>
        </w:rPr>
        <w:t>muestra</w:t>
      </w:r>
      <w:r w:rsidRPr="00684A85">
        <w:rPr>
          <w:rFonts w:cs="Times New Roman"/>
          <w:spacing w:val="-1"/>
          <w:szCs w:val="23"/>
        </w:rPr>
        <w:t xml:space="preserve"> </w:t>
      </w:r>
      <w:r w:rsidRPr="00684A85">
        <w:rPr>
          <w:rFonts w:cs="Times New Roman"/>
          <w:szCs w:val="23"/>
        </w:rPr>
        <w:t>en</w:t>
      </w:r>
      <w:r w:rsidRPr="00684A85">
        <w:rPr>
          <w:rFonts w:cs="Times New Roman"/>
          <w:spacing w:val="-1"/>
          <w:szCs w:val="23"/>
        </w:rPr>
        <w:t xml:space="preserve"> </w:t>
      </w:r>
      <w:r w:rsidRPr="00684A85">
        <w:rPr>
          <w:rFonts w:cs="Times New Roman"/>
          <w:szCs w:val="23"/>
        </w:rPr>
        <w:t>un</w:t>
      </w:r>
      <w:r w:rsidRPr="00684A85">
        <w:rPr>
          <w:rFonts w:cs="Times New Roman"/>
          <w:spacing w:val="-1"/>
          <w:szCs w:val="23"/>
        </w:rPr>
        <w:t xml:space="preserve"> </w:t>
      </w:r>
      <w:r w:rsidRPr="00684A85">
        <w:rPr>
          <w:rFonts w:cs="Times New Roman"/>
          <w:szCs w:val="23"/>
        </w:rPr>
        <w:t>crisol</w:t>
      </w:r>
      <w:r w:rsidRPr="00684A85">
        <w:rPr>
          <w:rFonts w:cs="Times New Roman"/>
          <w:spacing w:val="-1"/>
          <w:szCs w:val="23"/>
        </w:rPr>
        <w:t xml:space="preserve"> </w:t>
      </w:r>
      <w:r w:rsidRPr="00684A85">
        <w:rPr>
          <w:rFonts w:cs="Times New Roman"/>
          <w:szCs w:val="23"/>
        </w:rPr>
        <w:t>previamente secado en estufa, enfriado en un desecador y pesado poco después de alcanzar la temperatura ambiente; luego se realizó un calentamiento suave del crisol con la muestra, aumentando la temperatura hasta la carbonización de ésta, posteriormente se incineró en un horno mufla a temperatura aproximada de</w:t>
      </w:r>
      <w:r w:rsidRPr="00684A85">
        <w:rPr>
          <w:rFonts w:cs="Times New Roman"/>
          <w:spacing w:val="-4"/>
          <w:szCs w:val="23"/>
        </w:rPr>
        <w:t xml:space="preserve"> </w:t>
      </w:r>
      <w:r w:rsidR="000A2AE0">
        <w:rPr>
          <w:rFonts w:cs="Times New Roman"/>
          <w:szCs w:val="23"/>
        </w:rPr>
        <w:t xml:space="preserve">550 </w:t>
      </w:r>
      <w:proofErr w:type="spellStart"/>
      <w:r w:rsidR="000A2AE0">
        <w:rPr>
          <w:rFonts w:cs="Times New Roman"/>
          <w:szCs w:val="23"/>
          <w:vertAlign w:val="superscript"/>
        </w:rPr>
        <w:t>o</w:t>
      </w:r>
      <w:r w:rsidR="000A2AE0">
        <w:rPr>
          <w:rFonts w:cs="Times New Roman"/>
          <w:szCs w:val="23"/>
        </w:rPr>
        <w:t>C</w:t>
      </w:r>
      <w:proofErr w:type="spellEnd"/>
      <w:r w:rsidR="000A2AE0">
        <w:rPr>
          <w:rFonts w:cs="Times New Roman"/>
          <w:szCs w:val="23"/>
        </w:rPr>
        <w:t xml:space="preserve"> </w:t>
      </w:r>
      <w:r w:rsidRPr="00684A85">
        <w:rPr>
          <w:rFonts w:cs="Times New Roman"/>
          <w:szCs w:val="23"/>
        </w:rPr>
        <w:t>(rojo</w:t>
      </w:r>
      <w:r w:rsidRPr="00684A85">
        <w:rPr>
          <w:rFonts w:cs="Times New Roman"/>
          <w:spacing w:val="-4"/>
          <w:szCs w:val="23"/>
        </w:rPr>
        <w:t xml:space="preserve"> </w:t>
      </w:r>
      <w:r w:rsidRPr="00684A85">
        <w:rPr>
          <w:rFonts w:cs="Times New Roman"/>
          <w:szCs w:val="23"/>
        </w:rPr>
        <w:t>opaco)</w:t>
      </w:r>
      <w:r w:rsidRPr="00684A85">
        <w:rPr>
          <w:rFonts w:cs="Times New Roman"/>
          <w:spacing w:val="-1"/>
          <w:szCs w:val="23"/>
        </w:rPr>
        <w:t xml:space="preserve"> </w:t>
      </w:r>
      <w:r w:rsidRPr="00684A85">
        <w:rPr>
          <w:rFonts w:cs="Times New Roman"/>
          <w:szCs w:val="23"/>
        </w:rPr>
        <w:t>durante</w:t>
      </w:r>
      <w:r w:rsidRPr="00684A85">
        <w:rPr>
          <w:rFonts w:cs="Times New Roman"/>
          <w:spacing w:val="-4"/>
          <w:szCs w:val="23"/>
        </w:rPr>
        <w:t xml:space="preserve"> </w:t>
      </w:r>
      <w:r w:rsidRPr="00684A85">
        <w:rPr>
          <w:rFonts w:cs="Times New Roman"/>
          <w:szCs w:val="23"/>
        </w:rPr>
        <w:t>2</w:t>
      </w:r>
      <w:r w:rsidRPr="00684A85">
        <w:rPr>
          <w:rFonts w:cs="Times New Roman"/>
          <w:spacing w:val="-4"/>
          <w:szCs w:val="23"/>
        </w:rPr>
        <w:t xml:space="preserve"> </w:t>
      </w:r>
      <w:r w:rsidRPr="00684A85">
        <w:rPr>
          <w:rFonts w:cs="Times New Roman"/>
          <w:szCs w:val="23"/>
        </w:rPr>
        <w:t>horas o</w:t>
      </w:r>
      <w:r w:rsidRPr="00684A85">
        <w:rPr>
          <w:rFonts w:cs="Times New Roman"/>
          <w:spacing w:val="-4"/>
          <w:szCs w:val="23"/>
        </w:rPr>
        <w:t xml:space="preserve"> </w:t>
      </w:r>
      <w:r w:rsidRPr="00684A85">
        <w:rPr>
          <w:rFonts w:cs="Times New Roman"/>
          <w:szCs w:val="23"/>
        </w:rPr>
        <w:t>hasta</w:t>
      </w:r>
      <w:r w:rsidRPr="00684A85">
        <w:rPr>
          <w:rFonts w:cs="Times New Roman"/>
          <w:spacing w:val="-4"/>
          <w:szCs w:val="23"/>
        </w:rPr>
        <w:t xml:space="preserve"> </w:t>
      </w:r>
      <w:r w:rsidRPr="00684A85">
        <w:rPr>
          <w:rFonts w:cs="Times New Roman"/>
          <w:szCs w:val="23"/>
        </w:rPr>
        <w:t>obtener</w:t>
      </w:r>
      <w:r w:rsidRPr="00684A85">
        <w:rPr>
          <w:rFonts w:cs="Times New Roman"/>
          <w:spacing w:val="-2"/>
          <w:szCs w:val="23"/>
        </w:rPr>
        <w:t xml:space="preserve"> </w:t>
      </w:r>
      <w:r w:rsidRPr="00684A85">
        <w:rPr>
          <w:rFonts w:cs="Times New Roman"/>
          <w:szCs w:val="23"/>
        </w:rPr>
        <w:t>una</w:t>
      </w:r>
      <w:r w:rsidRPr="00684A85">
        <w:rPr>
          <w:rFonts w:cs="Times New Roman"/>
          <w:spacing w:val="-4"/>
          <w:szCs w:val="23"/>
        </w:rPr>
        <w:t xml:space="preserve"> </w:t>
      </w:r>
      <w:r w:rsidRPr="00684A85">
        <w:rPr>
          <w:rFonts w:cs="Times New Roman"/>
          <w:szCs w:val="23"/>
        </w:rPr>
        <w:t>ceniza de</w:t>
      </w:r>
      <w:r w:rsidRPr="00684A85">
        <w:rPr>
          <w:rFonts w:cs="Times New Roman"/>
          <w:spacing w:val="-4"/>
          <w:szCs w:val="23"/>
        </w:rPr>
        <w:t xml:space="preserve"> </w:t>
      </w:r>
      <w:r w:rsidRPr="00684A85">
        <w:rPr>
          <w:rFonts w:cs="Times New Roman"/>
          <w:szCs w:val="23"/>
        </w:rPr>
        <w:t xml:space="preserve">color gris claro o peso constante. Se enfrió el crisol en un desecador y se pesó cuando </w:t>
      </w:r>
      <w:r w:rsidRPr="00684A85">
        <w:rPr>
          <w:rFonts w:cs="Times New Roman"/>
          <w:szCs w:val="23"/>
        </w:rPr>
        <w:lastRenderedPageBreak/>
        <w:t>alcanzó temperatura ambiente.</w:t>
      </w:r>
      <w:r w:rsidRPr="00684A85">
        <w:rPr>
          <w:rFonts w:cs="Times New Roman"/>
          <w:spacing w:val="40"/>
          <w:szCs w:val="23"/>
        </w:rPr>
        <w:t xml:space="preserve"> </w:t>
      </w:r>
      <w:r w:rsidRPr="00684A85">
        <w:rPr>
          <w:rFonts w:cs="Times New Roman"/>
          <w:szCs w:val="23"/>
        </w:rPr>
        <w:t>Este</w:t>
      </w:r>
      <w:r w:rsidRPr="00684A85">
        <w:rPr>
          <w:rFonts w:cs="Times New Roman"/>
          <w:spacing w:val="-1"/>
          <w:szCs w:val="23"/>
        </w:rPr>
        <w:t xml:space="preserve"> </w:t>
      </w:r>
      <w:r w:rsidRPr="00684A85">
        <w:rPr>
          <w:rFonts w:cs="Times New Roman"/>
          <w:szCs w:val="23"/>
        </w:rPr>
        <w:t>proceso se efectuó hasta peso constante; los resultados se expresaron en porcentaje</w:t>
      </w:r>
      <w:r w:rsidR="00445897">
        <w:rPr>
          <w:rFonts w:cs="Times New Roman"/>
          <w:szCs w:val="23"/>
        </w:rPr>
        <w:t xml:space="preserve"> de masa</w:t>
      </w:r>
      <w:r w:rsidRPr="00684A85">
        <w:rPr>
          <w:rFonts w:cs="Times New Roman"/>
          <w:szCs w:val="23"/>
        </w:rPr>
        <w:t xml:space="preserve"> (%)</w:t>
      </w:r>
      <w:r w:rsidR="00445897">
        <w:rPr>
          <w:rFonts w:cs="Times New Roman"/>
          <w:szCs w:val="23"/>
        </w:rPr>
        <w:t>.</w:t>
      </w:r>
    </w:p>
    <w:p w14:paraId="7965A616" w14:textId="3BFEDDBB" w:rsidR="001E6783" w:rsidRPr="00684A85" w:rsidRDefault="001E6783" w:rsidP="00BA1F97">
      <w:pPr>
        <w:tabs>
          <w:tab w:val="left" w:pos="5220"/>
          <w:tab w:val="left" w:pos="5540"/>
        </w:tabs>
        <w:rPr>
          <w:rFonts w:cs="Times New Roman"/>
          <w:szCs w:val="23"/>
        </w:rPr>
      </w:pPr>
      <w:r w:rsidRPr="00684A85">
        <w:rPr>
          <w:rFonts w:cs="Times New Roman"/>
          <w:noProof/>
          <w:szCs w:val="23"/>
        </w:rPr>
        <w:t xml:space="preserve">          </w:t>
      </w:r>
      <w:r w:rsidRPr="00684A85">
        <w:rPr>
          <w:rFonts w:cs="Times New Roman"/>
          <w:szCs w:val="23"/>
        </w:rPr>
        <w:t xml:space="preserve">                                                                                     </w:t>
      </w:r>
    </w:p>
    <w:p w14:paraId="0710BE94" w14:textId="660A9AD3" w:rsidR="001E6783" w:rsidRPr="00684A85" w:rsidRDefault="001E6783" w:rsidP="00277D15">
      <w:pPr>
        <w:pStyle w:val="Heading3"/>
        <w:numPr>
          <w:ilvl w:val="2"/>
          <w:numId w:val="11"/>
        </w:numPr>
        <w:rPr>
          <w:lang w:val="es-EC"/>
        </w:rPr>
      </w:pPr>
      <w:bookmarkStart w:id="5" w:name="_Toc235871703"/>
      <w:r w:rsidRPr="00684A85">
        <w:rPr>
          <w:lang w:val="es-EC"/>
        </w:rPr>
        <w:t>Proteínas</w:t>
      </w:r>
      <w:bookmarkEnd w:id="5"/>
    </w:p>
    <w:p w14:paraId="286BEFEF" w14:textId="77777777" w:rsidR="001E6783" w:rsidRPr="00684A85" w:rsidRDefault="001E6783" w:rsidP="009C3F2D">
      <w:pPr>
        <w:spacing w:after="0"/>
        <w:rPr>
          <w:rFonts w:cs="Times New Roman"/>
          <w:b/>
          <w:szCs w:val="23"/>
          <w:lang w:val="es-EC"/>
        </w:rPr>
      </w:pPr>
      <w:r w:rsidRPr="00684A85">
        <w:rPr>
          <w:rFonts w:cs="Times New Roman"/>
          <w:szCs w:val="23"/>
        </w:rPr>
        <w:t>La</w:t>
      </w:r>
      <w:r w:rsidRPr="00684A85">
        <w:rPr>
          <w:rFonts w:cs="Times New Roman"/>
          <w:spacing w:val="-5"/>
          <w:szCs w:val="23"/>
        </w:rPr>
        <w:t xml:space="preserve"> </w:t>
      </w:r>
      <w:r w:rsidRPr="00684A85">
        <w:rPr>
          <w:rFonts w:cs="Times New Roman"/>
          <w:szCs w:val="23"/>
        </w:rPr>
        <w:t>determinación</w:t>
      </w:r>
      <w:r w:rsidRPr="00684A85">
        <w:rPr>
          <w:rFonts w:cs="Times New Roman"/>
          <w:spacing w:val="-1"/>
          <w:szCs w:val="23"/>
        </w:rPr>
        <w:t xml:space="preserve"> </w:t>
      </w:r>
      <w:r w:rsidRPr="00684A85">
        <w:rPr>
          <w:rFonts w:cs="Times New Roman"/>
          <w:szCs w:val="23"/>
        </w:rPr>
        <w:t>de</w:t>
      </w:r>
      <w:r w:rsidRPr="00684A85">
        <w:rPr>
          <w:rFonts w:cs="Times New Roman"/>
          <w:spacing w:val="-5"/>
          <w:szCs w:val="23"/>
        </w:rPr>
        <w:t xml:space="preserve"> </w:t>
      </w:r>
      <w:r w:rsidRPr="00684A85">
        <w:rPr>
          <w:rFonts w:cs="Times New Roman"/>
          <w:szCs w:val="23"/>
        </w:rPr>
        <w:t>proteínas se</w:t>
      </w:r>
      <w:r w:rsidRPr="00684A85">
        <w:rPr>
          <w:rFonts w:cs="Times New Roman"/>
          <w:spacing w:val="-5"/>
          <w:szCs w:val="23"/>
        </w:rPr>
        <w:t xml:space="preserve"> </w:t>
      </w:r>
      <w:r w:rsidRPr="00684A85">
        <w:rPr>
          <w:rFonts w:cs="Times New Roman"/>
          <w:szCs w:val="23"/>
        </w:rPr>
        <w:t>realizó</w:t>
      </w:r>
      <w:r w:rsidRPr="00684A85">
        <w:rPr>
          <w:rFonts w:cs="Times New Roman"/>
          <w:spacing w:val="-4"/>
          <w:szCs w:val="23"/>
        </w:rPr>
        <w:t xml:space="preserve"> </w:t>
      </w:r>
      <w:r w:rsidRPr="00684A85">
        <w:rPr>
          <w:rFonts w:cs="Times New Roman"/>
          <w:szCs w:val="23"/>
        </w:rPr>
        <w:t xml:space="preserve">de acuerdo con el </w:t>
      </w:r>
      <w:r w:rsidRPr="00684A85">
        <w:rPr>
          <w:rFonts w:cs="Times New Roman"/>
          <w:szCs w:val="23"/>
          <w:lang w:val="es-EC"/>
        </w:rPr>
        <w:t xml:space="preserve">método AOAC 920.87 </w:t>
      </w:r>
      <w:r w:rsidRPr="00684A85">
        <w:rPr>
          <w:rFonts w:cs="Times New Roman"/>
          <w:b/>
          <w:szCs w:val="23"/>
          <w:lang w:val="en-US"/>
        </w:rPr>
        <w:fldChar w:fldCharType="begin"/>
      </w:r>
      <w:r w:rsidRPr="00684A85">
        <w:rPr>
          <w:rFonts w:cs="Times New Roman"/>
          <w:szCs w:val="23"/>
          <w:lang w:val="es-EC"/>
        </w:rPr>
        <w:instrText xml:space="preserve"> ADDIN ZOTERO_ITEM CSL_CITATION {"citationID":"ZAXbhrpZ","properties":{"formattedCitation":"(Association of Analytical Communities, 2023c)","plainCitation":"(Association of Analytical Communities, 2023c)","noteIndex":0},"citationItems":[{"id":89,"uris":["http://zotero.org/users/5236988/items/EV3KRG79"],"itemData":{"id":89,"type":"book","abstract":"AOAC INTERNATIONAL has been publishing a robust set of methods for analytical scientists since 1884. Scientists from around the globe contribute their expertise to ensure the content remains reliable in terms of standards development, method development, and the systematic evaluation and review of methods. As a result, the Official Methods of Analysis of AOAC INTERNATIONAL is the most comprehensive collection of chemical and microbiological methods available in the world. Now in its twenty-second edition, this publication continues to be the most extensive and reliable collection of chemical and microbiological methods and consensus standards.Many methods within the compendium have notation indicating their adoption as harmonized international reference methods by the International Organization for Standardization (ISO), the International Dairy Federation (IDF), the International Union of Pure and Applied Chemistry (IUPAC), and the Codex Alimentarius Commission. This new edition includes new and updated methods approved since 2019 \n            ,  \n             AOAC INTERNATIONAL has been publishing a robust set of methods for analytical scientists since 1884. Scientists from around the globe contribute their expertise to ensure the content remains reliable in terms of standards development, method development, and the systematic evaluation and review of methods. As a result, the Official Methods of Analysis of AOAC INTERNATIONAL is the most comprehensive collection of chemical and microbiological methods available in the world. Now in its twenty-second edition, this publication continues to be the most extensive and reliable collection of chemical and microbiological methods and consensus standards.Many methods within the compendium have notation indicating their adoption as harmonized international reference methods by the International Organization for Standardization (ISO), the International Dairy Federation (IDF), the International Union of Pure and Applied Chemistry (IUPAC), and the Codex Alimentarius Commission. This new edition includes new and updated methods approved since 2019","event-place":"Oxford, New York","ISBN":"978-0-19-761013-8","number-of-pages":"3750","publisher":"Oxford University Press","publisher-place":"Oxford, New York","source":"Oxford University Press","title":"Official Method 920.87 Protein (Total) in Flour. In G. W. Latimer, Jr. (Ed.), Official methods of analysis of AOAC International (Chapter 32.1.22, 22nd ed.).","title-short":"Official Methods of Analysis of AOAC INTERNATIONAL","URL":"https://doi.org/10.1093/9780197610145.003.2942","author":[{"family":"Association of Analytical Communities","given":""}],"issued":{"literal":"2023c"}}}],"schema":"https://github.com/citation-style-language/schema/raw/master/csl-citation.json"} </w:instrText>
      </w:r>
      <w:r w:rsidRPr="00684A85">
        <w:rPr>
          <w:rFonts w:cs="Times New Roman"/>
          <w:b/>
          <w:szCs w:val="23"/>
          <w:lang w:val="en-US"/>
        </w:rPr>
        <w:fldChar w:fldCharType="separate"/>
      </w:r>
      <w:r w:rsidRPr="00684A85">
        <w:rPr>
          <w:rFonts w:cs="Times New Roman"/>
          <w:szCs w:val="23"/>
        </w:rPr>
        <w:t xml:space="preserve">(Association of Analytical </w:t>
      </w:r>
      <w:proofErr w:type="spellStart"/>
      <w:r w:rsidRPr="00684A85">
        <w:rPr>
          <w:rFonts w:cs="Times New Roman"/>
          <w:szCs w:val="23"/>
        </w:rPr>
        <w:t>Communities</w:t>
      </w:r>
      <w:proofErr w:type="spellEnd"/>
      <w:r w:rsidRPr="00684A85">
        <w:rPr>
          <w:rFonts w:cs="Times New Roman"/>
          <w:szCs w:val="23"/>
        </w:rPr>
        <w:t>, 2023c)</w:t>
      </w:r>
      <w:r w:rsidRPr="00684A85">
        <w:rPr>
          <w:rFonts w:cs="Times New Roman"/>
          <w:b/>
          <w:szCs w:val="23"/>
          <w:lang w:val="en-US"/>
        </w:rPr>
        <w:fldChar w:fldCharType="end"/>
      </w:r>
      <w:r w:rsidRPr="00684A85">
        <w:rPr>
          <w:rFonts w:cs="Times New Roman"/>
          <w:szCs w:val="23"/>
          <w:lang w:val="es-EC"/>
        </w:rPr>
        <w:t xml:space="preserve"> </w:t>
      </w:r>
      <w:r w:rsidRPr="00684A85">
        <w:rPr>
          <w:rFonts w:cs="Times New Roman"/>
          <w:szCs w:val="23"/>
        </w:rPr>
        <w:t xml:space="preserve">mediante </w:t>
      </w:r>
      <w:proofErr w:type="spellStart"/>
      <w:r w:rsidRPr="00684A85">
        <w:rPr>
          <w:rFonts w:cs="Times New Roman"/>
          <w:szCs w:val="23"/>
        </w:rPr>
        <w:t>microKjeldahl</w:t>
      </w:r>
      <w:proofErr w:type="spellEnd"/>
      <w:r w:rsidRPr="00684A85">
        <w:rPr>
          <w:rFonts w:cs="Times New Roman"/>
          <w:spacing w:val="-2"/>
          <w:szCs w:val="23"/>
        </w:rPr>
        <w:t xml:space="preserve"> </w:t>
      </w:r>
      <w:r w:rsidRPr="00684A85">
        <w:rPr>
          <w:rFonts w:cs="Times New Roman"/>
          <w:szCs w:val="23"/>
        </w:rPr>
        <w:t>y</w:t>
      </w:r>
      <w:r w:rsidRPr="00684A85">
        <w:rPr>
          <w:rFonts w:cs="Times New Roman"/>
          <w:spacing w:val="-3"/>
          <w:szCs w:val="23"/>
        </w:rPr>
        <w:t xml:space="preserve"> </w:t>
      </w:r>
      <w:r w:rsidRPr="00684A85">
        <w:rPr>
          <w:rFonts w:cs="Times New Roman"/>
          <w:szCs w:val="23"/>
        </w:rPr>
        <w:t>consistió</w:t>
      </w:r>
      <w:r w:rsidRPr="00684A85">
        <w:rPr>
          <w:rFonts w:cs="Times New Roman"/>
          <w:spacing w:val="-4"/>
          <w:szCs w:val="23"/>
        </w:rPr>
        <w:t xml:space="preserve"> </w:t>
      </w:r>
      <w:r w:rsidRPr="00684A85">
        <w:rPr>
          <w:rFonts w:cs="Times New Roman"/>
          <w:szCs w:val="23"/>
        </w:rPr>
        <w:t>en tres fases:</w:t>
      </w:r>
    </w:p>
    <w:p w14:paraId="4FE07831" w14:textId="7326A947" w:rsidR="001E6783" w:rsidRPr="00684A85" w:rsidRDefault="001E6783" w:rsidP="0012558E">
      <w:pPr>
        <w:widowControl w:val="0"/>
        <w:tabs>
          <w:tab w:val="left" w:pos="709"/>
        </w:tabs>
        <w:autoSpaceDE w:val="0"/>
        <w:autoSpaceDN w:val="0"/>
        <w:spacing w:before="0" w:after="0"/>
        <w:ind w:right="289"/>
        <w:rPr>
          <w:rFonts w:cs="Times New Roman"/>
          <w:b/>
          <w:szCs w:val="23"/>
        </w:rPr>
      </w:pPr>
      <w:r w:rsidRPr="006B57D4">
        <w:rPr>
          <w:rFonts w:cs="Times New Roman"/>
          <w:bCs/>
          <w:iCs/>
          <w:szCs w:val="23"/>
        </w:rPr>
        <w:t>Digestión:</w:t>
      </w:r>
      <w:r w:rsidRPr="00684A85">
        <w:rPr>
          <w:rFonts w:cs="Times New Roman"/>
          <w:b/>
          <w:i/>
          <w:szCs w:val="23"/>
        </w:rPr>
        <w:t xml:space="preserve"> </w:t>
      </w:r>
      <w:r w:rsidRPr="00684A85">
        <w:rPr>
          <w:rFonts w:cs="Times New Roman"/>
          <w:szCs w:val="23"/>
        </w:rPr>
        <w:t xml:space="preserve">Esta fase se </w:t>
      </w:r>
      <w:proofErr w:type="spellStart"/>
      <w:r w:rsidRPr="00684A85">
        <w:rPr>
          <w:rFonts w:cs="Times New Roman"/>
          <w:szCs w:val="23"/>
        </w:rPr>
        <w:t>llev</w:t>
      </w:r>
      <w:r w:rsidRPr="00684A85">
        <w:rPr>
          <w:rFonts w:cs="Times New Roman"/>
          <w:szCs w:val="23"/>
          <w:lang w:val="es-EC"/>
        </w:rPr>
        <w:t>ó</w:t>
      </w:r>
      <w:proofErr w:type="spellEnd"/>
      <w:r w:rsidRPr="00684A85">
        <w:rPr>
          <w:rFonts w:cs="Times New Roman"/>
          <w:szCs w:val="23"/>
          <w:lang w:val="es-EC"/>
        </w:rPr>
        <w:t xml:space="preserve"> a cabo en el interior </w:t>
      </w:r>
      <w:r w:rsidRPr="00684A85">
        <w:rPr>
          <w:rFonts w:cs="Times New Roman"/>
          <w:szCs w:val="23"/>
        </w:rPr>
        <w:t>de una campana de extracción de gases. En cada tubo de micro-</w:t>
      </w:r>
      <w:proofErr w:type="spellStart"/>
      <w:r w:rsidRPr="00684A85">
        <w:rPr>
          <w:rFonts w:cs="Times New Roman"/>
          <w:szCs w:val="23"/>
        </w:rPr>
        <w:t>Kjeldh</w:t>
      </w:r>
      <w:proofErr w:type="spellEnd"/>
      <w:r w:rsidRPr="00684A85">
        <w:rPr>
          <w:rFonts w:cs="Times New Roman"/>
          <w:szCs w:val="23"/>
        </w:rPr>
        <w:t xml:space="preserve"> se colocaron 0.3 g de harina de </w:t>
      </w:r>
      <w:proofErr w:type="spellStart"/>
      <w:r w:rsidRPr="00684A85">
        <w:rPr>
          <w:rFonts w:cs="Times New Roman"/>
          <w:szCs w:val="23"/>
        </w:rPr>
        <w:t>mashua</w:t>
      </w:r>
      <w:proofErr w:type="spellEnd"/>
      <w:r w:rsidRPr="00684A85">
        <w:rPr>
          <w:rFonts w:cs="Times New Roman"/>
          <w:szCs w:val="23"/>
        </w:rPr>
        <w:t xml:space="preserve">, 3 g de sulfato de cobre (II) pentahidratado </w:t>
      </w:r>
      <w:r w:rsidRPr="00684A85">
        <w:rPr>
          <w:rFonts w:cs="Times New Roman"/>
          <w:position w:val="1"/>
          <w:szCs w:val="23"/>
        </w:rPr>
        <w:t>(</w:t>
      </w:r>
      <w:proofErr w:type="spellStart"/>
      <w:r w:rsidRPr="00684A85">
        <w:rPr>
          <w:rFonts w:cs="Times New Roman"/>
          <w:position w:val="1"/>
          <w:szCs w:val="23"/>
        </w:rPr>
        <w:t>CuSO</w:t>
      </w:r>
      <w:proofErr w:type="spellEnd"/>
      <w:r w:rsidRPr="00684A85">
        <w:rPr>
          <w:rFonts w:cs="Times New Roman"/>
          <w:szCs w:val="23"/>
          <w:vertAlign w:val="subscript"/>
        </w:rPr>
        <w:t>4</w:t>
      </w:r>
      <w:r w:rsidRPr="00684A85">
        <w:rPr>
          <w:rFonts w:cs="Times New Roman"/>
          <w:szCs w:val="23"/>
        </w:rPr>
        <w:t>.</w:t>
      </w:r>
      <w:r w:rsidRPr="00684A85">
        <w:rPr>
          <w:rFonts w:cs="Times New Roman"/>
          <w:position w:val="1"/>
          <w:szCs w:val="23"/>
        </w:rPr>
        <w:t>5H</w:t>
      </w:r>
      <w:r w:rsidRPr="00684A85">
        <w:rPr>
          <w:rFonts w:cs="Times New Roman"/>
          <w:position w:val="1"/>
          <w:szCs w:val="23"/>
          <w:vertAlign w:val="subscript"/>
        </w:rPr>
        <w:t>2</w:t>
      </w:r>
      <w:r w:rsidRPr="00684A85">
        <w:rPr>
          <w:rFonts w:cs="Times New Roman"/>
          <w:position w:val="1"/>
          <w:szCs w:val="23"/>
        </w:rPr>
        <w:t>O),</w:t>
      </w:r>
      <w:r w:rsidRPr="00684A85">
        <w:rPr>
          <w:rFonts w:cs="Times New Roman"/>
          <w:szCs w:val="23"/>
        </w:rPr>
        <w:t xml:space="preserve"> </w:t>
      </w:r>
      <w:r w:rsidRPr="00684A85">
        <w:rPr>
          <w:rFonts w:cs="Times New Roman"/>
          <w:position w:val="1"/>
          <w:szCs w:val="23"/>
        </w:rPr>
        <w:t>0.15 g de sulfato de sodio (Na</w:t>
      </w:r>
      <w:r w:rsidRPr="00684A85">
        <w:rPr>
          <w:rFonts w:cs="Times New Roman"/>
          <w:position w:val="1"/>
          <w:szCs w:val="23"/>
          <w:vertAlign w:val="subscript"/>
        </w:rPr>
        <w:t>2</w:t>
      </w:r>
      <w:r w:rsidRPr="00684A85">
        <w:rPr>
          <w:rFonts w:cs="Times New Roman"/>
          <w:position w:val="1"/>
          <w:szCs w:val="23"/>
        </w:rPr>
        <w:t>SO</w:t>
      </w:r>
      <w:r w:rsidRPr="00684A85">
        <w:rPr>
          <w:rFonts w:cs="Times New Roman"/>
          <w:szCs w:val="23"/>
          <w:vertAlign w:val="subscript"/>
        </w:rPr>
        <w:t>4</w:t>
      </w:r>
      <w:r w:rsidRPr="00684A85">
        <w:rPr>
          <w:rFonts w:cs="Times New Roman"/>
          <w:position w:val="1"/>
          <w:szCs w:val="23"/>
        </w:rPr>
        <w:t xml:space="preserve">) como mezcla catalizadora, seguidos de 5 </w:t>
      </w:r>
      <w:proofErr w:type="spellStart"/>
      <w:r w:rsidRPr="00684A85">
        <w:rPr>
          <w:rFonts w:cs="Times New Roman"/>
          <w:position w:val="1"/>
          <w:szCs w:val="23"/>
        </w:rPr>
        <w:t>mL</w:t>
      </w:r>
      <w:proofErr w:type="spellEnd"/>
      <w:r w:rsidRPr="00684A85">
        <w:rPr>
          <w:rFonts w:cs="Times New Roman"/>
          <w:position w:val="1"/>
          <w:szCs w:val="23"/>
        </w:rPr>
        <w:t xml:space="preserve"> de ácido sulfúrico (H</w:t>
      </w:r>
      <w:r w:rsidRPr="00684A85">
        <w:rPr>
          <w:rFonts w:cs="Times New Roman"/>
          <w:position w:val="1"/>
          <w:szCs w:val="23"/>
          <w:vertAlign w:val="subscript"/>
        </w:rPr>
        <w:t>2</w:t>
      </w:r>
      <w:r w:rsidRPr="00684A85">
        <w:rPr>
          <w:rFonts w:cs="Times New Roman"/>
          <w:position w:val="1"/>
          <w:szCs w:val="23"/>
        </w:rPr>
        <w:t>SO</w:t>
      </w:r>
      <w:r w:rsidRPr="00684A85">
        <w:rPr>
          <w:rFonts w:cs="Times New Roman"/>
          <w:szCs w:val="23"/>
          <w:vertAlign w:val="subscript"/>
        </w:rPr>
        <w:t>4</w:t>
      </w:r>
      <w:r w:rsidRPr="00684A85">
        <w:rPr>
          <w:rFonts w:cs="Times New Roman"/>
          <w:position w:val="1"/>
          <w:szCs w:val="23"/>
        </w:rPr>
        <w:t xml:space="preserve">) concentrado y perlas de vidrio para regular la ebullición. Los tubos se dispusieron en el bloque </w:t>
      </w:r>
      <w:r w:rsidRPr="00684A85">
        <w:rPr>
          <w:rFonts w:cs="Times New Roman"/>
          <w:szCs w:val="23"/>
        </w:rPr>
        <w:t>digestor micro-Kjeldahl, iniciando con un</w:t>
      </w:r>
      <w:r w:rsidRPr="00684A85">
        <w:rPr>
          <w:rFonts w:cs="Times New Roman"/>
          <w:spacing w:val="-1"/>
          <w:szCs w:val="23"/>
        </w:rPr>
        <w:t xml:space="preserve"> </w:t>
      </w:r>
      <w:r w:rsidRPr="00684A85">
        <w:rPr>
          <w:rFonts w:cs="Times New Roman"/>
          <w:szCs w:val="23"/>
        </w:rPr>
        <w:t>calentamiento</w:t>
      </w:r>
      <w:r w:rsidRPr="00684A85">
        <w:rPr>
          <w:rFonts w:cs="Times New Roman"/>
          <w:spacing w:val="-1"/>
          <w:szCs w:val="23"/>
        </w:rPr>
        <w:t xml:space="preserve"> </w:t>
      </w:r>
      <w:r w:rsidRPr="00684A85">
        <w:rPr>
          <w:rFonts w:cs="Times New Roman"/>
          <w:szCs w:val="23"/>
        </w:rPr>
        <w:t>gradual controlado e</w:t>
      </w:r>
      <w:r w:rsidR="00684A85" w:rsidRPr="00684A85">
        <w:rPr>
          <w:rFonts w:cs="Times New Roman"/>
          <w:szCs w:val="23"/>
        </w:rPr>
        <w:t>n</w:t>
      </w:r>
      <w:r w:rsidRPr="00684A85">
        <w:rPr>
          <w:rFonts w:cs="Times New Roman"/>
          <w:szCs w:val="23"/>
        </w:rPr>
        <w:t>tre 270</w:t>
      </w:r>
      <w:r w:rsidRPr="00684A85">
        <w:rPr>
          <w:rFonts w:cs="Times New Roman"/>
          <w:spacing w:val="-1"/>
          <w:szCs w:val="23"/>
        </w:rPr>
        <w:t xml:space="preserve"> </w:t>
      </w:r>
      <w:r w:rsidRPr="00684A85">
        <w:rPr>
          <w:rFonts w:cs="Times New Roman"/>
          <w:szCs w:val="23"/>
        </w:rPr>
        <w:t>y</w:t>
      </w:r>
      <w:r w:rsidRPr="00684A85">
        <w:rPr>
          <w:rFonts w:cs="Times New Roman"/>
          <w:spacing w:val="-1"/>
          <w:szCs w:val="23"/>
        </w:rPr>
        <w:t xml:space="preserve"> </w:t>
      </w:r>
      <w:r w:rsidRPr="00684A85">
        <w:rPr>
          <w:rFonts w:cs="Times New Roman"/>
          <w:szCs w:val="23"/>
        </w:rPr>
        <w:t xml:space="preserve">300 </w:t>
      </w:r>
      <w:r w:rsidRPr="00684A85">
        <w:rPr>
          <w:rFonts w:cs="Times New Roman"/>
          <w:position w:val="8"/>
          <w:szCs w:val="23"/>
          <w:vertAlign w:val="superscript"/>
        </w:rPr>
        <w:t>o</w:t>
      </w:r>
      <w:r w:rsidRPr="00684A85">
        <w:rPr>
          <w:rFonts w:cs="Times New Roman"/>
          <w:szCs w:val="23"/>
        </w:rPr>
        <w:t>C durante un período de</w:t>
      </w:r>
      <w:r w:rsidRPr="00684A85">
        <w:rPr>
          <w:rFonts w:cs="Times New Roman"/>
          <w:spacing w:val="-1"/>
          <w:szCs w:val="23"/>
        </w:rPr>
        <w:t xml:space="preserve"> </w:t>
      </w:r>
      <w:r w:rsidRPr="00684A85">
        <w:rPr>
          <w:rFonts w:cs="Times New Roman"/>
          <w:szCs w:val="23"/>
        </w:rPr>
        <w:t>15 a</w:t>
      </w:r>
      <w:r w:rsidRPr="00684A85">
        <w:rPr>
          <w:rFonts w:cs="Times New Roman"/>
          <w:spacing w:val="-3"/>
          <w:szCs w:val="23"/>
        </w:rPr>
        <w:t xml:space="preserve"> </w:t>
      </w:r>
      <w:r w:rsidRPr="00684A85">
        <w:rPr>
          <w:rFonts w:cs="Times New Roman"/>
          <w:szCs w:val="23"/>
        </w:rPr>
        <w:t>30</w:t>
      </w:r>
      <w:r w:rsidRPr="00684A85">
        <w:rPr>
          <w:rFonts w:cs="Times New Roman"/>
          <w:spacing w:val="-3"/>
          <w:szCs w:val="23"/>
        </w:rPr>
        <w:t xml:space="preserve"> </w:t>
      </w:r>
      <w:r w:rsidRPr="00684A85">
        <w:rPr>
          <w:rFonts w:cs="Times New Roman"/>
          <w:szCs w:val="23"/>
        </w:rPr>
        <w:t xml:space="preserve">min. Posteriormente, </w:t>
      </w:r>
      <w:r w:rsidRPr="00684A85">
        <w:rPr>
          <w:rFonts w:cs="Times New Roman"/>
          <w:spacing w:val="-1"/>
          <w:szCs w:val="23"/>
        </w:rPr>
        <w:t>la</w:t>
      </w:r>
      <w:r w:rsidRPr="00684A85">
        <w:rPr>
          <w:rFonts w:cs="Times New Roman"/>
          <w:spacing w:val="-3"/>
          <w:szCs w:val="23"/>
        </w:rPr>
        <w:t xml:space="preserve"> </w:t>
      </w:r>
      <w:r w:rsidRPr="00684A85">
        <w:rPr>
          <w:rFonts w:cs="Times New Roman"/>
          <w:szCs w:val="23"/>
        </w:rPr>
        <w:t>temperatura se incrementó a</w:t>
      </w:r>
      <w:r w:rsidRPr="00684A85">
        <w:rPr>
          <w:rFonts w:cs="Times New Roman"/>
          <w:spacing w:val="-3"/>
          <w:szCs w:val="23"/>
        </w:rPr>
        <w:t xml:space="preserve"> </w:t>
      </w:r>
      <w:r w:rsidR="0012558E">
        <w:rPr>
          <w:rFonts w:cs="Times New Roman"/>
          <w:szCs w:val="23"/>
        </w:rPr>
        <w:t xml:space="preserve">400 </w:t>
      </w:r>
      <w:proofErr w:type="spellStart"/>
      <w:r w:rsidR="0012558E">
        <w:rPr>
          <w:rFonts w:cs="Times New Roman"/>
          <w:szCs w:val="23"/>
          <w:vertAlign w:val="superscript"/>
        </w:rPr>
        <w:t>o</w:t>
      </w:r>
      <w:r w:rsidR="0012558E">
        <w:rPr>
          <w:rFonts w:cs="Times New Roman"/>
          <w:szCs w:val="23"/>
        </w:rPr>
        <w:t>C</w:t>
      </w:r>
      <w:proofErr w:type="spellEnd"/>
      <w:r w:rsidRPr="00684A85">
        <w:rPr>
          <w:rFonts w:cs="Times New Roman"/>
          <w:szCs w:val="23"/>
        </w:rPr>
        <w:t xml:space="preserve"> por un lapso de</w:t>
      </w:r>
      <w:r w:rsidRPr="00684A85">
        <w:rPr>
          <w:rFonts w:cs="Times New Roman"/>
          <w:spacing w:val="-3"/>
          <w:szCs w:val="23"/>
        </w:rPr>
        <w:t xml:space="preserve"> </w:t>
      </w:r>
      <w:r w:rsidRPr="00684A85">
        <w:rPr>
          <w:rFonts w:cs="Times New Roman"/>
          <w:szCs w:val="23"/>
        </w:rPr>
        <w:t>60 a</w:t>
      </w:r>
      <w:r w:rsidRPr="00684A85">
        <w:rPr>
          <w:rFonts w:cs="Times New Roman"/>
          <w:spacing w:val="-3"/>
          <w:szCs w:val="23"/>
        </w:rPr>
        <w:t xml:space="preserve"> </w:t>
      </w:r>
      <w:r w:rsidRPr="00684A85">
        <w:rPr>
          <w:rFonts w:cs="Times New Roman"/>
          <w:szCs w:val="23"/>
        </w:rPr>
        <w:t>90 min</w:t>
      </w:r>
      <w:r w:rsidRPr="00684A85">
        <w:rPr>
          <w:rFonts w:cs="Times New Roman"/>
          <w:spacing w:val="-2"/>
          <w:szCs w:val="23"/>
        </w:rPr>
        <w:t xml:space="preserve"> con la finalidad de</w:t>
      </w:r>
      <w:r w:rsidRPr="00684A85">
        <w:rPr>
          <w:rFonts w:cs="Times New Roman"/>
          <w:spacing w:val="-4"/>
          <w:szCs w:val="23"/>
        </w:rPr>
        <w:t xml:space="preserve"> </w:t>
      </w:r>
      <w:r w:rsidRPr="00684A85">
        <w:rPr>
          <w:rFonts w:cs="Times New Roman"/>
          <w:szCs w:val="23"/>
        </w:rPr>
        <w:t>reducir</w:t>
      </w:r>
      <w:r w:rsidRPr="00684A85">
        <w:rPr>
          <w:rFonts w:cs="Times New Roman"/>
          <w:spacing w:val="-2"/>
          <w:szCs w:val="23"/>
        </w:rPr>
        <w:t xml:space="preserve"> </w:t>
      </w:r>
      <w:r w:rsidRPr="00684A85">
        <w:rPr>
          <w:rFonts w:cs="Times New Roman"/>
          <w:szCs w:val="23"/>
        </w:rPr>
        <w:t>la</w:t>
      </w:r>
      <w:r w:rsidRPr="00684A85">
        <w:rPr>
          <w:rFonts w:cs="Times New Roman"/>
          <w:spacing w:val="-4"/>
          <w:szCs w:val="23"/>
        </w:rPr>
        <w:t xml:space="preserve"> </w:t>
      </w:r>
      <w:r w:rsidRPr="00684A85">
        <w:rPr>
          <w:rFonts w:cs="Times New Roman"/>
          <w:szCs w:val="23"/>
        </w:rPr>
        <w:t>emisión excesiva</w:t>
      </w:r>
      <w:r w:rsidRPr="00684A85">
        <w:rPr>
          <w:rFonts w:cs="Times New Roman"/>
          <w:spacing w:val="-4"/>
          <w:szCs w:val="23"/>
        </w:rPr>
        <w:t xml:space="preserve"> </w:t>
      </w:r>
      <w:r w:rsidRPr="00684A85">
        <w:rPr>
          <w:rFonts w:cs="Times New Roman"/>
          <w:szCs w:val="23"/>
        </w:rPr>
        <w:t>de</w:t>
      </w:r>
      <w:r w:rsidRPr="00684A85">
        <w:rPr>
          <w:rFonts w:cs="Times New Roman"/>
          <w:spacing w:val="-4"/>
          <w:szCs w:val="23"/>
        </w:rPr>
        <w:t xml:space="preserve"> </w:t>
      </w:r>
      <w:r w:rsidRPr="00684A85">
        <w:rPr>
          <w:rFonts w:cs="Times New Roman"/>
          <w:szCs w:val="23"/>
        </w:rPr>
        <w:t>humos</w:t>
      </w:r>
      <w:r w:rsidRPr="00684A85">
        <w:rPr>
          <w:rFonts w:cs="Times New Roman"/>
          <w:spacing w:val="-2"/>
          <w:szCs w:val="23"/>
        </w:rPr>
        <w:t xml:space="preserve"> </w:t>
      </w:r>
      <w:r w:rsidRPr="00684A85">
        <w:rPr>
          <w:rFonts w:cs="Times New Roman"/>
          <w:szCs w:val="23"/>
        </w:rPr>
        <w:t>blancos; el proceso se dio por concluido al obtener un</w:t>
      </w:r>
      <w:r w:rsidRPr="00684A85">
        <w:rPr>
          <w:rFonts w:cs="Times New Roman"/>
          <w:spacing w:val="-4"/>
          <w:szCs w:val="23"/>
        </w:rPr>
        <w:t xml:space="preserve">a solución completamente translúcida </w:t>
      </w:r>
      <w:r w:rsidRPr="00684A85">
        <w:rPr>
          <w:rFonts w:cs="Times New Roman"/>
          <w:szCs w:val="23"/>
        </w:rPr>
        <w:t>de coloración azul claro tenue, constatando visualmente la ausencia de residuos carbonosos adheridos a las paredes internas de los tubos.</w:t>
      </w:r>
    </w:p>
    <w:p w14:paraId="716FDDDE" w14:textId="10464CDC" w:rsidR="001E6783" w:rsidRPr="006B57D4" w:rsidRDefault="001E6783" w:rsidP="0012558E">
      <w:pPr>
        <w:widowControl w:val="0"/>
        <w:tabs>
          <w:tab w:val="left" w:pos="709"/>
        </w:tabs>
        <w:autoSpaceDE w:val="0"/>
        <w:autoSpaceDN w:val="0"/>
        <w:spacing w:before="0"/>
        <w:ind w:right="289"/>
        <w:rPr>
          <w:rFonts w:cs="Times New Roman"/>
          <w:bCs/>
          <w:iCs/>
          <w:szCs w:val="23"/>
        </w:rPr>
      </w:pPr>
      <w:r w:rsidRPr="006B57D4">
        <w:rPr>
          <w:rFonts w:cs="Times New Roman"/>
          <w:bCs/>
          <w:iCs/>
          <w:szCs w:val="23"/>
        </w:rPr>
        <w:t xml:space="preserve">Dilución: Una vez finalizada la digestión, los tubos se retiraron del bloque digestor y se enfriaron a temperatura ambiente. Posteriormente, se adicionaron lentamente 25 </w:t>
      </w:r>
      <w:proofErr w:type="spellStart"/>
      <w:r w:rsidRPr="006B57D4">
        <w:rPr>
          <w:rFonts w:cs="Times New Roman"/>
          <w:bCs/>
          <w:iCs/>
          <w:szCs w:val="23"/>
        </w:rPr>
        <w:t>mL</w:t>
      </w:r>
      <w:proofErr w:type="spellEnd"/>
      <w:r w:rsidRPr="006B57D4">
        <w:rPr>
          <w:rFonts w:cs="Times New Roman"/>
          <w:bCs/>
          <w:iCs/>
          <w:szCs w:val="23"/>
        </w:rPr>
        <w:t xml:space="preserve"> de agua destilada a cada tubo para prevenir la solidificación de la muestra; en caso de ser necesario, se aplicó un ligero calentamiento residual en el mismo bloque digestor antes de enfriar nuevamente. Es fundamental evitar la introducción de tubos calientes en el destilador para prevenir reacciones violentas y pérdidas de nitrógeno.</w:t>
      </w:r>
    </w:p>
    <w:p w14:paraId="6B9F8754" w14:textId="6C804790" w:rsidR="001E6783" w:rsidRPr="00684A85" w:rsidRDefault="001E6783" w:rsidP="0012558E">
      <w:pPr>
        <w:widowControl w:val="0"/>
        <w:tabs>
          <w:tab w:val="left" w:pos="709"/>
        </w:tabs>
        <w:autoSpaceDE w:val="0"/>
        <w:autoSpaceDN w:val="0"/>
        <w:spacing w:before="0"/>
        <w:ind w:right="289"/>
        <w:rPr>
          <w:rFonts w:cs="Times New Roman"/>
          <w:bCs/>
          <w:iCs/>
          <w:szCs w:val="23"/>
        </w:rPr>
      </w:pPr>
      <w:r w:rsidRPr="006B57D4">
        <w:rPr>
          <w:rFonts w:cs="Times New Roman"/>
          <w:bCs/>
          <w:iCs/>
          <w:szCs w:val="23"/>
        </w:rPr>
        <w:t>Destilación: Se</w:t>
      </w:r>
      <w:r w:rsidRPr="006B57D4">
        <w:rPr>
          <w:rFonts w:cs="Times New Roman"/>
          <w:bCs/>
          <w:iCs/>
          <w:spacing w:val="-1"/>
          <w:szCs w:val="23"/>
        </w:rPr>
        <w:t xml:space="preserve"> </w:t>
      </w:r>
      <w:r w:rsidRPr="006B57D4">
        <w:rPr>
          <w:rFonts w:cs="Times New Roman"/>
          <w:bCs/>
          <w:iCs/>
          <w:szCs w:val="23"/>
        </w:rPr>
        <w:t>colocó</w:t>
      </w:r>
      <w:r w:rsidRPr="006B57D4">
        <w:rPr>
          <w:rFonts w:cs="Times New Roman"/>
          <w:bCs/>
          <w:iCs/>
          <w:spacing w:val="-1"/>
          <w:szCs w:val="23"/>
        </w:rPr>
        <w:t xml:space="preserve"> </w:t>
      </w:r>
      <w:r w:rsidRPr="006B57D4">
        <w:rPr>
          <w:rFonts w:cs="Times New Roman"/>
          <w:bCs/>
          <w:iCs/>
          <w:szCs w:val="23"/>
        </w:rPr>
        <w:t>un</w:t>
      </w:r>
      <w:r w:rsidRPr="006B57D4">
        <w:rPr>
          <w:rFonts w:cs="Times New Roman"/>
          <w:bCs/>
          <w:iCs/>
          <w:spacing w:val="-1"/>
          <w:szCs w:val="23"/>
        </w:rPr>
        <w:t xml:space="preserve"> matraz </w:t>
      </w:r>
      <w:r w:rsidRPr="006B57D4">
        <w:rPr>
          <w:rFonts w:cs="Times New Roman"/>
          <w:bCs/>
          <w:iCs/>
          <w:szCs w:val="23"/>
        </w:rPr>
        <w:t>Erlenmeyer de</w:t>
      </w:r>
      <w:r w:rsidRPr="006B57D4">
        <w:rPr>
          <w:rFonts w:cs="Times New Roman"/>
          <w:bCs/>
          <w:iCs/>
          <w:spacing w:val="-1"/>
          <w:szCs w:val="23"/>
        </w:rPr>
        <w:t xml:space="preserve"> </w:t>
      </w:r>
      <w:r w:rsidRPr="006B57D4">
        <w:rPr>
          <w:rFonts w:cs="Times New Roman"/>
          <w:bCs/>
          <w:iCs/>
          <w:szCs w:val="23"/>
        </w:rPr>
        <w:t>250</w:t>
      </w:r>
      <w:r w:rsidRPr="006B57D4">
        <w:rPr>
          <w:rFonts w:cs="Times New Roman"/>
          <w:bCs/>
          <w:iCs/>
          <w:spacing w:val="-1"/>
          <w:szCs w:val="23"/>
        </w:rPr>
        <w:t xml:space="preserve"> </w:t>
      </w:r>
      <w:proofErr w:type="spellStart"/>
      <w:r w:rsidRPr="006B57D4">
        <w:rPr>
          <w:rFonts w:cs="Times New Roman"/>
          <w:bCs/>
          <w:iCs/>
          <w:szCs w:val="23"/>
        </w:rPr>
        <w:t>mL</w:t>
      </w:r>
      <w:proofErr w:type="spellEnd"/>
      <w:r w:rsidRPr="006B57D4">
        <w:rPr>
          <w:rFonts w:cs="Times New Roman"/>
          <w:bCs/>
          <w:iCs/>
          <w:spacing w:val="-1"/>
          <w:szCs w:val="23"/>
        </w:rPr>
        <w:t xml:space="preserve"> </w:t>
      </w:r>
      <w:r w:rsidRPr="006B57D4">
        <w:rPr>
          <w:rFonts w:cs="Times New Roman"/>
          <w:bCs/>
          <w:iCs/>
          <w:szCs w:val="23"/>
        </w:rPr>
        <w:t>a</w:t>
      </w:r>
      <w:r w:rsidRPr="006B57D4">
        <w:rPr>
          <w:rFonts w:cs="Times New Roman"/>
          <w:bCs/>
          <w:iCs/>
          <w:spacing w:val="-1"/>
          <w:szCs w:val="23"/>
        </w:rPr>
        <w:t xml:space="preserve"> </w:t>
      </w:r>
      <w:r w:rsidRPr="006B57D4">
        <w:rPr>
          <w:rFonts w:cs="Times New Roman"/>
          <w:bCs/>
          <w:iCs/>
          <w:szCs w:val="23"/>
        </w:rPr>
        <w:t>la</w:t>
      </w:r>
      <w:r w:rsidRPr="006B57D4">
        <w:rPr>
          <w:rFonts w:cs="Times New Roman"/>
          <w:bCs/>
          <w:iCs/>
          <w:spacing w:val="-1"/>
          <w:szCs w:val="23"/>
        </w:rPr>
        <w:t xml:space="preserve"> </w:t>
      </w:r>
      <w:r w:rsidRPr="006B57D4">
        <w:rPr>
          <w:rFonts w:cs="Times New Roman"/>
          <w:bCs/>
          <w:iCs/>
          <w:szCs w:val="23"/>
        </w:rPr>
        <w:t>salida</w:t>
      </w:r>
      <w:r w:rsidRPr="006B57D4">
        <w:rPr>
          <w:rFonts w:cs="Times New Roman"/>
          <w:bCs/>
          <w:iCs/>
          <w:spacing w:val="-1"/>
          <w:szCs w:val="23"/>
        </w:rPr>
        <w:t xml:space="preserve"> </w:t>
      </w:r>
      <w:r w:rsidRPr="006B57D4">
        <w:rPr>
          <w:rFonts w:cs="Times New Roman"/>
          <w:bCs/>
          <w:iCs/>
          <w:szCs w:val="23"/>
        </w:rPr>
        <w:t>del</w:t>
      </w:r>
      <w:r w:rsidRPr="006B57D4">
        <w:rPr>
          <w:rFonts w:cs="Times New Roman"/>
          <w:bCs/>
          <w:iCs/>
          <w:spacing w:val="-1"/>
          <w:szCs w:val="23"/>
        </w:rPr>
        <w:t xml:space="preserve"> </w:t>
      </w:r>
      <w:r w:rsidRPr="006B57D4">
        <w:rPr>
          <w:rFonts w:cs="Times New Roman"/>
          <w:bCs/>
          <w:iCs/>
          <w:szCs w:val="23"/>
        </w:rPr>
        <w:t>refrigerante,</w:t>
      </w:r>
      <w:r w:rsidRPr="00684A85">
        <w:rPr>
          <w:rFonts w:cs="Times New Roman"/>
          <w:szCs w:val="23"/>
        </w:rPr>
        <w:t xml:space="preserve"> </w:t>
      </w:r>
      <w:r w:rsidRPr="00684A85">
        <w:rPr>
          <w:rFonts w:cs="Times New Roman"/>
          <w:position w:val="1"/>
          <w:szCs w:val="23"/>
        </w:rPr>
        <w:t xml:space="preserve">el cual contenía 25 </w:t>
      </w:r>
      <w:proofErr w:type="spellStart"/>
      <w:r w:rsidRPr="00684A85">
        <w:rPr>
          <w:rFonts w:cs="Times New Roman"/>
          <w:position w:val="1"/>
          <w:szCs w:val="23"/>
        </w:rPr>
        <w:t>mL</w:t>
      </w:r>
      <w:proofErr w:type="spellEnd"/>
      <w:r w:rsidRPr="00684A85">
        <w:rPr>
          <w:rFonts w:cs="Times New Roman"/>
          <w:position w:val="1"/>
          <w:szCs w:val="23"/>
        </w:rPr>
        <w:t xml:space="preserve"> de ácido bórico (H</w:t>
      </w:r>
      <w:r w:rsidRPr="00684A85">
        <w:rPr>
          <w:rFonts w:cs="Times New Roman"/>
          <w:position w:val="1"/>
          <w:szCs w:val="23"/>
          <w:vertAlign w:val="subscript"/>
        </w:rPr>
        <w:t>3</w:t>
      </w:r>
      <w:r w:rsidRPr="00684A85">
        <w:rPr>
          <w:rFonts w:cs="Times New Roman"/>
          <w:position w:val="1"/>
          <w:szCs w:val="23"/>
        </w:rPr>
        <w:t>BO</w:t>
      </w:r>
      <w:r w:rsidRPr="00684A85">
        <w:rPr>
          <w:rFonts w:cs="Times New Roman"/>
          <w:szCs w:val="23"/>
          <w:vertAlign w:val="subscript"/>
        </w:rPr>
        <w:t>3</w:t>
      </w:r>
      <w:r w:rsidRPr="00684A85">
        <w:rPr>
          <w:rFonts w:cs="Times New Roman"/>
          <w:position w:val="1"/>
          <w:szCs w:val="23"/>
        </w:rPr>
        <w:t xml:space="preserve">) al 4 % y dos gotas de </w:t>
      </w:r>
      <w:r w:rsidRPr="00684A85">
        <w:rPr>
          <w:rFonts w:cs="Times New Roman"/>
          <w:szCs w:val="23"/>
        </w:rPr>
        <w:t xml:space="preserve">indicador mixto (rojo de metilo y azul de metileno). Paralelamente, al tubo con la muestra diluida se le adicionaron </w:t>
      </w:r>
      <w:r w:rsidRPr="00684A85">
        <w:rPr>
          <w:rFonts w:cs="Times New Roman"/>
          <w:szCs w:val="23"/>
        </w:rPr>
        <w:lastRenderedPageBreak/>
        <w:t xml:space="preserve">25 </w:t>
      </w:r>
      <w:proofErr w:type="spellStart"/>
      <w:r w:rsidRPr="00684A85">
        <w:rPr>
          <w:rFonts w:cs="Times New Roman"/>
          <w:szCs w:val="23"/>
        </w:rPr>
        <w:t>mL</w:t>
      </w:r>
      <w:proofErr w:type="spellEnd"/>
      <w:r w:rsidRPr="00684A85">
        <w:rPr>
          <w:rFonts w:cs="Times New Roman"/>
          <w:szCs w:val="23"/>
        </w:rPr>
        <w:t xml:space="preserve"> de hidróxido de sodio (NaOH) al 45 % hasta asegurar una coloración azulada, añadir un volumen adicional de NaOH en caso de ser necesario. Inmediatamente después, el tubo se acopló al destilador y se procedió con la destilación hasta recolectar un volumen final de 50 </w:t>
      </w:r>
      <w:proofErr w:type="spellStart"/>
      <w:r w:rsidRPr="00684A85">
        <w:rPr>
          <w:rFonts w:cs="Times New Roman"/>
          <w:szCs w:val="23"/>
        </w:rPr>
        <w:t>mL</w:t>
      </w:r>
      <w:proofErr w:type="spellEnd"/>
      <w:r w:rsidRPr="00684A85">
        <w:rPr>
          <w:rFonts w:cs="Times New Roman"/>
          <w:szCs w:val="23"/>
        </w:rPr>
        <w:t xml:space="preserve"> de líquido en el matraz receptor.</w:t>
      </w:r>
    </w:p>
    <w:p w14:paraId="1ADEEF17" w14:textId="27B2BFF9" w:rsidR="001E6783" w:rsidRPr="00684A85" w:rsidRDefault="001E6783" w:rsidP="000A6E67">
      <w:pPr>
        <w:widowControl w:val="0"/>
        <w:tabs>
          <w:tab w:val="left" w:pos="476"/>
        </w:tabs>
        <w:autoSpaceDE w:val="0"/>
        <w:autoSpaceDN w:val="0"/>
        <w:spacing w:after="0"/>
        <w:ind w:right="282"/>
        <w:rPr>
          <w:rFonts w:cs="Times New Roman"/>
          <w:szCs w:val="23"/>
        </w:rPr>
      </w:pPr>
      <w:r w:rsidRPr="006B57D4">
        <w:rPr>
          <w:rFonts w:cs="Times New Roman"/>
          <w:bCs/>
          <w:iCs/>
          <w:position w:val="1"/>
          <w:szCs w:val="23"/>
        </w:rPr>
        <w:t>Titulación</w:t>
      </w:r>
      <w:r w:rsidRPr="006B57D4">
        <w:rPr>
          <w:rFonts w:cs="Times New Roman"/>
          <w:bCs/>
          <w:iCs/>
          <w:spacing w:val="11"/>
          <w:position w:val="1"/>
          <w:szCs w:val="23"/>
        </w:rPr>
        <w:t xml:space="preserve"> </w:t>
      </w:r>
      <w:proofErr w:type="spellStart"/>
      <w:r w:rsidRPr="006B57D4">
        <w:rPr>
          <w:rFonts w:cs="Times New Roman"/>
          <w:bCs/>
          <w:iCs/>
          <w:position w:val="1"/>
          <w:szCs w:val="23"/>
        </w:rPr>
        <w:t>ó</w:t>
      </w:r>
      <w:proofErr w:type="spellEnd"/>
      <w:r w:rsidRPr="006B57D4">
        <w:rPr>
          <w:rFonts w:cs="Times New Roman"/>
          <w:bCs/>
          <w:iCs/>
          <w:spacing w:val="11"/>
          <w:position w:val="1"/>
          <w:szCs w:val="23"/>
        </w:rPr>
        <w:t xml:space="preserve"> </w:t>
      </w:r>
      <w:r w:rsidRPr="006B57D4">
        <w:rPr>
          <w:rFonts w:cs="Times New Roman"/>
          <w:bCs/>
          <w:iCs/>
          <w:position w:val="1"/>
          <w:szCs w:val="23"/>
        </w:rPr>
        <w:t>valoración:</w:t>
      </w:r>
      <w:r w:rsidRPr="00684A85">
        <w:rPr>
          <w:rFonts w:cs="Times New Roman"/>
          <w:b/>
          <w:i/>
          <w:spacing w:val="19"/>
          <w:position w:val="1"/>
          <w:szCs w:val="23"/>
        </w:rPr>
        <w:t xml:space="preserve"> </w:t>
      </w:r>
      <w:r w:rsidRPr="00684A85">
        <w:rPr>
          <w:rFonts w:cs="Times New Roman"/>
          <w:position w:val="1"/>
          <w:szCs w:val="23"/>
        </w:rPr>
        <w:t>El</w:t>
      </w:r>
      <w:r w:rsidRPr="00684A85">
        <w:rPr>
          <w:rFonts w:cs="Times New Roman"/>
          <w:spacing w:val="12"/>
          <w:position w:val="1"/>
          <w:szCs w:val="23"/>
        </w:rPr>
        <w:t xml:space="preserve"> </w:t>
      </w:r>
      <w:r w:rsidRPr="00684A85">
        <w:rPr>
          <w:rFonts w:cs="Times New Roman"/>
          <w:position w:val="1"/>
          <w:szCs w:val="23"/>
        </w:rPr>
        <w:t>destilado</w:t>
      </w:r>
      <w:r w:rsidRPr="00684A85">
        <w:rPr>
          <w:rFonts w:cs="Times New Roman"/>
          <w:spacing w:val="12"/>
          <w:position w:val="1"/>
          <w:szCs w:val="23"/>
        </w:rPr>
        <w:t xml:space="preserve"> recolectado </w:t>
      </w:r>
      <w:r w:rsidRPr="00684A85">
        <w:rPr>
          <w:rFonts w:cs="Times New Roman"/>
          <w:position w:val="1"/>
          <w:szCs w:val="23"/>
        </w:rPr>
        <w:t>se</w:t>
      </w:r>
      <w:r w:rsidRPr="00684A85">
        <w:rPr>
          <w:rFonts w:cs="Times New Roman"/>
          <w:spacing w:val="12"/>
          <w:position w:val="1"/>
          <w:szCs w:val="23"/>
        </w:rPr>
        <w:t xml:space="preserve"> </w:t>
      </w:r>
      <w:r w:rsidRPr="00684A85">
        <w:rPr>
          <w:rFonts w:cs="Times New Roman"/>
          <w:position w:val="1"/>
          <w:szCs w:val="23"/>
        </w:rPr>
        <w:t>tituló</w:t>
      </w:r>
      <w:r w:rsidRPr="00684A85">
        <w:rPr>
          <w:rFonts w:cs="Times New Roman"/>
          <w:spacing w:val="12"/>
          <w:position w:val="1"/>
          <w:szCs w:val="23"/>
        </w:rPr>
        <w:t xml:space="preserve"> </w:t>
      </w:r>
      <w:r w:rsidRPr="00684A85">
        <w:rPr>
          <w:rFonts w:cs="Times New Roman"/>
          <w:position w:val="1"/>
          <w:szCs w:val="23"/>
        </w:rPr>
        <w:t>con</w:t>
      </w:r>
      <w:r w:rsidRPr="00684A85">
        <w:rPr>
          <w:rFonts w:cs="Times New Roman"/>
          <w:spacing w:val="12"/>
          <w:position w:val="1"/>
          <w:szCs w:val="23"/>
        </w:rPr>
        <w:t xml:space="preserve"> </w:t>
      </w:r>
      <w:r w:rsidRPr="00684A85">
        <w:rPr>
          <w:rFonts w:cs="Times New Roman"/>
          <w:position w:val="1"/>
          <w:szCs w:val="23"/>
        </w:rPr>
        <w:t>ácido</w:t>
      </w:r>
      <w:r w:rsidRPr="00684A85">
        <w:rPr>
          <w:rFonts w:cs="Times New Roman"/>
          <w:spacing w:val="12"/>
          <w:position w:val="1"/>
          <w:szCs w:val="23"/>
        </w:rPr>
        <w:t xml:space="preserve"> </w:t>
      </w:r>
      <w:r w:rsidRPr="00684A85">
        <w:rPr>
          <w:rFonts w:cs="Times New Roman"/>
          <w:position w:val="1"/>
          <w:szCs w:val="23"/>
        </w:rPr>
        <w:t>clorhídrico</w:t>
      </w:r>
      <w:r w:rsidRPr="00684A85">
        <w:rPr>
          <w:rFonts w:cs="Times New Roman"/>
          <w:spacing w:val="13"/>
          <w:position w:val="1"/>
          <w:szCs w:val="23"/>
        </w:rPr>
        <w:t xml:space="preserve"> </w:t>
      </w:r>
      <w:r w:rsidRPr="00684A85">
        <w:rPr>
          <w:rFonts w:cs="Times New Roman"/>
          <w:spacing w:val="-2"/>
          <w:position w:val="1"/>
          <w:szCs w:val="23"/>
        </w:rPr>
        <w:t>(HCl</w:t>
      </w:r>
      <w:r w:rsidRPr="00684A85">
        <w:rPr>
          <w:rFonts w:cs="Times New Roman"/>
          <w:spacing w:val="-2"/>
          <w:position w:val="1"/>
          <w:szCs w:val="23"/>
          <w:vertAlign w:val="subscript"/>
        </w:rPr>
        <w:t>(ac)</w:t>
      </w:r>
      <w:r w:rsidRPr="00684A85">
        <w:rPr>
          <w:rFonts w:cs="Times New Roman"/>
          <w:spacing w:val="-2"/>
          <w:position w:val="1"/>
          <w:szCs w:val="23"/>
        </w:rPr>
        <w:t xml:space="preserve">) </w:t>
      </w:r>
      <w:r w:rsidRPr="00684A85">
        <w:rPr>
          <w:rFonts w:cs="Times New Roman"/>
          <w:szCs w:val="23"/>
        </w:rPr>
        <w:t>0.02 N hasta observar el viraje de color del indicador o hasta alcanzar un pH de 4.65 en el punto final. Luego, se realizaron los cálculos estequiométricos correspondientes para determinar el contenido de nitrógeno y, mediante el factor de conversión respectivo, obtener el porcentaje de proteína total en las muestras analizadas.</w:t>
      </w:r>
      <w:r w:rsidRPr="00684A85">
        <w:rPr>
          <w:rFonts w:cs="Times New Roman"/>
          <w:noProof/>
          <w:szCs w:val="23"/>
        </w:rPr>
        <w:t xml:space="preserve">      </w:t>
      </w:r>
      <w:r w:rsidRPr="00684A85">
        <w:rPr>
          <w:rFonts w:cs="Times New Roman"/>
          <w:szCs w:val="23"/>
        </w:rPr>
        <w:t xml:space="preserve">      </w:t>
      </w:r>
      <w:r w:rsidRPr="00684A85">
        <w:rPr>
          <w:rFonts w:cs="Times New Roman"/>
          <w:noProof/>
          <w:szCs w:val="23"/>
        </w:rPr>
        <w:t xml:space="preserve">      </w:t>
      </w:r>
      <w:r w:rsidRPr="00684A85">
        <w:rPr>
          <w:rFonts w:cs="Times New Roman"/>
          <w:szCs w:val="23"/>
        </w:rPr>
        <w:t xml:space="preserve">                        </w:t>
      </w:r>
    </w:p>
    <w:p w14:paraId="1AB49AB2" w14:textId="6CD93771" w:rsidR="00277D15" w:rsidRPr="00277D15" w:rsidRDefault="000A6E67" w:rsidP="00277D15">
      <w:pPr>
        <w:pStyle w:val="Heading3"/>
        <w:numPr>
          <w:ilvl w:val="2"/>
          <w:numId w:val="11"/>
        </w:numPr>
        <w:rPr>
          <w:lang w:val="es-EC"/>
        </w:rPr>
      </w:pPr>
      <w:r>
        <w:rPr>
          <w:lang w:val="es-EC"/>
        </w:rPr>
        <w:t>Extracto etéreo</w:t>
      </w:r>
    </w:p>
    <w:p w14:paraId="59D5944D" w14:textId="10E4F7BD" w:rsidR="001E6783" w:rsidRPr="00F32C92" w:rsidRDefault="001E6783" w:rsidP="00F32C92">
      <w:pPr>
        <w:spacing w:after="0"/>
        <w:rPr>
          <w:rFonts w:cs="Times New Roman"/>
          <w:b/>
          <w:spacing w:val="-2"/>
          <w:szCs w:val="23"/>
        </w:rPr>
      </w:pPr>
      <w:r w:rsidRPr="00684A85">
        <w:rPr>
          <w:rFonts w:cs="Times New Roman"/>
          <w:szCs w:val="23"/>
          <w:lang w:val="es-EC"/>
        </w:rPr>
        <w:t xml:space="preserve">El análisis de </w:t>
      </w:r>
      <w:r w:rsidR="000A6E67">
        <w:rPr>
          <w:rFonts w:cs="Times New Roman"/>
          <w:szCs w:val="23"/>
          <w:lang w:val="es-EC"/>
        </w:rPr>
        <w:t xml:space="preserve">extracto etéreo </w:t>
      </w:r>
      <w:r w:rsidRPr="00684A85">
        <w:rPr>
          <w:rFonts w:cs="Times New Roman"/>
          <w:szCs w:val="23"/>
          <w:lang w:val="es-EC"/>
        </w:rPr>
        <w:t>se determinó siguiendo el</w:t>
      </w:r>
      <w:r w:rsidRPr="00684A85">
        <w:rPr>
          <w:rFonts w:cs="Times New Roman"/>
          <w:spacing w:val="-5"/>
          <w:szCs w:val="23"/>
          <w:lang w:val="es-EC"/>
        </w:rPr>
        <w:t xml:space="preserve"> </w:t>
      </w:r>
      <w:r w:rsidRPr="00684A85">
        <w:rPr>
          <w:rFonts w:cs="Times New Roman"/>
          <w:szCs w:val="23"/>
          <w:lang w:val="es-EC"/>
        </w:rPr>
        <w:t>método</w:t>
      </w:r>
      <w:r w:rsidRPr="00684A85">
        <w:rPr>
          <w:rFonts w:cs="Times New Roman"/>
          <w:spacing w:val="-7"/>
          <w:szCs w:val="23"/>
          <w:lang w:val="es-EC"/>
        </w:rPr>
        <w:t xml:space="preserve"> estándar AOAC </w:t>
      </w:r>
      <w:r w:rsidRPr="00684A85">
        <w:rPr>
          <w:rFonts w:cs="Times New Roman"/>
          <w:szCs w:val="23"/>
          <w:lang w:val="es-EC"/>
        </w:rPr>
        <w:t xml:space="preserve">920.85 </w:t>
      </w:r>
      <w:r w:rsidRPr="00684A85">
        <w:rPr>
          <w:rFonts w:cs="Times New Roman"/>
          <w:b/>
          <w:szCs w:val="23"/>
          <w:lang w:val="en-US"/>
        </w:rPr>
        <w:fldChar w:fldCharType="begin"/>
      </w:r>
      <w:r w:rsidRPr="00684A85">
        <w:rPr>
          <w:rFonts w:cs="Times New Roman"/>
          <w:szCs w:val="23"/>
          <w:lang w:val="es-EC"/>
        </w:rPr>
        <w:instrText xml:space="preserve"> ADDIN ZOTERO_ITEM CSL_CITATION {"citationID":"KnX4RrZW","properties":{"formattedCitation":"(Association of Analytical Communities, 2023d)","plainCitation":"(Association of Analytical Communities, 2023d)","noteIndex":0},"citationItems":[{"id":95,"uris":["http://zotero.org/users/5236988/items/IRC9B2A9"],"itemData":{"id":95,"type":"book","abstract":"AOAC INTERNATIONAL has been publishing a robust set of methods for analytical scientists since 1884. Scientists from around the globe contribute their expertise to ensure the content remains reliable in terms of standards development, method development, and the systematic evaluation and review of methods. As a result, the Official Methods of Analysis of AOAC INTERNATIONAL is the most comprehensive collection of chemical and microbiological methods available in the world. Now in its twenty-second edition, this publication continues to be the most extensive and reliable collection of chemical and microbiological methods and consensus standards.Many methods within the compendium have notation indicating their adoption as harmonized international reference methods by the International Organization for Standardization (ISO), the International Dairy Federation (IDF), the International Union of Pure and Applied Chemistry (IUPAC), and the Codex Alimentarius Commission. This new edition includes new and updated methods approved since 2019 \n            ,  \n             AOAC INTERNATIONAL has been publishing a robust set of methods for analytical scientists since 1884. Scientists from around the globe contribute their expertise to ensure the content remains reliable in terms of standards development, method development, and the systematic evaluation and review of methods. As a result, the Official Methods of Analysis of AOAC INTERNATIONAL is the most comprehensive collection of chemical and microbiological methods available in the world. Now in its twenty-second edition, this publication continues to be the most extensive and reliable collection of chemical and microbiological methods and consensus standards.Many methods within the compendium have notation indicating their adoption as harmonized international reference methods by the International Organization for Standardization (ISO), the International Dairy Federation (IDF), the International Union of Pure and Applied Chemistry (IUPAC), and the Codex Alimentarius Commission. This new edition includes new and updated methods approved since 2019","event-place":"Oxford, New York","ISBN":"978-0-19-761013-8","number-of-pages":"3750","publisher":"Oxford University Press","publisher-place":"Oxford, New York","source":"Oxford University Press","title":"Official Method 920.85 Fat (Crude) in Flour. In G. W. Latimer, Jr. (Ed.), Official methods of analysis of AOAC International (Chapter 32.1.13, 22nd ed.).","title-short":"Official Methods of Analysis of AOAC INTERNATIONAL","URL":"https://doi.org/10.1093/9780197610145.003.2937","author":[{"family":"Association of Analytical Communities","given":""}],"issued":{"literal":"2023d"}}}],"schema":"https://github.com/citation-style-language/schema/raw/master/csl-citation.json"} </w:instrText>
      </w:r>
      <w:r w:rsidRPr="00684A85">
        <w:rPr>
          <w:rFonts w:cs="Times New Roman"/>
          <w:b/>
          <w:szCs w:val="23"/>
          <w:lang w:val="en-US"/>
        </w:rPr>
        <w:fldChar w:fldCharType="separate"/>
      </w:r>
      <w:r w:rsidRPr="00684A85">
        <w:rPr>
          <w:rFonts w:cs="Times New Roman"/>
          <w:szCs w:val="23"/>
          <w:lang w:val="es-EC"/>
        </w:rPr>
        <w:t>(Association of Analytical Communities, 2023d)</w:t>
      </w:r>
      <w:r w:rsidRPr="00684A85">
        <w:rPr>
          <w:rFonts w:cs="Times New Roman"/>
          <w:b/>
          <w:szCs w:val="23"/>
          <w:lang w:val="en-US"/>
        </w:rPr>
        <w:fldChar w:fldCharType="end"/>
      </w:r>
      <w:r w:rsidRPr="00684A85">
        <w:rPr>
          <w:rFonts w:cs="Times New Roman"/>
          <w:szCs w:val="23"/>
          <w:lang w:val="es-EC"/>
        </w:rPr>
        <w:t xml:space="preserve">. </w:t>
      </w:r>
      <w:r w:rsidRPr="00684A85">
        <w:rPr>
          <w:rFonts w:cs="Times New Roman"/>
          <w:szCs w:val="23"/>
        </w:rPr>
        <w:t xml:space="preserve">Inicialmente, se pesaron 5 g de muestra sobre papel filtro previamente tarado, el cual se introdujo en un cartucho de celulosa. Una vez ensamblado el sistema de extracción Soxhlet, se adicionaron 60 </w:t>
      </w:r>
      <w:proofErr w:type="spellStart"/>
      <w:r w:rsidRPr="00684A85">
        <w:rPr>
          <w:rFonts w:cs="Times New Roman"/>
          <w:szCs w:val="23"/>
        </w:rPr>
        <w:t>mL</w:t>
      </w:r>
      <w:proofErr w:type="spellEnd"/>
      <w:r w:rsidRPr="00684A85">
        <w:rPr>
          <w:rFonts w:cs="Times New Roman"/>
          <w:szCs w:val="23"/>
        </w:rPr>
        <w:t xml:space="preserve"> de éter de petróleo como solvente y se procedió con la extracción continua durante un periodo de 4 h. Al finalizar el tiempo de reflujo, la solución obtenida se concentró en un </w:t>
      </w:r>
      <w:proofErr w:type="spellStart"/>
      <w:r w:rsidRPr="00684A85">
        <w:rPr>
          <w:rFonts w:cs="Times New Roman"/>
          <w:szCs w:val="23"/>
        </w:rPr>
        <w:t>rotaevaporador</w:t>
      </w:r>
      <w:proofErr w:type="spellEnd"/>
      <w:r w:rsidRPr="00684A85">
        <w:rPr>
          <w:rFonts w:cs="Times New Roman"/>
          <w:szCs w:val="23"/>
        </w:rPr>
        <w:t xml:space="preserve"> para recuperar el solvente orgánico. El matraz con el residuo graso se colocó en una estufa a 105 </w:t>
      </w:r>
      <w:proofErr w:type="spellStart"/>
      <w:r w:rsidRPr="00684A85">
        <w:rPr>
          <w:rFonts w:cs="Times New Roman"/>
          <w:szCs w:val="23"/>
          <w:vertAlign w:val="superscript"/>
        </w:rPr>
        <w:t>o</w:t>
      </w:r>
      <w:r w:rsidRPr="00684A85">
        <w:rPr>
          <w:rFonts w:cs="Times New Roman"/>
          <w:szCs w:val="23"/>
        </w:rPr>
        <w:t>C</w:t>
      </w:r>
      <w:proofErr w:type="spellEnd"/>
      <w:r w:rsidRPr="00684A85">
        <w:rPr>
          <w:rFonts w:cs="Times New Roman"/>
          <w:szCs w:val="23"/>
        </w:rPr>
        <w:t xml:space="preserve"> durante 1 h para asegurar la eliminación de trazas de humedad y solvente. Finalmente, el matraz se enfrió en un desecador </w:t>
      </w:r>
      <w:r w:rsidRPr="00684A85">
        <w:rPr>
          <w:rFonts w:cs="Times New Roman"/>
          <w:spacing w:val="-2"/>
          <w:szCs w:val="23"/>
        </w:rPr>
        <w:t>hasta alcanzar la temperatura ambiente y se pesó para, mediante los cálculos gravimétricos correspondientes, cuantificar el porcentaje de extracto etéreo en la muestra.</w:t>
      </w:r>
    </w:p>
    <w:p w14:paraId="71A7343F" w14:textId="583ECB6C" w:rsidR="001E6783" w:rsidRPr="00277D15" w:rsidRDefault="001E6783" w:rsidP="00277D15">
      <w:pPr>
        <w:pStyle w:val="Heading3"/>
        <w:numPr>
          <w:ilvl w:val="2"/>
          <w:numId w:val="11"/>
        </w:numPr>
        <w:rPr>
          <w:lang w:val="en-US"/>
        </w:rPr>
      </w:pPr>
      <w:r w:rsidRPr="00277D15">
        <w:rPr>
          <w:lang w:val="en-US"/>
        </w:rPr>
        <w:t>Fibra</w:t>
      </w:r>
      <w:r w:rsidRPr="00277D15">
        <w:rPr>
          <w:spacing w:val="-6"/>
          <w:lang w:val="en-US"/>
        </w:rPr>
        <w:t xml:space="preserve"> </w:t>
      </w:r>
      <w:proofErr w:type="spellStart"/>
      <w:r w:rsidRPr="00277D15">
        <w:rPr>
          <w:lang w:val="en-US"/>
        </w:rPr>
        <w:t>cruda</w:t>
      </w:r>
      <w:proofErr w:type="spellEnd"/>
    </w:p>
    <w:p w14:paraId="55B23949" w14:textId="77777777" w:rsidR="0012558E" w:rsidRDefault="001E6783" w:rsidP="0012558E">
      <w:pPr>
        <w:pStyle w:val="NormalWeb"/>
        <w:spacing w:before="0" w:beforeAutospacing="0" w:after="0" w:afterAutospacing="0" w:line="276" w:lineRule="auto"/>
        <w:ind w:left="140"/>
        <w:jc w:val="both"/>
        <w:rPr>
          <w:sz w:val="23"/>
          <w:szCs w:val="23"/>
          <w:lang w:val="es-EC"/>
        </w:rPr>
      </w:pPr>
      <w:r w:rsidRPr="00684A85">
        <w:rPr>
          <w:sz w:val="23"/>
          <w:szCs w:val="23"/>
          <w:lang w:val="es-EC"/>
        </w:rPr>
        <w:t xml:space="preserve">La cuantificación de la fibra cruda se realizó mediante el método AOAC 920.86 </w:t>
      </w:r>
      <w:r w:rsidRPr="00684A85">
        <w:rPr>
          <w:sz w:val="23"/>
          <w:szCs w:val="23"/>
        </w:rPr>
        <w:fldChar w:fldCharType="begin"/>
      </w:r>
      <w:r w:rsidR="00936A52" w:rsidRPr="00684A85">
        <w:rPr>
          <w:sz w:val="23"/>
          <w:szCs w:val="23"/>
          <w:lang w:val="es-EC"/>
        </w:rPr>
        <w:instrText xml:space="preserve"> ADDIN ZOTERO_ITEM CSL_CITATION {"citationID":"Ln84Bvtt","properties":{"formattedCitation":"(Association of Analytical Communities, s.\\uc0\\u160{}f.)","plainCitation":"(Association of Analytical Communities, s. f.)","dontUpdate":true,"noteIndex":0},"citationItems":[{"id":93,"uris":["http://zotero.org/users/5236988/items/M3PURYCT"],"itemData":{"id":93,"type":"book","event-place":"Oxford, New York","publisher-place":"Oxford, New York","title":"Official Method 920.86 Fiber (Total) in Flour. In G. W. Latimer, Jr. (Ed.), Official methods of analysis of AOAC International (Chapter 32.1.15, 22nd ed.).","author":[{"family":"Association of Analytical Communities","given":""}]}}],"schema":"https://github.com/citation-style-language/schema/raw/master/csl-citation.json"} </w:instrText>
      </w:r>
      <w:r w:rsidRPr="00684A85">
        <w:rPr>
          <w:sz w:val="23"/>
          <w:szCs w:val="23"/>
        </w:rPr>
        <w:fldChar w:fldCharType="separate"/>
      </w:r>
      <w:r w:rsidRPr="00684A85">
        <w:rPr>
          <w:sz w:val="23"/>
          <w:szCs w:val="23"/>
          <w:lang w:val="es-EC"/>
        </w:rPr>
        <w:t>(Association of Analytical Communities, 2023e)</w:t>
      </w:r>
      <w:r w:rsidRPr="00684A85">
        <w:rPr>
          <w:sz w:val="23"/>
          <w:szCs w:val="23"/>
        </w:rPr>
        <w:fldChar w:fldCharType="end"/>
      </w:r>
      <w:r w:rsidRPr="00684A85">
        <w:rPr>
          <w:sz w:val="23"/>
          <w:szCs w:val="23"/>
          <w:lang w:val="es-EC"/>
        </w:rPr>
        <w:t xml:space="preserve">. Se pesaron aproximadamente 2 g de la muestra desengrasada —obtenida previamente de la extracción con éter etéreo— y se transfirieron a un balón de reacción. Inicialmente, se adicionaron 200 </w:t>
      </w:r>
      <w:proofErr w:type="spellStart"/>
      <w:r w:rsidRPr="00684A85">
        <w:rPr>
          <w:sz w:val="23"/>
          <w:szCs w:val="23"/>
          <w:lang w:val="es-EC"/>
        </w:rPr>
        <w:t>mL</w:t>
      </w:r>
      <w:proofErr w:type="spellEnd"/>
      <w:r w:rsidRPr="00684A85">
        <w:rPr>
          <w:sz w:val="23"/>
          <w:szCs w:val="23"/>
          <w:lang w:val="es-EC"/>
        </w:rPr>
        <w:t xml:space="preserve"> de ácido sulfúrico (</w:t>
      </w:r>
      <w:r w:rsidRPr="00684A85">
        <w:rPr>
          <w:position w:val="1"/>
          <w:sz w:val="23"/>
          <w:szCs w:val="23"/>
          <w:lang w:val="es-EC"/>
        </w:rPr>
        <w:t>H</w:t>
      </w:r>
      <w:r w:rsidRPr="00684A85">
        <w:rPr>
          <w:sz w:val="23"/>
          <w:szCs w:val="23"/>
          <w:vertAlign w:val="subscript"/>
          <w:lang w:val="es-EC"/>
        </w:rPr>
        <w:t>2</w:t>
      </w:r>
      <w:r w:rsidRPr="00684A85">
        <w:rPr>
          <w:position w:val="1"/>
          <w:sz w:val="23"/>
          <w:szCs w:val="23"/>
          <w:lang w:val="es-EC"/>
        </w:rPr>
        <w:t>SO</w:t>
      </w:r>
      <w:r w:rsidRPr="00684A85">
        <w:rPr>
          <w:sz w:val="23"/>
          <w:szCs w:val="23"/>
          <w:vertAlign w:val="subscript"/>
          <w:lang w:val="es-EC"/>
        </w:rPr>
        <w:t>4</w:t>
      </w:r>
      <w:r w:rsidRPr="00684A85">
        <w:rPr>
          <w:position w:val="1"/>
          <w:sz w:val="23"/>
          <w:szCs w:val="23"/>
          <w:lang w:val="es-EC"/>
        </w:rPr>
        <w:t xml:space="preserve">) </w:t>
      </w:r>
      <w:r w:rsidRPr="00684A85">
        <w:rPr>
          <w:sz w:val="23"/>
          <w:szCs w:val="23"/>
          <w:lang w:val="es-EC"/>
        </w:rPr>
        <w:t xml:space="preserve">al 1.25 % en ebullición y la mezcla se sometió a reflujo </w:t>
      </w:r>
      <w:r w:rsidRPr="00684A85">
        <w:rPr>
          <w:sz w:val="23"/>
          <w:szCs w:val="23"/>
          <w:lang w:val="es-EC"/>
        </w:rPr>
        <w:lastRenderedPageBreak/>
        <w:t>constante en una plancha de calentamiento durante exactamente 30 min. Concluido este tiempo, la solución caliente se filtró a través de papel filtro y el residuo se lavó repetidamente con agua destilada a ebullición hasta alcanzar un pH neutro en las aguas de lavado.</w:t>
      </w:r>
    </w:p>
    <w:p w14:paraId="629F052E" w14:textId="193D09EB" w:rsidR="00277D15" w:rsidRDefault="001E6783" w:rsidP="0012558E">
      <w:pPr>
        <w:pStyle w:val="NormalWeb"/>
        <w:spacing w:before="0" w:beforeAutospacing="0" w:after="0" w:afterAutospacing="0" w:line="276" w:lineRule="auto"/>
        <w:ind w:left="140"/>
        <w:jc w:val="both"/>
        <w:rPr>
          <w:sz w:val="23"/>
          <w:szCs w:val="23"/>
          <w:lang w:val="es-EC"/>
        </w:rPr>
      </w:pPr>
      <w:r w:rsidRPr="00684A85">
        <w:rPr>
          <w:sz w:val="23"/>
          <w:szCs w:val="23"/>
          <w:lang w:val="es-EC"/>
        </w:rPr>
        <w:t xml:space="preserve">Posteriormente, el residuo se transfirió cuantitativamente de regreso al balón para ser sometido a una digestión alcalina con 200 </w:t>
      </w:r>
      <w:proofErr w:type="spellStart"/>
      <w:r w:rsidRPr="00684A85">
        <w:rPr>
          <w:sz w:val="23"/>
          <w:szCs w:val="23"/>
          <w:lang w:val="es-EC"/>
        </w:rPr>
        <w:t>mL</w:t>
      </w:r>
      <w:proofErr w:type="spellEnd"/>
      <w:r w:rsidRPr="00684A85">
        <w:rPr>
          <w:sz w:val="23"/>
          <w:szCs w:val="23"/>
          <w:lang w:val="es-EC"/>
        </w:rPr>
        <w:t xml:space="preserve"> de hidróxido de sodio (</w:t>
      </w:r>
      <w:r w:rsidRPr="00684A85">
        <w:rPr>
          <w:rStyle w:val="math-inline"/>
          <w:sz w:val="23"/>
          <w:szCs w:val="23"/>
          <w:lang w:val="es-EC"/>
        </w:rPr>
        <w:t>NaOH</w:t>
      </w:r>
      <w:r w:rsidRPr="00684A85">
        <w:rPr>
          <w:sz w:val="23"/>
          <w:szCs w:val="23"/>
          <w:lang w:val="es-EC"/>
        </w:rPr>
        <w:t xml:space="preserve">) al 1.25 % en ebullición, manteniendo el reflujo por otros 30 min. Tras la digestión, se repitió el proceso de filtración y lavado con agua hirviendo hasta neutralidad, seguido de lavados consecutivos con pequeñas porciones de etanol. </w:t>
      </w:r>
    </w:p>
    <w:p w14:paraId="63C8C62B" w14:textId="3931BFE7" w:rsidR="001E6783" w:rsidRPr="00F32C92" w:rsidRDefault="001E6783" w:rsidP="00F32C92">
      <w:pPr>
        <w:pStyle w:val="NormalWeb"/>
        <w:spacing w:before="0" w:beforeAutospacing="0" w:line="276" w:lineRule="auto"/>
        <w:ind w:left="140"/>
        <w:jc w:val="both"/>
        <w:rPr>
          <w:sz w:val="23"/>
          <w:szCs w:val="23"/>
          <w:lang w:val="es-EC"/>
        </w:rPr>
      </w:pPr>
      <w:r w:rsidRPr="00684A85">
        <w:rPr>
          <w:sz w:val="23"/>
          <w:szCs w:val="23"/>
          <w:lang w:val="es-EC"/>
        </w:rPr>
        <w:t>El residuo final se secó en una estufa a 105 °C durante 2 h, se enfrió en un desecador y se determinó su masa. Finalmente, la muestra se calcinó en una mufla a una temperatura entre 500 °C y 600 °C durante 1 h hasta la obtención de cenizas blancas. Tras el enfriamiento, se registró el peso final para proceder con los cálculos correspondientes de porcentaje de fibra cruda</w:t>
      </w:r>
      <w:r w:rsidR="00F32C92">
        <w:rPr>
          <w:sz w:val="23"/>
          <w:szCs w:val="23"/>
          <w:lang w:val="es-EC"/>
        </w:rPr>
        <w:t>.</w:t>
      </w:r>
    </w:p>
    <w:p w14:paraId="28673F15" w14:textId="09DEE1EB" w:rsidR="001E6783" w:rsidRPr="00277D15" w:rsidRDefault="001E6783" w:rsidP="00277D15">
      <w:pPr>
        <w:pStyle w:val="Heading3"/>
        <w:numPr>
          <w:ilvl w:val="2"/>
          <w:numId w:val="11"/>
        </w:numPr>
      </w:pPr>
      <w:r w:rsidRPr="00277D15">
        <w:t>Carbohidratos</w:t>
      </w:r>
    </w:p>
    <w:p w14:paraId="1BEBCBD8" w14:textId="11C1BA64" w:rsidR="001E6783" w:rsidRPr="00684A85" w:rsidRDefault="001E6783" w:rsidP="00684A85">
      <w:pPr>
        <w:widowControl w:val="0"/>
        <w:tabs>
          <w:tab w:val="left" w:pos="709"/>
        </w:tabs>
        <w:autoSpaceDE w:val="0"/>
        <w:autoSpaceDN w:val="0"/>
        <w:spacing w:after="0"/>
        <w:ind w:right="287"/>
        <w:rPr>
          <w:rFonts w:cs="Times New Roman"/>
          <w:bCs/>
          <w:szCs w:val="23"/>
          <w:lang w:val="es-EC"/>
        </w:rPr>
      </w:pPr>
      <w:r w:rsidRPr="00684A85">
        <w:rPr>
          <w:rFonts w:cs="Times New Roman"/>
          <w:bCs/>
          <w:szCs w:val="23"/>
          <w:lang w:val="es-EC"/>
        </w:rPr>
        <w:t>El contenido de carbohidratos totales se calculó por diferencia, restando de 100 la suma de los porcentajes de los demás componentes del análisis proximal (humedad, cenizas, extracto etéreo, fibra cruda y proteína total)</w:t>
      </w:r>
      <w:r w:rsidR="00F32C92">
        <w:rPr>
          <w:rFonts w:cs="Times New Roman"/>
          <w:bCs/>
          <w:szCs w:val="23"/>
          <w:lang w:val="es-EC"/>
        </w:rPr>
        <w:t>.</w:t>
      </w:r>
    </w:p>
    <w:p w14:paraId="4D48693B" w14:textId="34C30ED6" w:rsidR="001E6783" w:rsidRPr="00277D15" w:rsidRDefault="001E6783" w:rsidP="0012558E">
      <w:pPr>
        <w:pStyle w:val="Heading3"/>
        <w:numPr>
          <w:ilvl w:val="2"/>
          <w:numId w:val="11"/>
        </w:numPr>
        <w:spacing w:after="0"/>
        <w:rPr>
          <w:lang w:val="en-US"/>
        </w:rPr>
      </w:pPr>
      <w:proofErr w:type="spellStart"/>
      <w:r w:rsidRPr="00277D15">
        <w:rPr>
          <w:lang w:val="en-US"/>
        </w:rPr>
        <w:t>Sólidos</w:t>
      </w:r>
      <w:proofErr w:type="spellEnd"/>
      <w:r w:rsidRPr="00277D15">
        <w:rPr>
          <w:lang w:val="en-US"/>
        </w:rPr>
        <w:t xml:space="preserve"> </w:t>
      </w:r>
      <w:proofErr w:type="spellStart"/>
      <w:r w:rsidRPr="00277D15">
        <w:rPr>
          <w:lang w:val="en-US"/>
        </w:rPr>
        <w:t>solubles</w:t>
      </w:r>
      <w:proofErr w:type="spellEnd"/>
    </w:p>
    <w:p w14:paraId="6DF9D05A" w14:textId="3A1CEE2D" w:rsidR="001E6783" w:rsidRDefault="001E6783" w:rsidP="0012558E">
      <w:pPr>
        <w:widowControl w:val="0"/>
        <w:tabs>
          <w:tab w:val="left" w:pos="709"/>
        </w:tabs>
        <w:autoSpaceDE w:val="0"/>
        <w:autoSpaceDN w:val="0"/>
        <w:spacing w:after="0"/>
        <w:ind w:right="286"/>
        <w:rPr>
          <w:rFonts w:cs="Times New Roman"/>
          <w:bCs/>
          <w:szCs w:val="23"/>
        </w:rPr>
      </w:pPr>
      <w:r w:rsidRPr="00684A85">
        <w:rPr>
          <w:rFonts w:cs="Times New Roman"/>
          <w:bCs/>
          <w:szCs w:val="23"/>
        </w:rPr>
        <w:t xml:space="preserve">El contenido de sólidos solubles totales se determinó mediante el método </w:t>
      </w:r>
      <w:proofErr w:type="spellStart"/>
      <w:r w:rsidRPr="00684A85">
        <w:rPr>
          <w:rFonts w:cs="Times New Roman"/>
          <w:bCs/>
          <w:szCs w:val="23"/>
        </w:rPr>
        <w:t>refractométrico</w:t>
      </w:r>
      <w:proofErr w:type="spellEnd"/>
      <w:r w:rsidRPr="00684A85">
        <w:rPr>
          <w:rFonts w:cs="Times New Roman"/>
          <w:bCs/>
          <w:szCs w:val="23"/>
        </w:rPr>
        <w:t xml:space="preserve"> AOAC 932.12 </w:t>
      </w:r>
      <w:r w:rsidRPr="00684A85">
        <w:rPr>
          <w:rFonts w:cs="Times New Roman"/>
          <w:bCs/>
          <w:szCs w:val="23"/>
        </w:rPr>
        <w:fldChar w:fldCharType="begin"/>
      </w:r>
      <w:r w:rsidRPr="00684A85">
        <w:rPr>
          <w:rFonts w:cs="Times New Roman"/>
          <w:bCs/>
          <w:szCs w:val="23"/>
        </w:rPr>
        <w:instrText xml:space="preserve"> ADDIN ZOTERO_ITEM CSL_CITATION {"citationID":"4ZRVuuWV","properties":{"formattedCitation":"(Association of Analytical Communities, 2023f)","plainCitation":"(Association of Analytical Communities, 2023f)","noteIndex":0},"citationItems":[{"id":102,"uris":["http://zotero.org/users/5236988/items/TP4GYPPP"],"itemData":{"id":102,"type":"book","abstract":"AOAC INTERNATIONAL has been publishing a robust set of methods for analytical scientists since 1884. Scientists from around the globe contribute their expertise to ensure the content remains reliable in terms of standards development, method development, and the systematic evaluation and review of methods. As a result, the Official Methods of Analysis of AOAC INTERNATIONAL is the most comprehensive collection of chemical and microbiological methods available in the world. Now in its twenty-second edition, this publication continues to be the most extensive and reliable collection of chemical and microbiological methods and consensus standards.Many methods within the compendium have notation indicating their adoption as harmonized international reference methods by the International Organization for Standardization (ISO), the International Dairy Federation (IDF), the International Union of Pure and Applied Chemistry (IUPAC), and the Codex Alimentarius Commission. This new edition includes new and updated methods approved since 2019 \n            ,  \n             AOAC INTERNATIONAL has been publishing a robust set of methods for analytical scientists since 1884. Scientists from around the globe contribute their expertise to ensure the content remains reliable in terms of standards development, method development, and the systematic evaluation and review of methods. As a result, the Official Methods of Analysis of AOAC INTERNATIONAL is the most comprehensive collection of chemical and microbiological methods available in the world. Now in its twenty-second edition, this publication continues to be the most extensive and reliable collection of chemical and microbiological methods and consensus standards.Many methods within the compendium have notation indicating their adoption as harmonized international reference methods by the International Organization for Standardization (ISO), the International Dairy Federation (IDF), the International Union of Pure and Applied Chemistry (IUPAC), and the Codex Alimentarius Commission. This new edition includes new and updated methods approved since 2019","event-place":"Oxford, New York","ISBN":"978-0-19-761013-8","number-of-pages":"3750","publisher":"Oxford University Press","publisher-place":"Oxford, New York","source":"Oxford University Press","title":"Official Method 932.12 Solids (Soluble) in Fruits and Fruit Products: Refractometer Methods. In G. W. Latimer, Jr. (Ed.), Official methods of analysis of AOAC International (Chapter 37.1.15, 22nd ed.)","title-short":"Official Methods of Analysis of AOAC INTERNATIONAL","URL":"https://doi.org/10.1093/9780197610145.003.3368","author":[{"family":"Association of Analytical Communities","given":""}],"issued":{"literal":"2023f"}}}],"schema":"https://github.com/citation-style-language/schema/raw/master/csl-citation.json"} </w:instrText>
      </w:r>
      <w:r w:rsidRPr="00684A85">
        <w:rPr>
          <w:rFonts w:cs="Times New Roman"/>
          <w:bCs/>
          <w:szCs w:val="23"/>
        </w:rPr>
        <w:fldChar w:fldCharType="separate"/>
      </w:r>
      <w:r w:rsidRPr="00684A85">
        <w:rPr>
          <w:rFonts w:cs="Times New Roman"/>
          <w:szCs w:val="23"/>
        </w:rPr>
        <w:t>(</w:t>
      </w:r>
      <w:proofErr w:type="spellStart"/>
      <w:r w:rsidRPr="00684A85">
        <w:rPr>
          <w:rFonts w:cs="Times New Roman"/>
          <w:szCs w:val="23"/>
        </w:rPr>
        <w:t>Association</w:t>
      </w:r>
      <w:proofErr w:type="spellEnd"/>
      <w:r w:rsidRPr="00684A85">
        <w:rPr>
          <w:rFonts w:cs="Times New Roman"/>
          <w:szCs w:val="23"/>
        </w:rPr>
        <w:t xml:space="preserve"> of Analytical Communities, 2023f)</w:t>
      </w:r>
      <w:r w:rsidRPr="00684A85">
        <w:rPr>
          <w:rFonts w:cs="Times New Roman"/>
          <w:bCs/>
          <w:szCs w:val="23"/>
        </w:rPr>
        <w:fldChar w:fldCharType="end"/>
      </w:r>
      <w:r w:rsidRPr="00684A85">
        <w:rPr>
          <w:rFonts w:cs="Times New Roman"/>
          <w:bCs/>
          <w:szCs w:val="23"/>
        </w:rPr>
        <w:t xml:space="preserve">. Para la extracción, se pesaron 2 g de harina de </w:t>
      </w:r>
      <w:proofErr w:type="spellStart"/>
      <w:r w:rsidRPr="00684A85">
        <w:rPr>
          <w:rFonts w:cs="Times New Roman"/>
          <w:bCs/>
          <w:szCs w:val="23"/>
        </w:rPr>
        <w:t>mashua</w:t>
      </w:r>
      <w:proofErr w:type="spellEnd"/>
      <w:r w:rsidRPr="00684A85">
        <w:rPr>
          <w:rFonts w:cs="Times New Roman"/>
          <w:bCs/>
          <w:szCs w:val="23"/>
        </w:rPr>
        <w:t xml:space="preserve"> en un vaso de precipitación previamente tarado y se adicionaron 30 </w:t>
      </w:r>
      <w:proofErr w:type="spellStart"/>
      <w:r w:rsidRPr="00684A85">
        <w:rPr>
          <w:rFonts w:cs="Times New Roman"/>
          <w:bCs/>
          <w:szCs w:val="23"/>
        </w:rPr>
        <w:t>mL</w:t>
      </w:r>
      <w:proofErr w:type="spellEnd"/>
      <w:r w:rsidRPr="00684A85">
        <w:rPr>
          <w:rFonts w:cs="Times New Roman"/>
          <w:bCs/>
          <w:szCs w:val="23"/>
        </w:rPr>
        <w:t xml:space="preserve"> de agua destilada. La mezcla se llevó a ebullición durante 2 min y, posteriormente, se filtró para obtener el extracto libre de sólidos insolubles. Se colocaron dos gotas del filtrado sobre el prisma del refractómetro digital, procediendo a realizar la lectura inmediata. Los resultados se expresaron como porcentaje en masa de sacarosa o grados Brix (</w:t>
      </w:r>
      <w:proofErr w:type="spellStart"/>
      <w:r w:rsidRPr="00684A85">
        <w:rPr>
          <w:rFonts w:cs="Times New Roman"/>
          <w:bCs/>
          <w:szCs w:val="23"/>
        </w:rPr>
        <w:t>°Brix</w:t>
      </w:r>
      <w:proofErr w:type="spellEnd"/>
      <w:r w:rsidRPr="00684A85">
        <w:rPr>
          <w:rFonts w:cs="Times New Roman"/>
          <w:bCs/>
          <w:szCs w:val="23"/>
        </w:rPr>
        <w:t>), aplicando las correcciones de temperatura correspondientes.</w:t>
      </w:r>
    </w:p>
    <w:p w14:paraId="38C914C7" w14:textId="77777777" w:rsidR="00C437FC" w:rsidRDefault="00C437FC" w:rsidP="0012558E">
      <w:pPr>
        <w:widowControl w:val="0"/>
        <w:tabs>
          <w:tab w:val="left" w:pos="709"/>
        </w:tabs>
        <w:autoSpaceDE w:val="0"/>
        <w:autoSpaceDN w:val="0"/>
        <w:spacing w:after="0"/>
        <w:ind w:right="286"/>
        <w:rPr>
          <w:rFonts w:cs="Times New Roman"/>
          <w:bCs/>
          <w:szCs w:val="23"/>
        </w:rPr>
      </w:pPr>
    </w:p>
    <w:p w14:paraId="45F882EE" w14:textId="77777777" w:rsidR="00C437FC" w:rsidRDefault="00C437FC" w:rsidP="0012558E">
      <w:pPr>
        <w:widowControl w:val="0"/>
        <w:tabs>
          <w:tab w:val="left" w:pos="709"/>
        </w:tabs>
        <w:autoSpaceDE w:val="0"/>
        <w:autoSpaceDN w:val="0"/>
        <w:spacing w:after="0"/>
        <w:ind w:right="286"/>
        <w:rPr>
          <w:rFonts w:cs="Times New Roman"/>
          <w:bCs/>
          <w:szCs w:val="23"/>
        </w:rPr>
      </w:pPr>
    </w:p>
    <w:p w14:paraId="15A79ECD" w14:textId="77777777" w:rsidR="00C437FC" w:rsidRPr="00684A85" w:rsidRDefault="00C437FC" w:rsidP="0012558E">
      <w:pPr>
        <w:widowControl w:val="0"/>
        <w:tabs>
          <w:tab w:val="left" w:pos="709"/>
        </w:tabs>
        <w:autoSpaceDE w:val="0"/>
        <w:autoSpaceDN w:val="0"/>
        <w:spacing w:after="0"/>
        <w:ind w:right="286"/>
        <w:rPr>
          <w:rFonts w:cs="Times New Roman"/>
          <w:bCs/>
          <w:szCs w:val="23"/>
        </w:rPr>
      </w:pPr>
    </w:p>
    <w:p w14:paraId="44524E70" w14:textId="77777777" w:rsidR="005D52D1" w:rsidRPr="00684A85" w:rsidRDefault="005D52D1" w:rsidP="00030513">
      <w:pPr>
        <w:pStyle w:val="Heading2"/>
        <w:numPr>
          <w:ilvl w:val="1"/>
          <w:numId w:val="12"/>
        </w:numPr>
        <w:rPr>
          <w:rFonts w:cs="Times New Roman"/>
          <w:szCs w:val="23"/>
        </w:rPr>
      </w:pPr>
      <w:r w:rsidRPr="00684A85">
        <w:rPr>
          <w:rFonts w:cs="Times New Roman"/>
          <w:szCs w:val="23"/>
        </w:rPr>
        <w:t>Caracterización</w:t>
      </w:r>
      <w:r w:rsidRPr="00684A85">
        <w:rPr>
          <w:rFonts w:cs="Times New Roman"/>
          <w:spacing w:val="-9"/>
          <w:szCs w:val="23"/>
        </w:rPr>
        <w:t xml:space="preserve"> </w:t>
      </w:r>
      <w:r w:rsidRPr="00684A85">
        <w:rPr>
          <w:rFonts w:cs="Times New Roman"/>
          <w:spacing w:val="-2"/>
          <w:szCs w:val="23"/>
        </w:rPr>
        <w:t>química y analítica</w:t>
      </w:r>
    </w:p>
    <w:p w14:paraId="55EBD4EA" w14:textId="4B154916" w:rsidR="00F33835" w:rsidRDefault="005D52D1" w:rsidP="00CF35B7">
      <w:pPr>
        <w:spacing w:after="0"/>
        <w:rPr>
          <w:lang w:val="es-EC"/>
        </w:rPr>
      </w:pPr>
      <w:r>
        <w:rPr>
          <w:rFonts w:cs="Times New Roman"/>
          <w:szCs w:val="23"/>
        </w:rPr>
        <w:t xml:space="preserve">Se aplicó un diseño completamente al azar (DCA) con el factor “Localidad de origen” a dos niveles (Guamote y Pelileo). Los datos cuantitativos obtenidos se expresaron </w:t>
      </w:r>
      <w:r w:rsidR="00F7335B">
        <w:rPr>
          <w:rFonts w:cs="Times New Roman"/>
          <w:szCs w:val="23"/>
        </w:rPr>
        <w:t xml:space="preserve">como la media </w:t>
      </w:r>
      <w:proofErr w:type="spellStart"/>
      <w:r w:rsidR="00F7335B">
        <w:rPr>
          <w:rFonts w:cs="Times New Roman"/>
          <w:szCs w:val="23"/>
        </w:rPr>
        <w:t>aritm</w:t>
      </w:r>
      <w:proofErr w:type="spellEnd"/>
      <w:r w:rsidR="00F7335B" w:rsidRPr="00F7335B">
        <w:rPr>
          <w:rFonts w:cs="Times New Roman"/>
          <w:szCs w:val="23"/>
          <w:lang w:val="es-EC"/>
        </w:rPr>
        <w:t>é</w:t>
      </w:r>
      <w:r w:rsidR="00F7335B">
        <w:rPr>
          <w:rFonts w:cs="Times New Roman"/>
          <w:szCs w:val="23"/>
          <w:lang w:val="es-EC"/>
        </w:rPr>
        <w:t xml:space="preserve">tica </w:t>
      </w:r>
      <w:r w:rsidR="004B4FFC">
        <w:rPr>
          <w:rFonts w:cs="Times New Roman"/>
          <w:szCs w:val="23"/>
          <w:lang w:val="es-EC"/>
        </w:rPr>
        <w:t>± la desviación estándar</w:t>
      </w:r>
      <w:r w:rsidR="00CA73EF" w:rsidRPr="00F06752">
        <w:rPr>
          <w:lang w:val="es-EC"/>
        </w:rPr>
        <w:t xml:space="preserve"> (</w:t>
      </w:r>
      <m:oMath>
        <m:acc>
          <m:accPr>
            <m:chr m:val="̅"/>
            <m:ctrlPr>
              <w:rPr>
                <w:rFonts w:ascii="Cambria Math" w:hAnsi="Cambria Math"/>
              </w:rPr>
            </m:ctrlPr>
          </m:accPr>
          <m:e>
            <m:r>
              <w:rPr>
                <w:rFonts w:ascii="Cambria Math" w:hAnsi="Cambria Math"/>
              </w:rPr>
              <m:t>X</m:t>
            </m:r>
          </m:e>
        </m:acc>
        <m:r>
          <w:rPr>
            <w:rFonts w:ascii="Cambria Math" w:hAnsi="Cambria Math"/>
            <w:lang w:val="es-EC"/>
          </w:rPr>
          <m:t>±</m:t>
        </m:r>
        <m:r>
          <w:rPr>
            <w:rFonts w:ascii="Cambria Math" w:hAnsi="Cambria Math"/>
          </w:rPr>
          <m:t>SD</m:t>
        </m:r>
      </m:oMath>
      <w:r w:rsidR="00CA73EF" w:rsidRPr="00F06752">
        <w:rPr>
          <w:lang w:val="es-EC"/>
        </w:rPr>
        <w:t>).</w:t>
      </w:r>
    </w:p>
    <w:p w14:paraId="6B25DAC5" w14:textId="290D312E" w:rsidR="00DA45E0" w:rsidRPr="00356EA9" w:rsidRDefault="00DA45E0" w:rsidP="00CF35B7">
      <w:pPr>
        <w:spacing w:after="0"/>
        <w:rPr>
          <w:rFonts w:cs="Times New Roman"/>
          <w:szCs w:val="23"/>
          <w:lang w:val="es-EC"/>
        </w:rPr>
      </w:pPr>
      <w:r>
        <w:rPr>
          <w:lang w:val="es-EC"/>
        </w:rPr>
        <w:t xml:space="preserve">Los supuestos de normalidad y homogeneidad de varianzas fueron comprobados mediante las pruebas de Shapiro-Wilk y </w:t>
      </w:r>
      <w:proofErr w:type="spellStart"/>
      <w:r>
        <w:rPr>
          <w:lang w:val="es-EC"/>
        </w:rPr>
        <w:t>Levence</w:t>
      </w:r>
      <w:proofErr w:type="spellEnd"/>
      <w:r>
        <w:rPr>
          <w:lang w:val="es-EC"/>
        </w:rPr>
        <w:t>, respectivamente. Posteriormente, se realizó un Análisis de Varianza (ANOVA) de una vía. Para la comparación de medias entre las dos localidades se aplicó la Prueba de Rangos Múltiples (Tukey/Duncan) con un nivel de significancia del 5 % (</w:t>
      </w:r>
      <w:r w:rsidRPr="00DA45E0">
        <w:rPr>
          <w:i/>
          <w:iCs/>
          <w:lang w:val="es-EC"/>
        </w:rPr>
        <w:t>p</w:t>
      </w:r>
      <w:r>
        <w:rPr>
          <w:lang w:val="es-EC"/>
        </w:rPr>
        <w:t xml:space="preserve"> </w:t>
      </w:r>
      <w:r w:rsidRPr="00DA45E0">
        <w:rPr>
          <w:lang w:val="es-EC"/>
        </w:rPr>
        <w:t>&lt;</w:t>
      </w:r>
      <w:r>
        <w:rPr>
          <w:lang w:val="es-EC"/>
        </w:rPr>
        <w:t xml:space="preserve"> 0.05). Todos los procedimientos estadísticos se procesaron en el software </w:t>
      </w:r>
      <w:proofErr w:type="spellStart"/>
      <w:r>
        <w:rPr>
          <w:lang w:val="es-EC"/>
        </w:rPr>
        <w:t>InfoStat</w:t>
      </w:r>
      <w:proofErr w:type="spellEnd"/>
      <w:r>
        <w:rPr>
          <w:lang w:val="es-EC"/>
        </w:rPr>
        <w:t xml:space="preserve"> (v.2020).</w:t>
      </w:r>
    </w:p>
    <w:p w14:paraId="1760C026" w14:textId="32871763" w:rsidR="004307D4" w:rsidRDefault="00CE0F4B" w:rsidP="008226DF">
      <w:pPr>
        <w:pStyle w:val="Heading1"/>
        <w:rPr>
          <w:rFonts w:cs="Times New Roman"/>
        </w:rPr>
      </w:pPr>
      <w:r w:rsidRPr="008226DF">
        <w:rPr>
          <w:rFonts w:cs="Times New Roman"/>
          <w:caps w:val="0"/>
        </w:rPr>
        <w:t>4</w:t>
      </w:r>
      <w:r w:rsidR="00721EBE" w:rsidRPr="008226DF">
        <w:rPr>
          <w:rFonts w:cs="Times New Roman"/>
          <w:caps w:val="0"/>
        </w:rPr>
        <w:t>.</w:t>
      </w:r>
      <w:r w:rsidR="00721EBE" w:rsidRPr="008226DF">
        <w:rPr>
          <w:rFonts w:cs="Times New Roman"/>
        </w:rPr>
        <w:t xml:space="preserve"> </w:t>
      </w:r>
      <w:r w:rsidR="004307D4" w:rsidRPr="008226DF">
        <w:rPr>
          <w:rFonts w:cs="Times New Roman"/>
        </w:rPr>
        <w:t>resultados</w:t>
      </w:r>
    </w:p>
    <w:p w14:paraId="594BECD3" w14:textId="3A377CEC" w:rsidR="00F33835" w:rsidRDefault="004B4FFC" w:rsidP="00873E1A">
      <w:pPr>
        <w:pStyle w:val="Heading2"/>
      </w:pPr>
      <w:r>
        <w:t xml:space="preserve"> </w:t>
      </w:r>
      <w:r w:rsidR="00873E1A">
        <w:t xml:space="preserve">4.1 Caracterización morfométrica y variabilidad fenotípica entre localidades </w:t>
      </w:r>
    </w:p>
    <w:p w14:paraId="1C4D3915" w14:textId="5DA3C5A0" w:rsidR="009744DD" w:rsidRPr="008226DF" w:rsidRDefault="003444C7" w:rsidP="003444C7">
      <w:pPr>
        <w:pStyle w:val="Heading3"/>
      </w:pPr>
      <w:r>
        <w:t xml:space="preserve">4.1.1 </w:t>
      </w:r>
      <w:r w:rsidR="009744DD" w:rsidRPr="008226DF">
        <w:t>Caracterización</w:t>
      </w:r>
      <w:r w:rsidR="009744DD" w:rsidRPr="008226DF">
        <w:rPr>
          <w:spacing w:val="-3"/>
        </w:rPr>
        <w:t xml:space="preserve"> </w:t>
      </w:r>
      <w:proofErr w:type="spellStart"/>
      <w:r w:rsidR="009744DD" w:rsidRPr="008226DF">
        <w:t>morfofisiológica</w:t>
      </w:r>
      <w:proofErr w:type="spellEnd"/>
      <w:r w:rsidR="009744DD" w:rsidRPr="008226DF">
        <w:rPr>
          <w:spacing w:val="-4"/>
        </w:rPr>
        <w:t xml:space="preserve"> </w:t>
      </w:r>
      <w:r w:rsidR="009744DD" w:rsidRPr="008226DF">
        <w:t>de</w:t>
      </w:r>
      <w:r w:rsidR="009744DD" w:rsidRPr="008226DF">
        <w:rPr>
          <w:spacing w:val="-5"/>
        </w:rPr>
        <w:t xml:space="preserve"> </w:t>
      </w:r>
      <w:r w:rsidR="009744DD" w:rsidRPr="008226DF">
        <w:t>la</w:t>
      </w:r>
      <w:r w:rsidR="009744DD" w:rsidRPr="008226DF">
        <w:rPr>
          <w:spacing w:val="-5"/>
        </w:rPr>
        <w:t xml:space="preserve"> planta de </w:t>
      </w:r>
      <w:proofErr w:type="spellStart"/>
      <w:r w:rsidR="009744DD" w:rsidRPr="008226DF">
        <w:rPr>
          <w:spacing w:val="-2"/>
        </w:rPr>
        <w:t>mashua</w:t>
      </w:r>
      <w:proofErr w:type="spellEnd"/>
      <w:r w:rsidR="009744DD" w:rsidRPr="008226DF">
        <w:rPr>
          <w:spacing w:val="-2"/>
        </w:rPr>
        <w:t>.</w:t>
      </w:r>
    </w:p>
    <w:p w14:paraId="59939C1D" w14:textId="77777777" w:rsidR="009744DD" w:rsidRPr="008226DF" w:rsidRDefault="009744DD" w:rsidP="009744DD">
      <w:pPr>
        <w:pStyle w:val="BodyText"/>
        <w:spacing w:before="136" w:line="276" w:lineRule="auto"/>
        <w:ind w:right="282"/>
        <w:jc w:val="both"/>
        <w:rPr>
          <w:rFonts w:ascii="Times New Roman" w:hAnsi="Times New Roman" w:cs="Times New Roman"/>
          <w:b/>
          <w:bCs/>
        </w:rPr>
      </w:pPr>
      <w:r w:rsidRPr="008226DF">
        <w:rPr>
          <w:rFonts w:ascii="Times New Roman" w:hAnsi="Times New Roman" w:cs="Times New Roman"/>
          <w:spacing w:val="-2"/>
          <w:lang w:val="es-EC"/>
        </w:rPr>
        <w:t xml:space="preserve">Para realizar la caracterización </w:t>
      </w:r>
      <w:proofErr w:type="spellStart"/>
      <w:r w:rsidRPr="008226DF">
        <w:rPr>
          <w:rFonts w:ascii="Times New Roman" w:hAnsi="Times New Roman" w:cs="Times New Roman"/>
          <w:spacing w:val="-2"/>
          <w:lang w:val="es-EC"/>
        </w:rPr>
        <w:t>morfofisiológica</w:t>
      </w:r>
      <w:proofErr w:type="spellEnd"/>
      <w:r w:rsidRPr="008226DF">
        <w:rPr>
          <w:rFonts w:ascii="Times New Roman" w:hAnsi="Times New Roman" w:cs="Times New Roman"/>
          <w:spacing w:val="-2"/>
          <w:lang w:val="es-EC"/>
        </w:rPr>
        <w:t xml:space="preserve"> del </w:t>
      </w:r>
      <w:r w:rsidRPr="008226DF">
        <w:rPr>
          <w:rFonts w:ascii="Times New Roman" w:hAnsi="Times New Roman" w:cs="Times New Roman"/>
          <w:i/>
          <w:iCs/>
        </w:rPr>
        <w:t xml:space="preserve">Tropaeolum </w:t>
      </w:r>
      <w:proofErr w:type="spellStart"/>
      <w:r w:rsidRPr="008226DF">
        <w:rPr>
          <w:rFonts w:ascii="Times New Roman" w:hAnsi="Times New Roman" w:cs="Times New Roman"/>
          <w:i/>
          <w:iCs/>
        </w:rPr>
        <w:t>tuberosum</w:t>
      </w:r>
      <w:proofErr w:type="spellEnd"/>
      <w:r w:rsidRPr="008226DF">
        <w:rPr>
          <w:rFonts w:ascii="Times New Roman" w:hAnsi="Times New Roman" w:cs="Times New Roman"/>
        </w:rPr>
        <w:t xml:space="preserve">, se evaluó el desarrollo de la planta mediante la medición longitudinal desde la base del tallo hasta el ápice caulinar. Durante la etapa inicial de cultivo, las plantas mantuvieron un crecimiento vertical, registrando longitudes entre 1.05 y 1.15 m. Posteriormente, se observó una elongación significativa del tallo principal para luego tener un crecimiento rastrero, alcanzando dimensiones finales de entre 2.5 y 2.8 m. Este comportamiento del desarrollo y las dimensiones morfológicas descritas se presentaron de manera similar tanto en los especímenes procedentes de Pelileo como en los de </w:t>
      </w:r>
      <w:r w:rsidRPr="008226DF">
        <w:rPr>
          <w:rFonts w:ascii="Times New Roman" w:hAnsi="Times New Roman" w:cs="Times New Roman"/>
          <w:spacing w:val="-2"/>
        </w:rPr>
        <w:t>Guamote, como se observa en la Figura 2.</w:t>
      </w:r>
      <w:r w:rsidRPr="008226DF">
        <w:rPr>
          <w:rFonts w:ascii="Times New Roman" w:hAnsi="Times New Roman" w:cs="Times New Roman"/>
          <w:b/>
          <w:bCs/>
        </w:rPr>
        <w:t xml:space="preserve"> </w:t>
      </w:r>
    </w:p>
    <w:p w14:paraId="47ACF68E" w14:textId="7C4CF741" w:rsidR="009744DD" w:rsidRDefault="00BE297B" w:rsidP="002A1FC6">
      <w:pPr>
        <w:pStyle w:val="Figuras"/>
      </w:pPr>
      <w:r w:rsidRPr="00123A03">
        <w:rPr>
          <w:b/>
          <w:bCs/>
          <w:noProof/>
        </w:rPr>
        <w:lastRenderedPageBreak/>
        <w:drawing>
          <wp:anchor distT="0" distB="0" distL="0" distR="0" simplePos="0" relativeHeight="251671552" behindDoc="1" locked="0" layoutInCell="1" allowOverlap="1" wp14:anchorId="5DF45128" wp14:editId="409C05E9">
            <wp:simplePos x="0" y="0"/>
            <wp:positionH relativeFrom="page">
              <wp:posOffset>3465683</wp:posOffset>
            </wp:positionH>
            <wp:positionV relativeFrom="paragraph">
              <wp:posOffset>270510</wp:posOffset>
            </wp:positionV>
            <wp:extent cx="1371600" cy="1563370"/>
            <wp:effectExtent l="0" t="0" r="0" b="0"/>
            <wp:wrapTopAndBottom/>
            <wp:docPr id="15" name="Image 15" descr="Una mano muestra un objeto en la mano  Descripción generada automáticamente con confianza baj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Una mano muestra un objeto en la mano  Descripción generada automáticamente con confianza baja"/>
                    <pic:cNvPicPr/>
                  </pic:nvPicPr>
                  <pic:blipFill>
                    <a:blip r:embed="rId10" cstate="print"/>
                    <a:stretch>
                      <a:fillRect/>
                    </a:stretch>
                  </pic:blipFill>
                  <pic:spPr>
                    <a:xfrm>
                      <a:off x="0" y="0"/>
                      <a:ext cx="1371600" cy="1563370"/>
                    </a:xfrm>
                    <a:prstGeom prst="rect">
                      <a:avLst/>
                    </a:prstGeom>
                  </pic:spPr>
                </pic:pic>
              </a:graphicData>
            </a:graphic>
            <wp14:sizeRelH relativeFrom="margin">
              <wp14:pctWidth>0</wp14:pctWidth>
            </wp14:sizeRelH>
            <wp14:sizeRelV relativeFrom="margin">
              <wp14:pctHeight>0</wp14:pctHeight>
            </wp14:sizeRelV>
          </wp:anchor>
        </w:drawing>
      </w:r>
      <w:r w:rsidRPr="00123A03">
        <w:rPr>
          <w:b/>
          <w:bCs/>
          <w:noProof/>
        </w:rPr>
        <w:drawing>
          <wp:anchor distT="0" distB="0" distL="0" distR="0" simplePos="0" relativeHeight="251670528" behindDoc="1" locked="0" layoutInCell="1" allowOverlap="1" wp14:anchorId="510B9A87" wp14:editId="089117A8">
            <wp:simplePos x="0" y="0"/>
            <wp:positionH relativeFrom="page">
              <wp:posOffset>2284730</wp:posOffset>
            </wp:positionH>
            <wp:positionV relativeFrom="paragraph">
              <wp:posOffset>270510</wp:posOffset>
            </wp:positionV>
            <wp:extent cx="1182370" cy="1563370"/>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1182370" cy="1563370"/>
                    </a:xfrm>
                    <a:prstGeom prst="rect">
                      <a:avLst/>
                    </a:prstGeom>
                  </pic:spPr>
                </pic:pic>
              </a:graphicData>
            </a:graphic>
            <wp14:sizeRelH relativeFrom="margin">
              <wp14:pctWidth>0</wp14:pctWidth>
            </wp14:sizeRelH>
            <wp14:sizeRelV relativeFrom="margin">
              <wp14:pctHeight>0</wp14:pctHeight>
            </wp14:sizeRelV>
          </wp:anchor>
        </w:drawing>
      </w:r>
      <w:r w:rsidRPr="00123A03">
        <w:rPr>
          <w:b/>
          <w:bCs/>
          <w:noProof/>
        </w:rPr>
        <w:drawing>
          <wp:anchor distT="0" distB="0" distL="0" distR="0" simplePos="0" relativeHeight="251669504" behindDoc="1" locked="0" layoutInCell="1" allowOverlap="1" wp14:anchorId="398CB13F" wp14:editId="3225DC43">
            <wp:simplePos x="0" y="0"/>
            <wp:positionH relativeFrom="page">
              <wp:posOffset>860865</wp:posOffset>
            </wp:positionH>
            <wp:positionV relativeFrom="paragraph">
              <wp:posOffset>273050</wp:posOffset>
            </wp:positionV>
            <wp:extent cx="1424940" cy="1563370"/>
            <wp:effectExtent l="0" t="0" r="3810" b="0"/>
            <wp:wrapTopAndBottom/>
            <wp:docPr id="13" name="Image 13" descr="Un árbol con hojas verdes  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Un árbol con hojas verdes  Descripción generada automáticamente con confianza media"/>
                    <pic:cNvPicPr/>
                  </pic:nvPicPr>
                  <pic:blipFill>
                    <a:blip r:embed="rId12" cstate="print"/>
                    <a:stretch>
                      <a:fillRect/>
                    </a:stretch>
                  </pic:blipFill>
                  <pic:spPr>
                    <a:xfrm>
                      <a:off x="0" y="0"/>
                      <a:ext cx="1424940" cy="1563370"/>
                    </a:xfrm>
                    <a:prstGeom prst="rect">
                      <a:avLst/>
                    </a:prstGeom>
                  </pic:spPr>
                </pic:pic>
              </a:graphicData>
            </a:graphic>
            <wp14:sizeRelH relativeFrom="margin">
              <wp14:pctWidth>0</wp14:pctWidth>
            </wp14:sizeRelH>
            <wp14:sizeRelV relativeFrom="margin">
              <wp14:pctHeight>0</wp14:pctHeight>
            </wp14:sizeRelV>
          </wp:anchor>
        </w:drawing>
      </w:r>
      <w:r w:rsidR="00C40B96" w:rsidRPr="00123A03">
        <w:rPr>
          <w:b/>
          <w:bCs/>
        </w:rPr>
        <w:t xml:space="preserve">Figura </w:t>
      </w:r>
      <w:r w:rsidR="00123A03" w:rsidRPr="00123A03">
        <w:rPr>
          <w:b/>
          <w:bCs/>
        </w:rPr>
        <w:t>2</w:t>
      </w:r>
      <w:r w:rsidR="00C40B96">
        <w:t xml:space="preserve">. </w:t>
      </w:r>
      <w:r w:rsidR="00C40B96" w:rsidRPr="008226DF">
        <w:t xml:space="preserve">Comportamiento longitudinal de la planta y el eje caulinar de la </w:t>
      </w:r>
      <w:proofErr w:type="spellStart"/>
      <w:r w:rsidR="00C40B96" w:rsidRPr="008226DF">
        <w:t>mashua</w:t>
      </w:r>
      <w:proofErr w:type="spellEnd"/>
    </w:p>
    <w:p w14:paraId="15CE1206" w14:textId="77777777" w:rsidR="002A1FC6" w:rsidRDefault="002A1FC6" w:rsidP="002A1FC6">
      <w:pPr>
        <w:pStyle w:val="Figuras"/>
      </w:pPr>
    </w:p>
    <w:p w14:paraId="47C56F18" w14:textId="77777777" w:rsidR="002A1FC6" w:rsidRPr="002A1FC6" w:rsidRDefault="002A1FC6" w:rsidP="002A1FC6">
      <w:pPr>
        <w:pStyle w:val="Figuras"/>
        <w:spacing w:line="276" w:lineRule="auto"/>
        <w:rPr>
          <w:rFonts w:ascii="Times New Roman" w:hAnsi="Times New Roman" w:cs="Times New Roman"/>
          <w:i w:val="0"/>
          <w:iCs/>
          <w:sz w:val="23"/>
          <w:szCs w:val="23"/>
        </w:rPr>
      </w:pPr>
    </w:p>
    <w:p w14:paraId="4DBC1425" w14:textId="36A399E6" w:rsidR="002A1FC6" w:rsidRPr="002A1FC6" w:rsidRDefault="002A1FC6" w:rsidP="002A1FC6">
      <w:pPr>
        <w:pStyle w:val="Figuras"/>
        <w:spacing w:line="276" w:lineRule="auto"/>
        <w:rPr>
          <w:rFonts w:ascii="Times New Roman" w:hAnsi="Times New Roman" w:cs="Times New Roman"/>
          <w:i w:val="0"/>
          <w:iCs/>
          <w:sz w:val="23"/>
          <w:szCs w:val="23"/>
        </w:rPr>
      </w:pPr>
      <w:r w:rsidRPr="002A1FC6">
        <w:rPr>
          <w:rFonts w:ascii="Times New Roman" w:hAnsi="Times New Roman" w:cs="Times New Roman"/>
          <w:i w:val="0"/>
          <w:iCs/>
          <w:sz w:val="23"/>
          <w:szCs w:val="23"/>
        </w:rPr>
        <w:t>El follaje fue compacto, con láminas foliares de color verde obscuro en el haz y una tonalidad más clara en el envés. Estas estructuras presentaron una forma redondeada con tres a cinco lóbulos, evidenciando una inserción peciolar</w:t>
      </w:r>
      <w:r w:rsidRPr="002A1FC6">
        <w:rPr>
          <w:rFonts w:ascii="Times New Roman" w:hAnsi="Times New Roman" w:cs="Times New Roman"/>
          <w:i w:val="0"/>
          <w:iCs/>
          <w:spacing w:val="-1"/>
          <w:sz w:val="23"/>
          <w:szCs w:val="23"/>
        </w:rPr>
        <w:t xml:space="preserve"> </w:t>
      </w:r>
      <w:r w:rsidRPr="002A1FC6">
        <w:rPr>
          <w:rFonts w:ascii="Times New Roman" w:hAnsi="Times New Roman" w:cs="Times New Roman"/>
          <w:i w:val="0"/>
          <w:iCs/>
          <w:sz w:val="23"/>
          <w:szCs w:val="23"/>
        </w:rPr>
        <w:t>de tipo peltada, es decir en el centro del limbo. Las hojas de mayor tamaño registraron diámetros horizontales de entre 9 y 10 cm y verticales de 4 a 8 cm; mientras que, las estructuras foliares menores</w:t>
      </w:r>
      <w:r w:rsidRPr="002A1FC6">
        <w:rPr>
          <w:rFonts w:ascii="Times New Roman" w:hAnsi="Times New Roman" w:cs="Times New Roman"/>
          <w:i w:val="0"/>
          <w:iCs/>
          <w:spacing w:val="17"/>
          <w:sz w:val="23"/>
          <w:szCs w:val="23"/>
        </w:rPr>
        <w:t xml:space="preserve"> </w:t>
      </w:r>
      <w:r w:rsidRPr="002A1FC6">
        <w:rPr>
          <w:rFonts w:ascii="Times New Roman" w:hAnsi="Times New Roman" w:cs="Times New Roman"/>
          <w:i w:val="0"/>
          <w:iCs/>
          <w:sz w:val="23"/>
          <w:szCs w:val="23"/>
        </w:rPr>
        <w:t>mostraron valores entre</w:t>
      </w:r>
      <w:r w:rsidRPr="002A1FC6">
        <w:rPr>
          <w:rFonts w:ascii="Times New Roman" w:hAnsi="Times New Roman" w:cs="Times New Roman"/>
          <w:i w:val="0"/>
          <w:iCs/>
          <w:spacing w:val="16"/>
          <w:sz w:val="23"/>
          <w:szCs w:val="23"/>
        </w:rPr>
        <w:t xml:space="preserve"> </w:t>
      </w:r>
      <w:r w:rsidRPr="002A1FC6">
        <w:rPr>
          <w:rFonts w:ascii="Times New Roman" w:hAnsi="Times New Roman" w:cs="Times New Roman"/>
          <w:i w:val="0"/>
          <w:iCs/>
          <w:sz w:val="23"/>
          <w:szCs w:val="23"/>
        </w:rPr>
        <w:t>1.5</w:t>
      </w:r>
      <w:r w:rsidRPr="002A1FC6">
        <w:rPr>
          <w:rFonts w:ascii="Times New Roman" w:hAnsi="Times New Roman" w:cs="Times New Roman"/>
          <w:i w:val="0"/>
          <w:iCs/>
          <w:spacing w:val="15"/>
          <w:sz w:val="23"/>
          <w:szCs w:val="23"/>
        </w:rPr>
        <w:t xml:space="preserve"> </w:t>
      </w:r>
      <w:r w:rsidRPr="002A1FC6">
        <w:rPr>
          <w:rFonts w:ascii="Times New Roman" w:hAnsi="Times New Roman" w:cs="Times New Roman"/>
          <w:i w:val="0"/>
          <w:iCs/>
          <w:sz w:val="23"/>
          <w:szCs w:val="23"/>
        </w:rPr>
        <w:t>y 2.0 cm en sentido horizontal</w:t>
      </w:r>
      <w:r w:rsidRPr="002A1FC6">
        <w:rPr>
          <w:rFonts w:ascii="Times New Roman" w:hAnsi="Times New Roman" w:cs="Times New Roman"/>
          <w:i w:val="0"/>
          <w:iCs/>
          <w:spacing w:val="16"/>
          <w:sz w:val="23"/>
          <w:szCs w:val="23"/>
        </w:rPr>
        <w:t xml:space="preserve"> </w:t>
      </w:r>
      <w:r w:rsidRPr="002A1FC6">
        <w:rPr>
          <w:rFonts w:ascii="Times New Roman" w:hAnsi="Times New Roman" w:cs="Times New Roman"/>
          <w:i w:val="0"/>
          <w:iCs/>
          <w:sz w:val="23"/>
          <w:szCs w:val="23"/>
        </w:rPr>
        <w:t>y</w:t>
      </w:r>
      <w:r w:rsidRPr="002A1FC6">
        <w:rPr>
          <w:rFonts w:ascii="Times New Roman" w:hAnsi="Times New Roman" w:cs="Times New Roman"/>
          <w:i w:val="0"/>
          <w:iCs/>
          <w:spacing w:val="14"/>
          <w:sz w:val="23"/>
          <w:szCs w:val="23"/>
        </w:rPr>
        <w:t xml:space="preserve"> </w:t>
      </w:r>
      <w:r w:rsidRPr="002A1FC6">
        <w:rPr>
          <w:rFonts w:ascii="Times New Roman" w:hAnsi="Times New Roman" w:cs="Times New Roman"/>
          <w:i w:val="0"/>
          <w:iCs/>
          <w:sz w:val="23"/>
          <w:szCs w:val="23"/>
        </w:rPr>
        <w:t>de</w:t>
      </w:r>
      <w:r w:rsidRPr="002A1FC6">
        <w:rPr>
          <w:rFonts w:ascii="Times New Roman" w:hAnsi="Times New Roman" w:cs="Times New Roman"/>
          <w:i w:val="0"/>
          <w:iCs/>
          <w:spacing w:val="16"/>
          <w:sz w:val="23"/>
          <w:szCs w:val="23"/>
        </w:rPr>
        <w:t xml:space="preserve"> </w:t>
      </w:r>
      <w:r w:rsidRPr="002A1FC6">
        <w:rPr>
          <w:rFonts w:ascii="Times New Roman" w:hAnsi="Times New Roman" w:cs="Times New Roman"/>
          <w:i w:val="0"/>
          <w:iCs/>
          <w:sz w:val="23"/>
          <w:szCs w:val="23"/>
        </w:rPr>
        <w:t>1.0</w:t>
      </w:r>
      <w:r w:rsidRPr="002A1FC6">
        <w:rPr>
          <w:rFonts w:ascii="Times New Roman" w:hAnsi="Times New Roman" w:cs="Times New Roman"/>
          <w:i w:val="0"/>
          <w:iCs/>
          <w:spacing w:val="16"/>
          <w:sz w:val="23"/>
          <w:szCs w:val="23"/>
        </w:rPr>
        <w:t xml:space="preserve"> </w:t>
      </w:r>
      <w:r w:rsidRPr="002A1FC6">
        <w:rPr>
          <w:rFonts w:ascii="Times New Roman" w:hAnsi="Times New Roman" w:cs="Times New Roman"/>
          <w:i w:val="0"/>
          <w:iCs/>
          <w:sz w:val="23"/>
          <w:szCs w:val="23"/>
        </w:rPr>
        <w:t>a</w:t>
      </w:r>
      <w:r w:rsidRPr="002A1FC6">
        <w:rPr>
          <w:rFonts w:ascii="Times New Roman" w:hAnsi="Times New Roman" w:cs="Times New Roman"/>
          <w:i w:val="0"/>
          <w:iCs/>
          <w:spacing w:val="12"/>
          <w:sz w:val="23"/>
          <w:szCs w:val="23"/>
        </w:rPr>
        <w:t xml:space="preserve"> </w:t>
      </w:r>
      <w:r w:rsidRPr="002A1FC6">
        <w:rPr>
          <w:rFonts w:ascii="Times New Roman" w:hAnsi="Times New Roman" w:cs="Times New Roman"/>
          <w:i w:val="0"/>
          <w:iCs/>
          <w:spacing w:val="-5"/>
          <w:sz w:val="23"/>
          <w:szCs w:val="23"/>
        </w:rPr>
        <w:t>1.5</w:t>
      </w:r>
      <w:r w:rsidRPr="002A1FC6">
        <w:rPr>
          <w:rFonts w:ascii="Times New Roman" w:hAnsi="Times New Roman" w:cs="Times New Roman"/>
          <w:i w:val="0"/>
          <w:iCs/>
          <w:sz w:val="23"/>
          <w:szCs w:val="23"/>
        </w:rPr>
        <w:t xml:space="preserve"> cm en el eje vertical.</w:t>
      </w:r>
      <w:r w:rsidRPr="002A1FC6">
        <w:rPr>
          <w:rFonts w:ascii="Times New Roman" w:hAnsi="Times New Roman" w:cs="Times New Roman"/>
          <w:i w:val="0"/>
          <w:iCs/>
          <w:spacing w:val="40"/>
          <w:sz w:val="23"/>
          <w:szCs w:val="23"/>
        </w:rPr>
        <w:t xml:space="preserve"> </w:t>
      </w:r>
      <w:r w:rsidRPr="002A1FC6">
        <w:rPr>
          <w:rFonts w:ascii="Times New Roman" w:hAnsi="Times New Roman" w:cs="Times New Roman"/>
          <w:i w:val="0"/>
          <w:iCs/>
          <w:sz w:val="23"/>
          <w:szCs w:val="23"/>
        </w:rPr>
        <w:t>Estas</w:t>
      </w:r>
      <w:r w:rsidRPr="002A1FC6">
        <w:rPr>
          <w:rFonts w:ascii="Times New Roman" w:hAnsi="Times New Roman" w:cs="Times New Roman"/>
          <w:i w:val="0"/>
          <w:iCs/>
          <w:spacing w:val="40"/>
          <w:sz w:val="23"/>
          <w:szCs w:val="23"/>
        </w:rPr>
        <w:t xml:space="preserve"> </w:t>
      </w:r>
      <w:r w:rsidRPr="002A1FC6">
        <w:rPr>
          <w:rFonts w:ascii="Times New Roman" w:hAnsi="Times New Roman" w:cs="Times New Roman"/>
          <w:i w:val="0"/>
          <w:iCs/>
          <w:sz w:val="23"/>
          <w:szCs w:val="23"/>
        </w:rPr>
        <w:t>dimensiones</w:t>
      </w:r>
      <w:r w:rsidRPr="002A1FC6">
        <w:rPr>
          <w:rFonts w:ascii="Times New Roman" w:hAnsi="Times New Roman" w:cs="Times New Roman"/>
          <w:i w:val="0"/>
          <w:iCs/>
          <w:spacing w:val="40"/>
          <w:sz w:val="23"/>
          <w:szCs w:val="23"/>
        </w:rPr>
        <w:t xml:space="preserve"> </w:t>
      </w:r>
      <w:r w:rsidRPr="002A1FC6">
        <w:rPr>
          <w:rFonts w:ascii="Times New Roman" w:hAnsi="Times New Roman" w:cs="Times New Roman"/>
          <w:i w:val="0"/>
          <w:iCs/>
          <w:sz w:val="23"/>
          <w:szCs w:val="23"/>
        </w:rPr>
        <w:t>se</w:t>
      </w:r>
      <w:r w:rsidRPr="002A1FC6">
        <w:rPr>
          <w:rFonts w:ascii="Times New Roman" w:hAnsi="Times New Roman" w:cs="Times New Roman"/>
          <w:i w:val="0"/>
          <w:iCs/>
          <w:spacing w:val="39"/>
          <w:sz w:val="23"/>
          <w:szCs w:val="23"/>
        </w:rPr>
        <w:t xml:space="preserve"> </w:t>
      </w:r>
      <w:r w:rsidRPr="002A1FC6">
        <w:rPr>
          <w:rFonts w:ascii="Times New Roman" w:hAnsi="Times New Roman" w:cs="Times New Roman"/>
          <w:i w:val="0"/>
          <w:iCs/>
          <w:sz w:val="23"/>
          <w:szCs w:val="23"/>
        </w:rPr>
        <w:t>presentaron</w:t>
      </w:r>
      <w:r w:rsidRPr="002A1FC6">
        <w:rPr>
          <w:rFonts w:ascii="Times New Roman" w:hAnsi="Times New Roman" w:cs="Times New Roman"/>
          <w:i w:val="0"/>
          <w:iCs/>
          <w:spacing w:val="39"/>
          <w:sz w:val="23"/>
          <w:szCs w:val="23"/>
        </w:rPr>
        <w:t xml:space="preserve"> </w:t>
      </w:r>
      <w:r w:rsidRPr="002A1FC6">
        <w:rPr>
          <w:rFonts w:ascii="Times New Roman" w:hAnsi="Times New Roman" w:cs="Times New Roman"/>
          <w:i w:val="0"/>
          <w:iCs/>
          <w:sz w:val="23"/>
          <w:szCs w:val="23"/>
        </w:rPr>
        <w:t>tanto</w:t>
      </w:r>
      <w:r w:rsidRPr="002A1FC6">
        <w:rPr>
          <w:rFonts w:ascii="Times New Roman" w:hAnsi="Times New Roman" w:cs="Times New Roman"/>
          <w:i w:val="0"/>
          <w:iCs/>
          <w:spacing w:val="39"/>
          <w:sz w:val="23"/>
          <w:szCs w:val="23"/>
        </w:rPr>
        <w:t xml:space="preserve"> </w:t>
      </w:r>
      <w:r w:rsidRPr="002A1FC6">
        <w:rPr>
          <w:rFonts w:ascii="Times New Roman" w:hAnsi="Times New Roman" w:cs="Times New Roman"/>
          <w:i w:val="0"/>
          <w:iCs/>
          <w:sz w:val="23"/>
          <w:szCs w:val="23"/>
        </w:rPr>
        <w:t>en</w:t>
      </w:r>
      <w:r w:rsidRPr="002A1FC6">
        <w:rPr>
          <w:rFonts w:ascii="Times New Roman" w:hAnsi="Times New Roman" w:cs="Times New Roman"/>
          <w:i w:val="0"/>
          <w:iCs/>
          <w:spacing w:val="39"/>
          <w:sz w:val="23"/>
          <w:szCs w:val="23"/>
        </w:rPr>
        <w:t xml:space="preserve"> </w:t>
      </w:r>
      <w:r w:rsidRPr="002A1FC6">
        <w:rPr>
          <w:rFonts w:ascii="Times New Roman" w:hAnsi="Times New Roman" w:cs="Times New Roman"/>
          <w:i w:val="0"/>
          <w:iCs/>
          <w:sz w:val="23"/>
          <w:szCs w:val="23"/>
        </w:rPr>
        <w:t>las</w:t>
      </w:r>
      <w:r w:rsidRPr="002A1FC6">
        <w:rPr>
          <w:rFonts w:ascii="Times New Roman" w:hAnsi="Times New Roman" w:cs="Times New Roman"/>
          <w:i w:val="0"/>
          <w:iCs/>
          <w:spacing w:val="40"/>
          <w:sz w:val="23"/>
          <w:szCs w:val="23"/>
        </w:rPr>
        <w:t xml:space="preserve"> </w:t>
      </w:r>
      <w:r w:rsidRPr="002A1FC6">
        <w:rPr>
          <w:rFonts w:ascii="Times New Roman" w:hAnsi="Times New Roman" w:cs="Times New Roman"/>
          <w:i w:val="0"/>
          <w:iCs/>
          <w:sz w:val="23"/>
          <w:szCs w:val="23"/>
        </w:rPr>
        <w:t>hojas</w:t>
      </w:r>
      <w:r w:rsidRPr="002A1FC6">
        <w:rPr>
          <w:rFonts w:ascii="Times New Roman" w:hAnsi="Times New Roman" w:cs="Times New Roman"/>
          <w:i w:val="0"/>
          <w:iCs/>
          <w:spacing w:val="40"/>
          <w:sz w:val="23"/>
          <w:szCs w:val="23"/>
        </w:rPr>
        <w:t xml:space="preserve"> </w:t>
      </w:r>
      <w:r w:rsidRPr="002A1FC6">
        <w:rPr>
          <w:rFonts w:ascii="Times New Roman" w:hAnsi="Times New Roman" w:cs="Times New Roman"/>
          <w:i w:val="0"/>
          <w:iCs/>
          <w:sz w:val="23"/>
          <w:szCs w:val="23"/>
        </w:rPr>
        <w:t>de</w:t>
      </w:r>
      <w:r w:rsidRPr="002A1FC6">
        <w:rPr>
          <w:rFonts w:ascii="Times New Roman" w:hAnsi="Times New Roman" w:cs="Times New Roman"/>
          <w:i w:val="0"/>
          <w:iCs/>
          <w:spacing w:val="40"/>
          <w:sz w:val="23"/>
          <w:szCs w:val="23"/>
        </w:rPr>
        <w:t xml:space="preserve"> </w:t>
      </w:r>
      <w:r w:rsidRPr="002A1FC6">
        <w:rPr>
          <w:rFonts w:ascii="Times New Roman" w:hAnsi="Times New Roman" w:cs="Times New Roman"/>
          <w:i w:val="0"/>
          <w:iCs/>
          <w:sz w:val="23"/>
          <w:szCs w:val="23"/>
        </w:rPr>
        <w:t>las</w:t>
      </w:r>
      <w:r w:rsidRPr="002A1FC6">
        <w:rPr>
          <w:rFonts w:ascii="Times New Roman" w:hAnsi="Times New Roman" w:cs="Times New Roman"/>
          <w:i w:val="0"/>
          <w:iCs/>
          <w:spacing w:val="40"/>
          <w:sz w:val="23"/>
          <w:szCs w:val="23"/>
        </w:rPr>
        <w:t xml:space="preserve"> </w:t>
      </w:r>
      <w:r w:rsidRPr="002A1FC6">
        <w:rPr>
          <w:rFonts w:ascii="Times New Roman" w:hAnsi="Times New Roman" w:cs="Times New Roman"/>
          <w:i w:val="0"/>
          <w:iCs/>
          <w:sz w:val="23"/>
          <w:szCs w:val="23"/>
        </w:rPr>
        <w:t>plantas</w:t>
      </w:r>
      <w:r w:rsidRPr="002A1FC6">
        <w:rPr>
          <w:rFonts w:ascii="Times New Roman" w:hAnsi="Times New Roman" w:cs="Times New Roman"/>
          <w:i w:val="0"/>
          <w:iCs/>
          <w:spacing w:val="40"/>
          <w:sz w:val="23"/>
          <w:szCs w:val="23"/>
        </w:rPr>
        <w:t xml:space="preserve"> </w:t>
      </w:r>
      <w:r w:rsidRPr="002A1FC6">
        <w:rPr>
          <w:rFonts w:ascii="Times New Roman" w:hAnsi="Times New Roman" w:cs="Times New Roman"/>
          <w:i w:val="0"/>
          <w:iCs/>
          <w:sz w:val="23"/>
          <w:szCs w:val="23"/>
        </w:rPr>
        <w:t>de Pelileo como de Guamote</w:t>
      </w:r>
      <w:r>
        <w:rPr>
          <w:rFonts w:ascii="Times New Roman" w:hAnsi="Times New Roman" w:cs="Times New Roman"/>
          <w:i w:val="0"/>
          <w:iCs/>
          <w:sz w:val="23"/>
          <w:szCs w:val="23"/>
        </w:rPr>
        <w:t>.</w:t>
      </w:r>
    </w:p>
    <w:p w14:paraId="46D9183C" w14:textId="2C9D7D87" w:rsidR="00A27084" w:rsidRPr="00A27084" w:rsidRDefault="00A27084" w:rsidP="0080103B">
      <w:pPr>
        <w:pStyle w:val="Heading3"/>
        <w:rPr>
          <w:lang w:val="es-MX" w:eastAsia="es-MX"/>
        </w:rPr>
      </w:pPr>
      <w:bookmarkStart w:id="6" w:name="_Toc235871709"/>
      <w:r>
        <w:t xml:space="preserve">4.1.2 </w:t>
      </w:r>
      <w:r w:rsidRPr="008226DF">
        <w:t>Caracterización</w:t>
      </w:r>
      <w:r w:rsidRPr="008226DF">
        <w:rPr>
          <w:spacing w:val="2"/>
        </w:rPr>
        <w:t xml:space="preserve"> </w:t>
      </w:r>
      <w:r w:rsidRPr="008226DF">
        <w:rPr>
          <w:lang w:val="es-MX" w:eastAsia="es-MX"/>
        </w:rPr>
        <w:t>morfológica y fenotípica de los tubérculos</w:t>
      </w:r>
      <w:bookmarkEnd w:id="6"/>
    </w:p>
    <w:p w14:paraId="390D3E87" w14:textId="564866BB" w:rsidR="0080103B" w:rsidRDefault="006576A7" w:rsidP="00911905">
      <w:pPr>
        <w:spacing w:after="0"/>
        <w:rPr>
          <w:rFonts w:cs="Times New Roman"/>
        </w:rPr>
      </w:pPr>
      <w:r>
        <w:rPr>
          <w:rFonts w:cs="Times New Roman"/>
        </w:rPr>
        <w:t xml:space="preserve">Las observaciones cualitativas confirmaron que los tubérculos analizados </w:t>
      </w:r>
      <w:r w:rsidR="0013737F">
        <w:rPr>
          <w:rFonts w:cs="Times New Roman"/>
        </w:rPr>
        <w:t>en</w:t>
      </w:r>
      <w:r>
        <w:rPr>
          <w:rFonts w:cs="Times New Roman"/>
        </w:rPr>
        <w:t xml:space="preserve"> ambos sectores (Guamote y Pelileo) corresponden al fenotipo andino anaranjado típico del </w:t>
      </w:r>
      <w:r w:rsidRPr="006576A7">
        <w:rPr>
          <w:rFonts w:cs="Times New Roman"/>
          <w:i/>
          <w:iCs/>
        </w:rPr>
        <w:t xml:space="preserve">Tropaeolum </w:t>
      </w:r>
      <w:proofErr w:type="spellStart"/>
      <w:r w:rsidRPr="006576A7">
        <w:rPr>
          <w:rFonts w:cs="Times New Roman"/>
          <w:i/>
          <w:iCs/>
        </w:rPr>
        <w:t>tuberosum</w:t>
      </w:r>
      <w:proofErr w:type="spellEnd"/>
      <w:r w:rsidR="000D4801">
        <w:rPr>
          <w:rFonts w:cs="Times New Roman"/>
        </w:rPr>
        <w:t xml:space="preserve">, con </w:t>
      </w:r>
      <w:r w:rsidR="0080103B" w:rsidRPr="008226DF">
        <w:rPr>
          <w:rFonts w:cs="Times New Roman"/>
        </w:rPr>
        <w:t>una geometría cónico-alargada</w:t>
      </w:r>
      <w:r w:rsidR="000D4801">
        <w:rPr>
          <w:rFonts w:cs="Times New Roman"/>
        </w:rPr>
        <w:t xml:space="preserve"> y </w:t>
      </w:r>
      <w:r w:rsidR="0080103B" w:rsidRPr="008226DF">
        <w:rPr>
          <w:rFonts w:cs="Times New Roman"/>
        </w:rPr>
        <w:t>un ápice de morfología aguda</w:t>
      </w:r>
      <w:r w:rsidR="000D4801">
        <w:rPr>
          <w:rFonts w:cs="Times New Roman"/>
        </w:rPr>
        <w:t xml:space="preserve">. </w:t>
      </w:r>
      <w:r w:rsidR="0080103B" w:rsidRPr="008226DF">
        <w:rPr>
          <w:rFonts w:cs="Times New Roman"/>
        </w:rPr>
        <w:t>Estas características fenotípicas se manifestaron de manera uniforme y consistente en todos los especímenes recolectados, sin evidenciar variaciones significativas entre las localidades de cultivo de Pelileo y Guamote.</w:t>
      </w:r>
    </w:p>
    <w:p w14:paraId="4BBD357A" w14:textId="77777777" w:rsidR="000D4801" w:rsidRPr="008226DF" w:rsidRDefault="000D4801" w:rsidP="00911905">
      <w:pPr>
        <w:spacing w:after="0"/>
        <w:rPr>
          <w:rFonts w:cs="Times New Roman"/>
        </w:rPr>
      </w:pPr>
      <w:r w:rsidRPr="008226DF">
        <w:rPr>
          <w:rFonts w:cs="Times New Roman"/>
        </w:rPr>
        <w:t xml:space="preserve">Los resultados obtenidos muestran una marcada diferencia en el desarrollo morfométrico de los tubérculos de </w:t>
      </w:r>
      <w:proofErr w:type="spellStart"/>
      <w:r w:rsidRPr="008226DF">
        <w:rPr>
          <w:rFonts w:cs="Times New Roman"/>
        </w:rPr>
        <w:t>mashua</w:t>
      </w:r>
      <w:proofErr w:type="spellEnd"/>
      <w:r w:rsidRPr="008226DF">
        <w:rPr>
          <w:rFonts w:cs="Times New Roman"/>
        </w:rPr>
        <w:t xml:space="preserve"> según su origen geográfico. Los ejemplares de Guamote presentaron un rendimiento físico superior, con un peso promedio de 81.1 g y una longitud de 119.6 mm, frente a 67.5 g y 113.7 mm registrados en los tubérculos de Pelileo.</w:t>
      </w:r>
    </w:p>
    <w:p w14:paraId="62EEC543" w14:textId="6B009FF3" w:rsidR="008874BE" w:rsidRPr="000D4801" w:rsidRDefault="006576A7" w:rsidP="00911905">
      <w:pPr>
        <w:spacing w:after="0"/>
        <w:rPr>
          <w:lang w:val="es-EC"/>
        </w:rPr>
      </w:pPr>
      <w:r>
        <w:rPr>
          <w:rFonts w:cs="Times New Roman"/>
        </w:rPr>
        <w:lastRenderedPageBreak/>
        <w:t>En la Tabla 1 se muestran los valores morfométricos promedios obtenidos para cada zona de cultivo. El análisis estadístico mediante la prueb</w:t>
      </w:r>
      <w:r w:rsidR="000D4801">
        <w:rPr>
          <w:rFonts w:cs="Times New Roman"/>
        </w:rPr>
        <w:t>a</w:t>
      </w:r>
      <w:r>
        <w:rPr>
          <w:rFonts w:cs="Times New Roman"/>
        </w:rPr>
        <w:t xml:space="preserve"> de Rangos Múltiple determinó </w:t>
      </w:r>
      <w:r w:rsidR="0013737F">
        <w:rPr>
          <w:rFonts w:cs="Times New Roman"/>
        </w:rPr>
        <w:t>diferencias altamente significativas</w:t>
      </w:r>
      <w:r>
        <w:rPr>
          <w:rFonts w:cs="Times New Roman"/>
        </w:rPr>
        <w:t xml:space="preserve"> (</w:t>
      </w:r>
      <w:r w:rsidRPr="00DA45E0">
        <w:rPr>
          <w:i/>
          <w:iCs/>
          <w:lang w:val="es-EC"/>
        </w:rPr>
        <w:t>p</w:t>
      </w:r>
      <w:r>
        <w:rPr>
          <w:lang w:val="es-EC"/>
        </w:rPr>
        <w:t xml:space="preserve"> </w:t>
      </w:r>
      <w:r w:rsidRPr="00DA45E0">
        <w:rPr>
          <w:lang w:val="es-EC"/>
        </w:rPr>
        <w:t>&lt;</w:t>
      </w:r>
      <w:r>
        <w:rPr>
          <w:lang w:val="es-EC"/>
        </w:rPr>
        <w:t xml:space="preserve"> 0.05) entre las muestras de</w:t>
      </w:r>
      <w:r w:rsidR="0013737F">
        <w:rPr>
          <w:lang w:val="es-EC"/>
        </w:rPr>
        <w:t xml:space="preserve"> las dos provincias</w:t>
      </w:r>
      <w:r>
        <w:rPr>
          <w:lang w:val="es-EC"/>
        </w:rPr>
        <w:t>.</w:t>
      </w:r>
      <w:r w:rsidR="000D4801">
        <w:rPr>
          <w:lang w:val="es-EC"/>
        </w:rPr>
        <w:t xml:space="preserve"> </w:t>
      </w:r>
      <w:r w:rsidR="00801B90" w:rsidRPr="008226DF">
        <w:rPr>
          <w:rFonts w:cs="Times New Roman"/>
        </w:rPr>
        <w:t>Además, en el análisis se observa una elevada desviación estándar en el peso de los tubérculos de Pelileo</w:t>
      </w:r>
      <w:r w:rsidR="000D4801">
        <w:rPr>
          <w:rFonts w:cs="Times New Roman"/>
        </w:rPr>
        <w:t>.</w:t>
      </w:r>
      <w:r w:rsidR="008874BE" w:rsidRPr="008226DF">
        <w:rPr>
          <w:rFonts w:cs="Times New Roman"/>
          <w:b/>
          <w:bCs/>
        </w:rPr>
        <w:t xml:space="preserve"> </w:t>
      </w:r>
    </w:p>
    <w:p w14:paraId="4E199901" w14:textId="678C9622" w:rsidR="0084434D" w:rsidRPr="0084434D" w:rsidRDefault="000D4801" w:rsidP="0084434D">
      <w:pPr>
        <w:pStyle w:val="Figuras"/>
      </w:pPr>
      <w:bookmarkStart w:id="7" w:name="_Toc235868025"/>
      <w:r>
        <w:rPr>
          <w:b/>
          <w:bCs/>
        </w:rPr>
        <w:t>Tabla 1</w:t>
      </w:r>
      <w:r w:rsidR="0084434D">
        <w:t>. Características fenotípicas de los tubérculos de los dos sectores</w:t>
      </w:r>
    </w:p>
    <w:p w14:paraId="7C5CB2C6" w14:textId="3EC940C5" w:rsidR="0001351C" w:rsidRDefault="00BD534B" w:rsidP="008226DF">
      <w:pPr>
        <w:rPr>
          <w:rFonts w:cs="Times New Roman"/>
          <w:b/>
          <w:bCs/>
          <w:sz w:val="24"/>
          <w:szCs w:val="24"/>
        </w:rPr>
      </w:pPr>
      <w:r w:rsidRPr="00BD534B">
        <w:rPr>
          <w:noProof/>
        </w:rPr>
        <w:drawing>
          <wp:inline distT="0" distB="0" distL="0" distR="0" wp14:anchorId="334A457E" wp14:editId="04F938B6">
            <wp:extent cx="4176395" cy="935990"/>
            <wp:effectExtent l="0" t="0" r="0" b="0"/>
            <wp:docPr id="955593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93210" name=""/>
                    <pic:cNvPicPr/>
                  </pic:nvPicPr>
                  <pic:blipFill>
                    <a:blip r:embed="rId13"/>
                    <a:stretch>
                      <a:fillRect/>
                    </a:stretch>
                  </pic:blipFill>
                  <pic:spPr>
                    <a:xfrm>
                      <a:off x="0" y="0"/>
                      <a:ext cx="4176395" cy="935990"/>
                    </a:xfrm>
                    <a:prstGeom prst="rect">
                      <a:avLst/>
                    </a:prstGeom>
                  </pic:spPr>
                </pic:pic>
              </a:graphicData>
            </a:graphic>
          </wp:inline>
        </w:drawing>
      </w:r>
    </w:p>
    <w:p w14:paraId="7EDE956F" w14:textId="7896EE45" w:rsidR="008874BE" w:rsidRPr="006B57D4" w:rsidRDefault="0084434D" w:rsidP="005C151C">
      <w:pPr>
        <w:pStyle w:val="Fuente"/>
        <w:jc w:val="right"/>
        <w:rPr>
          <w:lang w:val="es-EC"/>
        </w:rPr>
      </w:pPr>
      <w:r w:rsidRPr="0084434D">
        <w:t xml:space="preserve">Nota: Valores expresados como Media </w:t>
      </w:r>
      <w:r w:rsidR="005C151C">
        <w:t>±</w:t>
      </w:r>
      <w:r w:rsidRPr="0084434D">
        <w:t>Desviación estándar. Letras distintas en una misma columna indican diferencias estadísticamente significativas (p</w:t>
      </w:r>
      <w:r w:rsidRPr="0084434D">
        <w:rPr>
          <w:lang w:val="es-EC"/>
        </w:rPr>
        <w:t>&lt;0.05).</w:t>
      </w:r>
      <w:bookmarkEnd w:id="7"/>
    </w:p>
    <w:p w14:paraId="047FF81D" w14:textId="5A83E9ED" w:rsidR="00030513" w:rsidRPr="008226DF" w:rsidRDefault="008874BE" w:rsidP="00C437FC">
      <w:pPr>
        <w:pStyle w:val="BodyText"/>
        <w:spacing w:before="1" w:line="276" w:lineRule="auto"/>
        <w:ind w:left="141"/>
        <w:jc w:val="both"/>
        <w:rPr>
          <w:rFonts w:ascii="Times New Roman" w:hAnsi="Times New Roman" w:cs="Times New Roman"/>
          <w:lang w:val="es-EC"/>
        </w:rPr>
      </w:pPr>
      <w:r w:rsidRPr="008226DF">
        <w:rPr>
          <w:rFonts w:ascii="Times New Roman" w:hAnsi="Times New Roman" w:cs="Times New Roman"/>
          <w:lang w:val="es-EC"/>
        </w:rPr>
        <w:t>Con respecto a las propiedades morfológicas de la materia prima, los tubérculos provenientes del cantón Guamote exhibieron valores superiores en peso, longitud y diámetro mayor en comparación con los recolectados en Pelileo (</w:t>
      </w:r>
      <w:r w:rsidR="00CC14CB">
        <w:rPr>
          <w:rFonts w:ascii="Times New Roman" w:hAnsi="Times New Roman" w:cs="Times New Roman"/>
          <w:lang w:val="es-EC"/>
        </w:rPr>
        <w:t>Gráfico</w:t>
      </w:r>
      <w:r w:rsidRPr="008226DF">
        <w:rPr>
          <w:rFonts w:ascii="Times New Roman" w:hAnsi="Times New Roman" w:cs="Times New Roman"/>
          <w:lang w:val="es-EC"/>
        </w:rPr>
        <w:t xml:space="preserve"> </w:t>
      </w:r>
      <w:r w:rsidR="00CC14CB">
        <w:rPr>
          <w:rFonts w:ascii="Times New Roman" w:hAnsi="Times New Roman" w:cs="Times New Roman"/>
          <w:lang w:val="es-EC"/>
        </w:rPr>
        <w:t>1</w:t>
      </w:r>
      <w:r w:rsidRPr="008226DF">
        <w:rPr>
          <w:rFonts w:ascii="Times New Roman" w:hAnsi="Times New Roman" w:cs="Times New Roman"/>
          <w:lang w:val="es-EC"/>
        </w:rPr>
        <w:t xml:space="preserve">). Las diferencias morfológicas entre ambas localidades fueron estadísticamente significativas (p &lt; 0.05). </w:t>
      </w:r>
    </w:p>
    <w:p w14:paraId="25891C6F" w14:textId="5F917AD3" w:rsidR="008874BE" w:rsidRPr="00CE17EA" w:rsidRDefault="00CC14CB" w:rsidP="00C2452C">
      <w:pPr>
        <w:pStyle w:val="Figuras"/>
      </w:pPr>
      <w:bookmarkStart w:id="8" w:name="_Toc235868027"/>
      <w:r>
        <w:rPr>
          <w:b/>
          <w:bCs/>
        </w:rPr>
        <w:t>GRÁFICO 1</w:t>
      </w:r>
      <w:r w:rsidR="006B57D4">
        <w:rPr>
          <w:b/>
          <w:bCs/>
        </w:rPr>
        <w:t xml:space="preserve">. </w:t>
      </w:r>
      <w:r w:rsidR="008874BE" w:rsidRPr="00CE17EA">
        <w:t>Comparación</w:t>
      </w:r>
      <w:r w:rsidR="008874BE" w:rsidRPr="00CE17EA">
        <w:rPr>
          <w:spacing w:val="-6"/>
        </w:rPr>
        <w:t xml:space="preserve"> </w:t>
      </w:r>
      <w:r w:rsidR="008874BE" w:rsidRPr="00CE17EA">
        <w:t>de</w:t>
      </w:r>
      <w:r w:rsidR="008874BE" w:rsidRPr="00CE17EA">
        <w:rPr>
          <w:spacing w:val="-6"/>
        </w:rPr>
        <w:t xml:space="preserve"> </w:t>
      </w:r>
      <w:r w:rsidR="008874BE" w:rsidRPr="00CE17EA">
        <w:t>parámetros</w:t>
      </w:r>
      <w:r w:rsidR="008874BE" w:rsidRPr="00CE17EA">
        <w:rPr>
          <w:spacing w:val="-4"/>
        </w:rPr>
        <w:t xml:space="preserve"> </w:t>
      </w:r>
      <w:r w:rsidR="008874BE" w:rsidRPr="00CE17EA">
        <w:t>morfológicas</w:t>
      </w:r>
      <w:r w:rsidR="008874BE" w:rsidRPr="00CE17EA">
        <w:rPr>
          <w:spacing w:val="-4"/>
        </w:rPr>
        <w:t xml:space="preserve"> </w:t>
      </w:r>
      <w:r w:rsidR="008874BE" w:rsidRPr="00CE17EA">
        <w:t xml:space="preserve">de </w:t>
      </w:r>
      <w:r w:rsidR="008874BE" w:rsidRPr="00CE17EA">
        <w:rPr>
          <w:spacing w:val="-2"/>
        </w:rPr>
        <w:t>tubérculos entre Guamote y Pelileo.</w:t>
      </w:r>
      <w:bookmarkEnd w:id="8"/>
    </w:p>
    <w:p w14:paraId="18148D1E" w14:textId="77777777" w:rsidR="008874BE" w:rsidRPr="008226DF" w:rsidRDefault="008874BE" w:rsidP="00C437FC">
      <w:pPr>
        <w:pStyle w:val="BodyText"/>
        <w:spacing w:line="276" w:lineRule="auto"/>
        <w:rPr>
          <w:rFonts w:ascii="Times New Roman" w:hAnsi="Times New Roman" w:cs="Times New Roman"/>
          <w:i/>
          <w:sz w:val="20"/>
        </w:rPr>
      </w:pPr>
      <w:r w:rsidRPr="008226DF">
        <w:rPr>
          <w:rFonts w:ascii="Times New Roman" w:hAnsi="Times New Roman" w:cs="Times New Roman"/>
          <w:i/>
          <w:noProof/>
          <w:sz w:val="20"/>
        </w:rPr>
        <w:drawing>
          <wp:inline distT="0" distB="0" distL="0" distR="0" wp14:anchorId="6E212EB7" wp14:editId="18EF2944">
            <wp:extent cx="4176395" cy="1853565"/>
            <wp:effectExtent l="0" t="0" r="0" b="0"/>
            <wp:docPr id="1527815407"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a:extLst>
                        <a:ext uri="{28A0092B-C50C-407E-A947-70E740481C1C}">
                          <a14:useLocalDpi xmlns:a14="http://schemas.microsoft.com/office/drawing/2010/main" val="0"/>
                        </a:ext>
                      </a:extLst>
                    </a:blip>
                    <a:srcRect l="951" t="11322" r="1495" b="2704"/>
                    <a:stretch>
                      <a:fillRect/>
                    </a:stretch>
                  </pic:blipFill>
                  <pic:spPr bwMode="auto">
                    <a:xfrm>
                      <a:off x="0" y="0"/>
                      <a:ext cx="4194137" cy="1861439"/>
                    </a:xfrm>
                    <a:prstGeom prst="rect">
                      <a:avLst/>
                    </a:prstGeom>
                    <a:noFill/>
                    <a:ln>
                      <a:noFill/>
                    </a:ln>
                    <a:extLst>
                      <a:ext uri="{53640926-AAD7-44D8-BBD7-CCE9431645EC}">
                        <a14:shadowObscured xmlns:a14="http://schemas.microsoft.com/office/drawing/2010/main"/>
                      </a:ext>
                    </a:extLst>
                  </pic:spPr>
                </pic:pic>
              </a:graphicData>
            </a:graphic>
          </wp:inline>
        </w:drawing>
      </w:r>
    </w:p>
    <w:p w14:paraId="7D2EB966" w14:textId="16D85B78" w:rsidR="008874BE" w:rsidRPr="00CE17EA" w:rsidRDefault="008874BE" w:rsidP="005C151C">
      <w:pPr>
        <w:pStyle w:val="Fuente"/>
        <w:jc w:val="right"/>
      </w:pPr>
      <w:r w:rsidRPr="008226DF">
        <w:t xml:space="preserve">          Nota: Medias con letras diferentes indican diferencias significativas entre tratamientos (p &lt; 0.05).</w:t>
      </w:r>
    </w:p>
    <w:p w14:paraId="048B71F9" w14:textId="6373A3DC" w:rsidR="008874BE" w:rsidRPr="008226DF" w:rsidRDefault="00537E35" w:rsidP="00537E35">
      <w:pPr>
        <w:pStyle w:val="Heading3"/>
      </w:pPr>
      <w:bookmarkStart w:id="9" w:name="_Toc235871710"/>
      <w:r>
        <w:lastRenderedPageBreak/>
        <w:t xml:space="preserve">4.1.3 </w:t>
      </w:r>
      <w:r w:rsidR="008874BE" w:rsidRPr="008226DF">
        <w:t>Caracterización</w:t>
      </w:r>
      <w:r w:rsidR="008874BE" w:rsidRPr="008226DF">
        <w:rPr>
          <w:spacing w:val="-1"/>
        </w:rPr>
        <w:t xml:space="preserve"> </w:t>
      </w:r>
      <w:r w:rsidR="008874BE" w:rsidRPr="008226DF">
        <w:t>química</w:t>
      </w:r>
      <w:r w:rsidR="008874BE" w:rsidRPr="008226DF">
        <w:rPr>
          <w:spacing w:val="-3"/>
        </w:rPr>
        <w:t xml:space="preserve"> </w:t>
      </w:r>
      <w:r w:rsidR="008874BE" w:rsidRPr="008226DF">
        <w:t>de</w:t>
      </w:r>
      <w:r w:rsidR="008874BE" w:rsidRPr="008226DF">
        <w:rPr>
          <w:spacing w:val="-7"/>
        </w:rPr>
        <w:t xml:space="preserve"> </w:t>
      </w:r>
      <w:r w:rsidR="008874BE" w:rsidRPr="008226DF">
        <w:t xml:space="preserve">los tubérculos de </w:t>
      </w:r>
      <w:proofErr w:type="spellStart"/>
      <w:r w:rsidR="008874BE" w:rsidRPr="008226DF">
        <w:t>mashua</w:t>
      </w:r>
      <w:proofErr w:type="spellEnd"/>
      <w:r w:rsidR="008874BE" w:rsidRPr="008226DF">
        <w:t xml:space="preserve"> fresca</w:t>
      </w:r>
      <w:bookmarkEnd w:id="9"/>
    </w:p>
    <w:p w14:paraId="1F07F272" w14:textId="2A0ED0F9" w:rsidR="00030513" w:rsidRPr="00030513" w:rsidRDefault="008874BE" w:rsidP="00030513">
      <w:pPr>
        <w:spacing w:after="0"/>
        <w:rPr>
          <w:rFonts w:cs="Times New Roman"/>
          <w:bCs/>
          <w:sz w:val="24"/>
          <w:szCs w:val="24"/>
          <w:lang w:val="es-EC" w:eastAsia="es-ES"/>
        </w:rPr>
      </w:pPr>
      <w:r w:rsidRPr="008226DF">
        <w:rPr>
          <w:rFonts w:cs="Times New Roman"/>
          <w:sz w:val="24"/>
          <w:szCs w:val="24"/>
        </w:rPr>
        <w:t xml:space="preserve">En la Tabla </w:t>
      </w:r>
      <w:r w:rsidR="00A470F0">
        <w:rPr>
          <w:rFonts w:cs="Times New Roman"/>
          <w:sz w:val="24"/>
          <w:szCs w:val="24"/>
        </w:rPr>
        <w:t>2</w:t>
      </w:r>
      <w:r w:rsidRPr="008226DF">
        <w:rPr>
          <w:rFonts w:cs="Times New Roman"/>
          <w:sz w:val="24"/>
          <w:szCs w:val="24"/>
        </w:rPr>
        <w:t xml:space="preserve"> se muestra el análisis proximal realizado a los tubérculos de </w:t>
      </w:r>
      <w:proofErr w:type="spellStart"/>
      <w:r w:rsidRPr="008226DF">
        <w:rPr>
          <w:rFonts w:cs="Times New Roman"/>
          <w:sz w:val="24"/>
          <w:szCs w:val="24"/>
        </w:rPr>
        <w:t>mashua</w:t>
      </w:r>
      <w:proofErr w:type="spellEnd"/>
      <w:r w:rsidRPr="008226DF">
        <w:rPr>
          <w:rFonts w:cs="Times New Roman"/>
          <w:sz w:val="24"/>
          <w:szCs w:val="24"/>
        </w:rPr>
        <w:t xml:space="preserve"> fresca de los dos sectores; los provenientes de Guamote tuvieron un </w:t>
      </w:r>
      <w:r w:rsidRPr="008226DF">
        <w:rPr>
          <w:rFonts w:cs="Times New Roman"/>
          <w:sz w:val="24"/>
          <w:szCs w:val="24"/>
          <w:lang w:val="es-EC"/>
        </w:rPr>
        <w:t>mayor aporte proteico (3.66</w:t>
      </w:r>
      <w:r w:rsidR="00A470F0">
        <w:rPr>
          <w:rFonts w:cs="Times New Roman"/>
          <w:sz w:val="24"/>
          <w:szCs w:val="24"/>
          <w:lang w:val="es-EC"/>
        </w:rPr>
        <w:t xml:space="preserve"> ±</w:t>
      </w:r>
      <w:r w:rsidRPr="008226DF">
        <w:rPr>
          <w:rFonts w:cs="Times New Roman"/>
          <w:sz w:val="24"/>
          <w:szCs w:val="24"/>
          <w:lang w:val="es-EC"/>
        </w:rPr>
        <w:t xml:space="preserve"> 0.03 %), destacando su potencial nutricional frente a la muestra de Pelileo. </w:t>
      </w:r>
      <w:r w:rsidRPr="008226DF">
        <w:rPr>
          <w:rFonts w:cs="Times New Roman"/>
          <w:bCs/>
          <w:sz w:val="24"/>
          <w:szCs w:val="24"/>
          <w:lang w:val="es-EC" w:eastAsia="es-ES"/>
        </w:rPr>
        <w:t xml:space="preserve">Los carbohidratos y cenizas (6.47 </w:t>
      </w:r>
      <w:r w:rsidR="00A470F0">
        <w:rPr>
          <w:rFonts w:cs="Times New Roman"/>
          <w:sz w:val="24"/>
          <w:szCs w:val="24"/>
          <w:lang w:val="es-EC"/>
        </w:rPr>
        <w:t xml:space="preserve">± </w:t>
      </w:r>
      <w:r w:rsidRPr="008226DF">
        <w:rPr>
          <w:rFonts w:cs="Times New Roman"/>
          <w:sz w:val="24"/>
          <w:szCs w:val="24"/>
          <w:lang w:val="es-EC"/>
        </w:rPr>
        <w:t>0.13</w:t>
      </w:r>
      <w:r w:rsidR="00A470F0">
        <w:rPr>
          <w:rFonts w:cs="Times New Roman"/>
          <w:sz w:val="24"/>
          <w:szCs w:val="24"/>
          <w:lang w:val="es-EC"/>
        </w:rPr>
        <w:t xml:space="preserve"> </w:t>
      </w:r>
      <w:r w:rsidRPr="008226DF">
        <w:rPr>
          <w:rFonts w:cs="Times New Roman"/>
          <w:sz w:val="24"/>
          <w:szCs w:val="24"/>
          <w:lang w:val="es-EC"/>
        </w:rPr>
        <w:t xml:space="preserve">% y 0.97 </w:t>
      </w:r>
      <w:r w:rsidR="00A470F0">
        <w:rPr>
          <w:rFonts w:cs="Times New Roman"/>
          <w:sz w:val="24"/>
          <w:szCs w:val="24"/>
          <w:lang w:val="es-EC"/>
        </w:rPr>
        <w:t xml:space="preserve">± </w:t>
      </w:r>
      <w:r w:rsidRPr="008226DF">
        <w:rPr>
          <w:rFonts w:cs="Times New Roman"/>
          <w:sz w:val="24"/>
          <w:szCs w:val="24"/>
          <w:lang w:val="es-EC"/>
        </w:rPr>
        <w:t>0.06</w:t>
      </w:r>
      <w:r w:rsidR="00A470F0">
        <w:rPr>
          <w:rFonts w:cs="Times New Roman"/>
          <w:sz w:val="24"/>
          <w:szCs w:val="24"/>
          <w:lang w:val="es-EC"/>
        </w:rPr>
        <w:t xml:space="preserve"> </w:t>
      </w:r>
      <w:r w:rsidRPr="008226DF">
        <w:rPr>
          <w:rFonts w:cs="Times New Roman"/>
          <w:sz w:val="24"/>
          <w:szCs w:val="24"/>
          <w:lang w:val="es-EC"/>
        </w:rPr>
        <w:t>%, respectivamente)</w:t>
      </w:r>
      <w:r w:rsidRPr="008226DF">
        <w:rPr>
          <w:rFonts w:cs="Times New Roman"/>
          <w:bCs/>
          <w:sz w:val="24"/>
          <w:szCs w:val="24"/>
          <w:lang w:val="es-EC" w:eastAsia="es-ES"/>
        </w:rPr>
        <w:t xml:space="preserve"> también fueron ligeramente superiores en este sector, lo que indica un mayor acumulado de materia seca energética. Por el contrario, las muestras de Pelileo presentaron valores superiores de fibra cruda (0.75 </w:t>
      </w:r>
      <w:r w:rsidR="00A470F0">
        <w:rPr>
          <w:rFonts w:cs="Times New Roman"/>
          <w:sz w:val="24"/>
          <w:szCs w:val="24"/>
          <w:lang w:val="es-EC"/>
        </w:rPr>
        <w:t xml:space="preserve">± </w:t>
      </w:r>
      <w:r w:rsidRPr="008226DF">
        <w:rPr>
          <w:rFonts w:cs="Times New Roman"/>
          <w:sz w:val="24"/>
          <w:szCs w:val="24"/>
          <w:lang w:val="es-EC"/>
        </w:rPr>
        <w:t>0.02</w:t>
      </w:r>
      <w:r w:rsidR="00A470F0">
        <w:rPr>
          <w:rFonts w:cs="Times New Roman"/>
          <w:sz w:val="24"/>
          <w:szCs w:val="24"/>
          <w:lang w:val="es-EC"/>
        </w:rPr>
        <w:t xml:space="preserve"> </w:t>
      </w:r>
      <w:r w:rsidRPr="008226DF">
        <w:rPr>
          <w:rFonts w:cs="Times New Roman"/>
          <w:bCs/>
          <w:sz w:val="24"/>
          <w:szCs w:val="24"/>
          <w:lang w:val="es-EC" w:eastAsia="es-ES"/>
        </w:rPr>
        <w:t xml:space="preserve">%) y extracto etéreo (0.25 </w:t>
      </w:r>
      <w:r w:rsidR="00A470F0">
        <w:rPr>
          <w:rFonts w:cs="Times New Roman"/>
          <w:sz w:val="24"/>
          <w:szCs w:val="24"/>
          <w:lang w:val="es-EC"/>
        </w:rPr>
        <w:t xml:space="preserve">± </w:t>
      </w:r>
      <w:r w:rsidRPr="008226DF">
        <w:rPr>
          <w:rFonts w:cs="Times New Roman"/>
          <w:sz w:val="24"/>
          <w:szCs w:val="24"/>
          <w:lang w:val="es-EC"/>
        </w:rPr>
        <w:t>0.01</w:t>
      </w:r>
      <w:r w:rsidR="00A470F0">
        <w:rPr>
          <w:rFonts w:cs="Times New Roman"/>
          <w:sz w:val="24"/>
          <w:szCs w:val="24"/>
          <w:lang w:val="es-EC"/>
        </w:rPr>
        <w:t xml:space="preserve"> </w:t>
      </w:r>
      <w:r w:rsidRPr="008226DF">
        <w:rPr>
          <w:rFonts w:cs="Times New Roman"/>
          <w:sz w:val="24"/>
          <w:szCs w:val="24"/>
          <w:lang w:val="es-EC"/>
        </w:rPr>
        <w:t>%</w:t>
      </w:r>
      <w:r w:rsidRPr="008226DF">
        <w:rPr>
          <w:rFonts w:cs="Times New Roman"/>
          <w:bCs/>
          <w:sz w:val="24"/>
          <w:szCs w:val="24"/>
          <w:lang w:val="es-EC" w:eastAsia="es-ES"/>
        </w:rPr>
        <w:t xml:space="preserve">). La elevada humedad detectada en ambos sectores (88.07 </w:t>
      </w:r>
      <w:r w:rsidR="00A470F0">
        <w:rPr>
          <w:rFonts w:cs="Times New Roman"/>
          <w:sz w:val="24"/>
          <w:szCs w:val="24"/>
          <w:lang w:val="es-EC"/>
        </w:rPr>
        <w:t xml:space="preserve">± </w:t>
      </w:r>
      <w:r w:rsidRPr="008226DF">
        <w:rPr>
          <w:rFonts w:cs="Times New Roman"/>
          <w:sz w:val="24"/>
          <w:szCs w:val="24"/>
          <w:lang w:val="es-EC"/>
        </w:rPr>
        <w:t>0.08</w:t>
      </w:r>
      <w:r w:rsidR="00A470F0">
        <w:rPr>
          <w:rFonts w:cs="Times New Roman"/>
          <w:sz w:val="24"/>
          <w:szCs w:val="24"/>
          <w:lang w:val="es-EC"/>
        </w:rPr>
        <w:t xml:space="preserve"> % </w:t>
      </w:r>
      <w:r w:rsidRPr="008226DF">
        <w:rPr>
          <w:rFonts w:cs="Times New Roman"/>
          <w:sz w:val="24"/>
          <w:szCs w:val="24"/>
          <w:lang w:val="es-EC"/>
        </w:rPr>
        <w:t>en Guamote y 88.72</w:t>
      </w:r>
      <w:r w:rsidR="00A470F0">
        <w:rPr>
          <w:rFonts w:cs="Times New Roman"/>
          <w:sz w:val="24"/>
          <w:szCs w:val="24"/>
          <w:lang w:val="es-EC"/>
        </w:rPr>
        <w:t xml:space="preserve"> ± </w:t>
      </w:r>
      <w:r w:rsidRPr="008226DF">
        <w:rPr>
          <w:rFonts w:cs="Times New Roman"/>
          <w:sz w:val="24"/>
          <w:szCs w:val="24"/>
          <w:lang w:val="es-EC"/>
        </w:rPr>
        <w:t>0.08</w:t>
      </w:r>
      <w:r w:rsidR="00A470F0">
        <w:rPr>
          <w:rFonts w:cs="Times New Roman"/>
          <w:sz w:val="24"/>
          <w:szCs w:val="24"/>
          <w:lang w:val="es-EC"/>
        </w:rPr>
        <w:t xml:space="preserve"> %</w:t>
      </w:r>
      <w:r w:rsidRPr="008226DF">
        <w:rPr>
          <w:rFonts w:cs="Times New Roman"/>
          <w:sz w:val="24"/>
          <w:szCs w:val="24"/>
          <w:lang w:val="es-EC"/>
        </w:rPr>
        <w:t>en Pelileo</w:t>
      </w:r>
      <w:r w:rsidRPr="008226DF">
        <w:rPr>
          <w:rFonts w:cs="Times New Roman"/>
          <w:bCs/>
          <w:sz w:val="24"/>
          <w:szCs w:val="24"/>
          <w:lang w:val="es-EC" w:eastAsia="es-ES"/>
        </w:rPr>
        <w:t>) corrobora la naturaleza perecedera del tubérculo fresco.</w:t>
      </w:r>
    </w:p>
    <w:p w14:paraId="6AA38E52" w14:textId="2BEF9F2A" w:rsidR="008874BE" w:rsidRPr="005D4160" w:rsidRDefault="008874BE" w:rsidP="008226DF">
      <w:pPr>
        <w:rPr>
          <w:rFonts w:ascii="Arial Narrow" w:hAnsi="Arial Narrow" w:cs="Times New Roman"/>
          <w:b/>
          <w:bCs/>
          <w:sz w:val="20"/>
          <w:szCs w:val="20"/>
        </w:rPr>
      </w:pPr>
      <w:bookmarkStart w:id="10" w:name="_Toc235870231"/>
      <w:r w:rsidRPr="005D4160">
        <w:rPr>
          <w:rFonts w:ascii="Arial Narrow" w:hAnsi="Arial Narrow" w:cs="Times New Roman"/>
          <w:b/>
          <w:bCs/>
          <w:sz w:val="20"/>
          <w:szCs w:val="20"/>
        </w:rPr>
        <w:t xml:space="preserve">Tabla </w:t>
      </w:r>
      <w:r w:rsidR="0061776D" w:rsidRPr="005D4160">
        <w:rPr>
          <w:rFonts w:ascii="Arial Narrow" w:hAnsi="Arial Narrow" w:cs="Times New Roman"/>
          <w:b/>
          <w:bCs/>
          <w:sz w:val="20"/>
          <w:szCs w:val="20"/>
        </w:rPr>
        <w:t xml:space="preserve">2. </w:t>
      </w:r>
      <w:r w:rsidRPr="005D4160">
        <w:rPr>
          <w:rFonts w:ascii="Arial Narrow" w:hAnsi="Arial Narrow" w:cs="Times New Roman"/>
          <w:i/>
          <w:iCs/>
          <w:sz w:val="20"/>
          <w:szCs w:val="20"/>
        </w:rPr>
        <w:t>Análisis</w:t>
      </w:r>
      <w:r w:rsidRPr="005D4160">
        <w:rPr>
          <w:rFonts w:ascii="Arial Narrow" w:hAnsi="Arial Narrow" w:cs="Times New Roman"/>
          <w:i/>
          <w:iCs/>
          <w:spacing w:val="-3"/>
          <w:sz w:val="20"/>
          <w:szCs w:val="20"/>
        </w:rPr>
        <w:t xml:space="preserve"> </w:t>
      </w:r>
      <w:r w:rsidRPr="005D4160">
        <w:rPr>
          <w:rFonts w:ascii="Arial Narrow" w:hAnsi="Arial Narrow" w:cs="Times New Roman"/>
          <w:i/>
          <w:iCs/>
          <w:sz w:val="20"/>
          <w:szCs w:val="20"/>
        </w:rPr>
        <w:t>proximal</w:t>
      </w:r>
      <w:r w:rsidRPr="005D4160">
        <w:rPr>
          <w:rFonts w:ascii="Arial Narrow" w:hAnsi="Arial Narrow" w:cs="Times New Roman"/>
          <w:i/>
          <w:iCs/>
          <w:spacing w:val="-5"/>
          <w:sz w:val="20"/>
          <w:szCs w:val="20"/>
        </w:rPr>
        <w:t xml:space="preserve"> </w:t>
      </w:r>
      <w:r w:rsidRPr="005D4160">
        <w:rPr>
          <w:rFonts w:ascii="Arial Narrow" w:hAnsi="Arial Narrow" w:cs="Times New Roman"/>
          <w:i/>
          <w:iCs/>
          <w:sz w:val="20"/>
          <w:szCs w:val="20"/>
        </w:rPr>
        <w:t>de</w:t>
      </w:r>
      <w:r w:rsidRPr="005D4160">
        <w:rPr>
          <w:rFonts w:ascii="Arial Narrow" w:hAnsi="Arial Narrow" w:cs="Times New Roman"/>
          <w:i/>
          <w:iCs/>
          <w:spacing w:val="-5"/>
          <w:sz w:val="20"/>
          <w:szCs w:val="20"/>
        </w:rPr>
        <w:t xml:space="preserve"> </w:t>
      </w:r>
      <w:r w:rsidRPr="005D4160">
        <w:rPr>
          <w:rFonts w:ascii="Arial Narrow" w:hAnsi="Arial Narrow" w:cs="Times New Roman"/>
          <w:i/>
          <w:iCs/>
          <w:sz w:val="20"/>
          <w:szCs w:val="20"/>
        </w:rPr>
        <w:t>los tubérculos</w:t>
      </w:r>
      <w:r w:rsidRPr="005D4160">
        <w:rPr>
          <w:rFonts w:ascii="Arial Narrow" w:hAnsi="Arial Narrow" w:cs="Times New Roman"/>
          <w:i/>
          <w:iCs/>
          <w:spacing w:val="-5"/>
          <w:sz w:val="20"/>
          <w:szCs w:val="20"/>
        </w:rPr>
        <w:t xml:space="preserve"> </w:t>
      </w:r>
      <w:r w:rsidRPr="005D4160">
        <w:rPr>
          <w:rFonts w:ascii="Arial Narrow" w:hAnsi="Arial Narrow" w:cs="Times New Roman"/>
          <w:i/>
          <w:iCs/>
          <w:sz w:val="20"/>
          <w:szCs w:val="20"/>
        </w:rPr>
        <w:t>de</w:t>
      </w:r>
      <w:r w:rsidRPr="005D4160">
        <w:rPr>
          <w:rFonts w:ascii="Arial Narrow" w:hAnsi="Arial Narrow" w:cs="Times New Roman"/>
          <w:i/>
          <w:iCs/>
          <w:spacing w:val="-4"/>
          <w:sz w:val="20"/>
          <w:szCs w:val="20"/>
        </w:rPr>
        <w:t xml:space="preserve"> </w:t>
      </w:r>
      <w:proofErr w:type="spellStart"/>
      <w:r w:rsidRPr="005D4160">
        <w:rPr>
          <w:rFonts w:ascii="Arial Narrow" w:hAnsi="Arial Narrow" w:cs="Times New Roman"/>
          <w:i/>
          <w:iCs/>
          <w:spacing w:val="-2"/>
          <w:sz w:val="20"/>
          <w:szCs w:val="20"/>
        </w:rPr>
        <w:t>mashua</w:t>
      </w:r>
      <w:bookmarkEnd w:id="10"/>
      <w:proofErr w:type="spellEnd"/>
    </w:p>
    <w:p w14:paraId="029EA640" w14:textId="7BA80ACA" w:rsidR="000E4CCB" w:rsidRDefault="000E4CCB" w:rsidP="008226DF">
      <w:pPr>
        <w:pStyle w:val="BodyText"/>
        <w:spacing w:line="276" w:lineRule="auto"/>
        <w:rPr>
          <w:rFonts w:ascii="Times New Roman" w:hAnsi="Times New Roman" w:cs="Times New Roman"/>
          <w:iCs/>
          <w:sz w:val="18"/>
          <w:szCs w:val="18"/>
        </w:rPr>
      </w:pPr>
      <w:r w:rsidRPr="000E4CCB">
        <w:rPr>
          <w:noProof/>
        </w:rPr>
        <w:drawing>
          <wp:inline distT="0" distB="0" distL="0" distR="0" wp14:anchorId="4AA07847" wp14:editId="0FC1C052">
            <wp:extent cx="4207329" cy="1710008"/>
            <wp:effectExtent l="0" t="0" r="3175" b="5080"/>
            <wp:docPr id="625566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66167" name=""/>
                    <pic:cNvPicPr/>
                  </pic:nvPicPr>
                  <pic:blipFill>
                    <a:blip r:embed="rId15"/>
                    <a:stretch>
                      <a:fillRect/>
                    </a:stretch>
                  </pic:blipFill>
                  <pic:spPr>
                    <a:xfrm>
                      <a:off x="0" y="0"/>
                      <a:ext cx="4222527" cy="1716185"/>
                    </a:xfrm>
                    <a:prstGeom prst="rect">
                      <a:avLst/>
                    </a:prstGeom>
                  </pic:spPr>
                </pic:pic>
              </a:graphicData>
            </a:graphic>
          </wp:inline>
        </w:drawing>
      </w:r>
    </w:p>
    <w:p w14:paraId="4ADDEC3F" w14:textId="31F3AB75" w:rsidR="00F051E1" w:rsidRPr="008226DF" w:rsidRDefault="008874BE" w:rsidP="005D4160">
      <w:pPr>
        <w:pStyle w:val="BodyText"/>
        <w:spacing w:line="276" w:lineRule="auto"/>
        <w:jc w:val="right"/>
        <w:rPr>
          <w:rFonts w:ascii="Times New Roman" w:hAnsi="Times New Roman" w:cs="Times New Roman"/>
          <w:iCs/>
          <w:sz w:val="18"/>
          <w:szCs w:val="18"/>
          <w:lang w:val="es-EC"/>
        </w:rPr>
      </w:pPr>
      <w:r w:rsidRPr="005C151C">
        <w:rPr>
          <w:rFonts w:ascii="Arial Narrow" w:hAnsi="Arial Narrow" w:cs="Times New Roman"/>
          <w:iCs/>
          <w:sz w:val="20"/>
          <w:szCs w:val="20"/>
        </w:rPr>
        <w:t xml:space="preserve">Nota: </w:t>
      </w:r>
      <w:r w:rsidRPr="005C151C">
        <w:rPr>
          <w:rFonts w:ascii="Arial Narrow" w:hAnsi="Arial Narrow" w:cs="Times New Roman"/>
          <w:iCs/>
          <w:sz w:val="20"/>
          <w:szCs w:val="20"/>
          <w:lang w:val="es-EC"/>
        </w:rPr>
        <w:t>Medias con letras diferentes indican diferencias significativas entre tratamientos (p &lt;</w:t>
      </w:r>
      <w:r w:rsidRPr="008226DF">
        <w:rPr>
          <w:rFonts w:ascii="Times New Roman" w:hAnsi="Times New Roman" w:cs="Times New Roman"/>
          <w:iCs/>
          <w:sz w:val="18"/>
          <w:szCs w:val="18"/>
          <w:lang w:val="es-EC"/>
        </w:rPr>
        <w:t xml:space="preserve"> 0.05).</w:t>
      </w:r>
    </w:p>
    <w:p w14:paraId="1135BC40" w14:textId="3674C422" w:rsidR="008874BE" w:rsidRPr="00C44CC7" w:rsidRDefault="001A6BC8" w:rsidP="00C44CC7">
      <w:pPr>
        <w:pStyle w:val="Fuente"/>
        <w:rPr>
          <w:lang w:eastAsia="es-ES"/>
        </w:rPr>
      </w:pPr>
      <w:r w:rsidRPr="003E66FB">
        <w:t xml:space="preserve">Fuente: </w:t>
      </w:r>
      <w:r>
        <w:t>elaboración propia</w:t>
      </w:r>
    </w:p>
    <w:p w14:paraId="5DD136C3" w14:textId="52D772F4" w:rsidR="008874BE" w:rsidRPr="008226DF" w:rsidRDefault="008874BE" w:rsidP="00C44CC7">
      <w:pPr>
        <w:rPr>
          <w:rFonts w:cs="Times New Roman"/>
          <w:sz w:val="24"/>
          <w:szCs w:val="24"/>
        </w:rPr>
      </w:pPr>
      <w:r w:rsidRPr="008226DF">
        <w:rPr>
          <w:rFonts w:cs="Times New Roman"/>
          <w:sz w:val="24"/>
          <w:szCs w:val="24"/>
        </w:rPr>
        <w:t xml:space="preserve">En </w:t>
      </w:r>
      <w:r w:rsidR="00C44CC7">
        <w:rPr>
          <w:rFonts w:cs="Times New Roman"/>
          <w:sz w:val="24"/>
          <w:szCs w:val="24"/>
        </w:rPr>
        <w:t>el Gráfico 2</w:t>
      </w:r>
      <w:r w:rsidRPr="008226DF">
        <w:rPr>
          <w:rFonts w:cs="Times New Roman"/>
          <w:sz w:val="24"/>
          <w:szCs w:val="24"/>
        </w:rPr>
        <w:t xml:space="preserve"> se presenta el comportamiento de las fracciones proximales, donde se aprecia claramente el efecto del sector de origen sobre la composición química de las muestras. La separación metodológica del gráfico en dos paneles permitió resolver la distorsión de escala provocada por el alto contenido de humedad.</w:t>
      </w:r>
    </w:p>
    <w:p w14:paraId="22143FAD" w14:textId="656230D0" w:rsidR="008874BE" w:rsidRPr="00C80D68" w:rsidRDefault="00672554" w:rsidP="00672554">
      <w:pPr>
        <w:pStyle w:val="Figuras"/>
        <w:rPr>
          <w:b/>
          <w:bCs/>
          <w:lang w:val="es-ES"/>
        </w:rPr>
      </w:pPr>
      <w:bookmarkStart w:id="11" w:name="_Toc235868028"/>
      <w:r>
        <w:rPr>
          <w:b/>
          <w:bCs/>
        </w:rPr>
        <w:lastRenderedPageBreak/>
        <w:t>GRÁFICO</w:t>
      </w:r>
      <w:r w:rsidR="008874BE" w:rsidRPr="008226DF">
        <w:rPr>
          <w:b/>
          <w:bCs/>
        </w:rPr>
        <w:t xml:space="preserve"> </w:t>
      </w:r>
      <w:r>
        <w:rPr>
          <w:b/>
          <w:bCs/>
        </w:rPr>
        <w:t>2</w:t>
      </w:r>
      <w:r w:rsidR="00C80D68">
        <w:rPr>
          <w:b/>
          <w:bCs/>
        </w:rPr>
        <w:t xml:space="preserve">. </w:t>
      </w:r>
      <w:r w:rsidR="008874BE" w:rsidRPr="008226DF">
        <w:t xml:space="preserve">Perfil proximal comparativo de tubérculos frescos de </w:t>
      </w:r>
      <w:proofErr w:type="spellStart"/>
      <w:r w:rsidR="008874BE" w:rsidRPr="008226DF">
        <w:t>mashua</w:t>
      </w:r>
      <w:proofErr w:type="spellEnd"/>
      <w:r w:rsidR="008874BE" w:rsidRPr="008226DF">
        <w:t xml:space="preserve"> entre localidades.</w:t>
      </w:r>
      <w:bookmarkEnd w:id="11"/>
    </w:p>
    <w:p w14:paraId="7DDB918E" w14:textId="77777777" w:rsidR="008874BE" w:rsidRPr="008226DF" w:rsidRDefault="008874BE" w:rsidP="008226DF">
      <w:pPr>
        <w:spacing w:after="0"/>
        <w:rPr>
          <w:rFonts w:cs="Times New Roman"/>
        </w:rPr>
      </w:pPr>
      <w:r w:rsidRPr="008226DF">
        <w:rPr>
          <w:rFonts w:cs="Times New Roman"/>
          <w:noProof/>
        </w:rPr>
        <w:drawing>
          <wp:inline distT="0" distB="0" distL="0" distR="0" wp14:anchorId="3FD91CCE" wp14:editId="6B9A6B3B">
            <wp:extent cx="3685540" cy="1702352"/>
            <wp:effectExtent l="0" t="0" r="0" b="0"/>
            <wp:docPr id="1229031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31908" name=""/>
                    <pic:cNvPicPr/>
                  </pic:nvPicPr>
                  <pic:blipFill>
                    <a:blip r:embed="rId16"/>
                    <a:stretch>
                      <a:fillRect/>
                    </a:stretch>
                  </pic:blipFill>
                  <pic:spPr>
                    <a:xfrm>
                      <a:off x="0" y="0"/>
                      <a:ext cx="3695654" cy="1707024"/>
                    </a:xfrm>
                    <a:prstGeom prst="rect">
                      <a:avLst/>
                    </a:prstGeom>
                  </pic:spPr>
                </pic:pic>
              </a:graphicData>
            </a:graphic>
          </wp:inline>
        </w:drawing>
      </w:r>
    </w:p>
    <w:p w14:paraId="205A0E45" w14:textId="1573ADF0" w:rsidR="007E2742" w:rsidRPr="00C437FC" w:rsidRDefault="008874BE" w:rsidP="00C437FC">
      <w:pPr>
        <w:pStyle w:val="BodyText"/>
        <w:spacing w:line="276" w:lineRule="auto"/>
        <w:jc w:val="right"/>
        <w:rPr>
          <w:rFonts w:ascii="Times New Roman" w:hAnsi="Times New Roman" w:cs="Times New Roman"/>
          <w:iCs/>
          <w:sz w:val="18"/>
          <w:szCs w:val="18"/>
          <w:lang w:val="es-EC"/>
        </w:rPr>
      </w:pPr>
      <w:r w:rsidRPr="008226DF">
        <w:rPr>
          <w:rFonts w:ascii="Times New Roman" w:hAnsi="Times New Roman" w:cs="Times New Roman"/>
          <w:iCs/>
          <w:sz w:val="18"/>
          <w:szCs w:val="18"/>
        </w:rPr>
        <w:t xml:space="preserve">              Nota: </w:t>
      </w:r>
      <w:r w:rsidRPr="008226DF">
        <w:rPr>
          <w:rFonts w:ascii="Times New Roman" w:hAnsi="Times New Roman" w:cs="Times New Roman"/>
          <w:iCs/>
          <w:sz w:val="18"/>
          <w:szCs w:val="18"/>
          <w:lang w:val="es-EC"/>
        </w:rPr>
        <w:t>Medias con letras diferentes indican diferencias significativas entre tratamientos (p &lt; 0.05).</w:t>
      </w:r>
    </w:p>
    <w:p w14:paraId="740C7DA7" w14:textId="45BFE6AC" w:rsidR="00CE0F4B" w:rsidRDefault="002A43CD" w:rsidP="00B230C0">
      <w:pPr>
        <w:pStyle w:val="Heading1"/>
        <w:spacing w:after="0"/>
        <w:jc w:val="both"/>
        <w:rPr>
          <w:rFonts w:cs="Times New Roman"/>
          <w:szCs w:val="24"/>
        </w:rPr>
      </w:pPr>
      <w:r w:rsidRPr="00B230C0">
        <w:rPr>
          <w:rFonts w:cs="Times New Roman"/>
          <w:szCs w:val="24"/>
        </w:rPr>
        <w:t xml:space="preserve">5. </w:t>
      </w:r>
      <w:r w:rsidR="00CE0F4B" w:rsidRPr="00B230C0">
        <w:rPr>
          <w:rFonts w:cs="Times New Roman"/>
          <w:szCs w:val="24"/>
        </w:rPr>
        <w:t>discusión</w:t>
      </w:r>
    </w:p>
    <w:p w14:paraId="2DF1AFF6" w14:textId="2F3D8341" w:rsidR="007E2742" w:rsidRPr="00B230C0" w:rsidRDefault="007E2742" w:rsidP="00B230C0">
      <w:pPr>
        <w:spacing w:after="0"/>
        <w:rPr>
          <w:rFonts w:cs="Times New Roman"/>
          <w:sz w:val="24"/>
          <w:szCs w:val="24"/>
        </w:rPr>
      </w:pPr>
      <w:r w:rsidRPr="00B230C0">
        <w:rPr>
          <w:rFonts w:cs="Times New Roman"/>
          <w:sz w:val="24"/>
          <w:szCs w:val="24"/>
        </w:rPr>
        <w:t xml:space="preserve">La diferencia </w:t>
      </w:r>
      <w:r w:rsidR="00B703CF">
        <w:rPr>
          <w:rFonts w:cs="Times New Roman"/>
          <w:sz w:val="24"/>
          <w:szCs w:val="24"/>
        </w:rPr>
        <w:t xml:space="preserve">observada </w:t>
      </w:r>
      <w:r w:rsidRPr="00B230C0">
        <w:rPr>
          <w:rFonts w:cs="Times New Roman"/>
          <w:sz w:val="24"/>
          <w:szCs w:val="24"/>
        </w:rPr>
        <w:t xml:space="preserve">en el rendimiento físico de los tubérculos provenientes de Guamote frente a los de Pelileo </w:t>
      </w:r>
      <w:r w:rsidR="00BA3B31" w:rsidRPr="00B230C0">
        <w:rPr>
          <w:rFonts w:cs="Times New Roman"/>
          <w:sz w:val="24"/>
          <w:szCs w:val="24"/>
        </w:rPr>
        <w:t>concuerda con los señalado por Tapia et al. (2021) y Velasco-Lozano et al. (2023), quienes afirman que la morfometría de los ejemplares andinos está fuertemente influenciada por la interacción genotipo-ambiente. Las zonas altas de la provincia del Chimborazo (como Guamote) suelen presentar condiciones de estrés térmico moderado y altitudes que estimulan mecanismos fisiológicos de reserva, induciendo una mayor traslocación de carbohidratos hacia el tubérculo, lo que conlleva a calibres y pesos significativamente mayores.</w:t>
      </w:r>
      <w:r w:rsidR="00525F53" w:rsidRPr="00B230C0">
        <w:rPr>
          <w:rFonts w:cs="Times New Roman"/>
          <w:sz w:val="24"/>
          <w:szCs w:val="24"/>
        </w:rPr>
        <w:t xml:space="preserve"> </w:t>
      </w:r>
    </w:p>
    <w:p w14:paraId="7CA207B3" w14:textId="05CCC972" w:rsidR="00525F53" w:rsidRPr="00B230C0" w:rsidRDefault="00525F53" w:rsidP="00B230C0">
      <w:pPr>
        <w:spacing w:after="0"/>
        <w:rPr>
          <w:rFonts w:cs="Times New Roman"/>
          <w:sz w:val="24"/>
          <w:szCs w:val="24"/>
        </w:rPr>
      </w:pPr>
      <w:r w:rsidRPr="00B230C0">
        <w:rPr>
          <w:rFonts w:cs="Times New Roman"/>
          <w:sz w:val="24"/>
          <w:szCs w:val="24"/>
        </w:rPr>
        <w:t xml:space="preserve">La relación entre el diámetro mayor (calibre mayor) y la longitud en ambos sectores confirme la tendencia de la </w:t>
      </w:r>
      <w:proofErr w:type="spellStart"/>
      <w:r w:rsidRPr="00B230C0">
        <w:rPr>
          <w:rFonts w:cs="Times New Roman"/>
          <w:sz w:val="24"/>
          <w:szCs w:val="24"/>
        </w:rPr>
        <w:t>mashua</w:t>
      </w:r>
      <w:proofErr w:type="spellEnd"/>
      <w:r w:rsidRPr="00B230C0">
        <w:rPr>
          <w:rFonts w:cs="Times New Roman"/>
          <w:sz w:val="24"/>
          <w:szCs w:val="24"/>
        </w:rPr>
        <w:t xml:space="preserve"> a desarrollar formas marcadamente cónicas y alargadas. Este comportamiento morfológico característico ha sido reportado por Apaza et al. (2022), </w:t>
      </w:r>
      <w:r w:rsidR="00FB7B32" w:rsidRPr="00B230C0">
        <w:rPr>
          <w:rFonts w:cs="Times New Roman"/>
          <w:sz w:val="24"/>
          <w:szCs w:val="24"/>
        </w:rPr>
        <w:t>quienes</w:t>
      </w:r>
      <w:r w:rsidRPr="00B230C0">
        <w:rPr>
          <w:rFonts w:cs="Times New Roman"/>
          <w:sz w:val="24"/>
          <w:szCs w:val="24"/>
        </w:rPr>
        <w:t xml:space="preserve"> indican que la longitud </w:t>
      </w:r>
      <w:r w:rsidR="00FB7B32" w:rsidRPr="00B230C0">
        <w:rPr>
          <w:rFonts w:cs="Times New Roman"/>
          <w:sz w:val="24"/>
          <w:szCs w:val="24"/>
        </w:rPr>
        <w:t>de este cultivo suele superar ampliamente a sus diámetros ecuatoriales debido a la distribución de sus yemas y patrones de elongación celular.</w:t>
      </w:r>
    </w:p>
    <w:p w14:paraId="24218EEC" w14:textId="77777777" w:rsidR="00C44CC7" w:rsidRPr="00B230C0" w:rsidRDefault="00C44CC7" w:rsidP="00B230C0">
      <w:pPr>
        <w:pStyle w:val="BodyText"/>
        <w:spacing w:before="1" w:after="0" w:line="276" w:lineRule="auto"/>
        <w:jc w:val="both"/>
        <w:rPr>
          <w:rFonts w:ascii="Times New Roman" w:hAnsi="Times New Roman" w:cs="Times New Roman"/>
          <w:sz w:val="24"/>
          <w:szCs w:val="24"/>
          <w:lang w:val="es-EC"/>
        </w:rPr>
      </w:pPr>
      <w:r w:rsidRPr="00B230C0">
        <w:rPr>
          <w:rFonts w:ascii="Times New Roman" w:hAnsi="Times New Roman" w:cs="Times New Roman"/>
          <w:sz w:val="24"/>
          <w:szCs w:val="24"/>
          <w:lang w:val="es-EC"/>
        </w:rPr>
        <w:t xml:space="preserve">Las variaciones en la composición proximal de los tubérculos provenientes de Guamote </w:t>
      </w:r>
      <w:r w:rsidRPr="00B230C0">
        <w:rPr>
          <w:rFonts w:ascii="Times New Roman" w:hAnsi="Times New Roman" w:cs="Times New Roman"/>
          <w:bCs/>
          <w:sz w:val="24"/>
          <w:szCs w:val="24"/>
          <w:lang w:val="es-EC" w:eastAsia="es-ES"/>
        </w:rPr>
        <w:t xml:space="preserve">pueden atribuirse a las diferencias en las </w:t>
      </w:r>
      <w:r w:rsidRPr="00B230C0">
        <w:rPr>
          <w:rFonts w:ascii="Times New Roman" w:hAnsi="Times New Roman" w:cs="Times New Roman"/>
          <w:bCs/>
          <w:sz w:val="24"/>
          <w:szCs w:val="24"/>
          <w:lang w:val="es-EC" w:eastAsia="es-ES"/>
        </w:rPr>
        <w:lastRenderedPageBreak/>
        <w:t>propiedades físicas y químicas del suelo y la altitud de ambas localidades, factores que modulan el metabolismo secundario y la acumulación de nutrientes en los cultivos andinos.</w:t>
      </w:r>
    </w:p>
    <w:p w14:paraId="00BBD688" w14:textId="19F177C1" w:rsidR="00FB7B32" w:rsidRPr="004563E2" w:rsidRDefault="00B62B81" w:rsidP="004563E2">
      <w:pPr>
        <w:rPr>
          <w:lang w:val="es-EC"/>
        </w:rPr>
      </w:pPr>
      <w:r w:rsidRPr="008876FB">
        <w:rPr>
          <w:lang w:val="es-EC"/>
        </w:rPr>
        <w:t xml:space="preserve">Por otra parte, la alta humedad inicial (&gt;88%) constata la elevada susceptibilidad a la degradación </w:t>
      </w:r>
      <w:proofErr w:type="spellStart"/>
      <w:r w:rsidRPr="008876FB">
        <w:rPr>
          <w:lang w:val="es-EC"/>
        </w:rPr>
        <w:t>poscosecha</w:t>
      </w:r>
      <w:proofErr w:type="spellEnd"/>
      <w:r w:rsidRPr="008876FB">
        <w:rPr>
          <w:lang w:val="es-EC"/>
        </w:rPr>
        <w:t>. Esto justifica la necesidad de aplicar procesos de deshidratación y transformación en harinas funcionales para su incorporación en matrices alimentarias como panificados o extruidos (Acurio Arcos et al., 2025; Luera-Quiñones et al., 2025).</w:t>
      </w:r>
    </w:p>
    <w:p w14:paraId="568F694A" w14:textId="337BD443" w:rsidR="004307D4" w:rsidRPr="008226DF" w:rsidRDefault="00721EBE" w:rsidP="008226DF">
      <w:pPr>
        <w:pStyle w:val="Heading1"/>
        <w:rPr>
          <w:rFonts w:cs="Times New Roman"/>
        </w:rPr>
      </w:pPr>
      <w:r w:rsidRPr="008226DF">
        <w:rPr>
          <w:rFonts w:cs="Times New Roman"/>
          <w:caps w:val="0"/>
        </w:rPr>
        <w:t>6.</w:t>
      </w:r>
      <w:r w:rsidRPr="008226DF">
        <w:rPr>
          <w:rFonts w:cs="Times New Roman"/>
        </w:rPr>
        <w:t xml:space="preserve"> </w:t>
      </w:r>
      <w:r w:rsidR="004307D4" w:rsidRPr="008226DF">
        <w:rPr>
          <w:rFonts w:cs="Times New Roman"/>
        </w:rPr>
        <w:t xml:space="preserve">conclusiones </w:t>
      </w:r>
    </w:p>
    <w:p w14:paraId="561B5B78" w14:textId="77777777" w:rsidR="00DA6D00" w:rsidRDefault="00DA6D00">
      <w:pPr>
        <w:pStyle w:val="ListParagraph"/>
        <w:numPr>
          <w:ilvl w:val="0"/>
          <w:numId w:val="7"/>
        </w:numPr>
        <w:spacing w:before="0" w:after="0"/>
        <w:ind w:left="709" w:hanging="283"/>
        <w:rPr>
          <w:rFonts w:cs="Times New Roman"/>
          <w:sz w:val="24"/>
          <w:szCs w:val="24"/>
          <w:lang w:val="es-EC"/>
        </w:rPr>
      </w:pPr>
      <w:r w:rsidRPr="008226DF">
        <w:rPr>
          <w:rFonts w:cs="Times New Roman"/>
          <w:sz w:val="24"/>
          <w:szCs w:val="24"/>
          <w:lang w:val="es-EC"/>
        </w:rPr>
        <w:t xml:space="preserve">Los tubérculos de </w:t>
      </w:r>
      <w:proofErr w:type="spellStart"/>
      <w:r w:rsidRPr="008226DF">
        <w:rPr>
          <w:rFonts w:cs="Times New Roman"/>
          <w:sz w:val="24"/>
          <w:szCs w:val="24"/>
          <w:lang w:val="es-EC"/>
        </w:rPr>
        <w:t>mashua</w:t>
      </w:r>
      <w:proofErr w:type="spellEnd"/>
      <w:r w:rsidRPr="008226DF">
        <w:rPr>
          <w:rFonts w:cs="Times New Roman"/>
          <w:sz w:val="24"/>
          <w:szCs w:val="24"/>
          <w:lang w:val="es-EC"/>
        </w:rPr>
        <w:t xml:space="preserve"> (</w:t>
      </w:r>
      <w:r w:rsidRPr="008226DF">
        <w:rPr>
          <w:rFonts w:cs="Times New Roman"/>
          <w:i/>
          <w:iCs/>
          <w:sz w:val="24"/>
          <w:szCs w:val="24"/>
          <w:lang w:val="es-EC"/>
        </w:rPr>
        <w:t xml:space="preserve">Tropaeolum </w:t>
      </w:r>
      <w:proofErr w:type="spellStart"/>
      <w:r w:rsidRPr="008226DF">
        <w:rPr>
          <w:rFonts w:cs="Times New Roman"/>
          <w:i/>
          <w:iCs/>
          <w:sz w:val="24"/>
          <w:szCs w:val="24"/>
          <w:lang w:val="es-EC"/>
        </w:rPr>
        <w:t>tuberosum</w:t>
      </w:r>
      <w:proofErr w:type="spellEnd"/>
      <w:r w:rsidRPr="008226DF">
        <w:rPr>
          <w:rFonts w:cs="Times New Roman"/>
          <w:i/>
          <w:iCs/>
          <w:sz w:val="24"/>
          <w:szCs w:val="24"/>
          <w:lang w:val="es-EC"/>
        </w:rPr>
        <w:t>,</w:t>
      </w:r>
      <w:r w:rsidRPr="008226DF">
        <w:rPr>
          <w:rFonts w:cs="Times New Roman"/>
          <w:sz w:val="24"/>
          <w:szCs w:val="24"/>
          <w:lang w:val="es-EC"/>
        </w:rPr>
        <w:t xml:space="preserve"> variedad amarilla-naranja) provenientes de Guamote, presentaron peso (81.16 g) y longitud (119.60 mm) significativamente superior en comparación con los de Pelileo, lo que conllevó a un mayor aporte proteico en base seca (9.58 % en harina).</w:t>
      </w:r>
    </w:p>
    <w:p w14:paraId="2FA437E5" w14:textId="4A03808C" w:rsidR="00A74344" w:rsidRPr="008226DF" w:rsidRDefault="00A74344">
      <w:pPr>
        <w:pStyle w:val="ListParagraph"/>
        <w:numPr>
          <w:ilvl w:val="0"/>
          <w:numId w:val="7"/>
        </w:numPr>
        <w:spacing w:before="0" w:after="0"/>
        <w:ind w:left="709" w:hanging="283"/>
        <w:rPr>
          <w:rFonts w:cs="Times New Roman"/>
          <w:sz w:val="24"/>
          <w:szCs w:val="24"/>
          <w:lang w:val="es-EC"/>
        </w:rPr>
      </w:pPr>
      <w:r>
        <w:rPr>
          <w:rFonts w:cs="Times New Roman"/>
          <w:sz w:val="24"/>
          <w:szCs w:val="24"/>
          <w:lang w:val="es-EC"/>
        </w:rPr>
        <w:t xml:space="preserve">Las diferencias edafoclimáticas y de </w:t>
      </w:r>
      <w:r w:rsidR="009A32B6">
        <w:rPr>
          <w:rFonts w:cs="Times New Roman"/>
          <w:sz w:val="24"/>
          <w:szCs w:val="24"/>
          <w:lang w:val="es-EC"/>
        </w:rPr>
        <w:t>altitud</w:t>
      </w:r>
      <w:r>
        <w:rPr>
          <w:rFonts w:cs="Times New Roman"/>
          <w:sz w:val="24"/>
          <w:szCs w:val="24"/>
          <w:lang w:val="es-EC"/>
        </w:rPr>
        <w:t xml:space="preserve"> entre las localidades influyen directamente en el metabolismo secundario y la acumulación de macronutrientes del tubérculo, demostrando la alta plasticidad </w:t>
      </w:r>
      <w:r w:rsidR="009A32B6">
        <w:rPr>
          <w:rFonts w:cs="Times New Roman"/>
          <w:sz w:val="24"/>
          <w:szCs w:val="24"/>
          <w:lang w:val="es-EC"/>
        </w:rPr>
        <w:t>fenotípica</w:t>
      </w:r>
      <w:r>
        <w:rPr>
          <w:rFonts w:cs="Times New Roman"/>
          <w:sz w:val="24"/>
          <w:szCs w:val="24"/>
          <w:lang w:val="es-EC"/>
        </w:rPr>
        <w:t xml:space="preserve"> del cultivo andino.</w:t>
      </w:r>
    </w:p>
    <w:p w14:paraId="19AB279C" w14:textId="361FB056" w:rsidR="00DA6D00" w:rsidRPr="00301D73" w:rsidRDefault="00DA6D00" w:rsidP="008226DF">
      <w:pPr>
        <w:pStyle w:val="ListParagraph"/>
        <w:numPr>
          <w:ilvl w:val="0"/>
          <w:numId w:val="7"/>
        </w:numPr>
        <w:tabs>
          <w:tab w:val="left" w:pos="709"/>
        </w:tabs>
        <w:spacing w:before="0" w:after="0"/>
        <w:ind w:left="709" w:hanging="283"/>
        <w:rPr>
          <w:rFonts w:cs="Times New Roman"/>
          <w:sz w:val="24"/>
          <w:szCs w:val="24"/>
          <w:lang w:val="es-EC"/>
        </w:rPr>
      </w:pPr>
      <w:r w:rsidRPr="008226DF">
        <w:rPr>
          <w:rFonts w:cs="Times New Roman"/>
          <w:bCs/>
          <w:sz w:val="24"/>
          <w:szCs w:val="24"/>
          <w:lang w:val="es-EC" w:eastAsia="es-ES"/>
        </w:rPr>
        <w:t xml:space="preserve">La elevada humedad detectada en los tubérculos de ambos sectores </w:t>
      </w:r>
      <w:r w:rsidR="00A74344">
        <w:rPr>
          <w:rFonts w:cs="Times New Roman"/>
          <w:bCs/>
          <w:sz w:val="24"/>
          <w:szCs w:val="24"/>
          <w:lang w:val="es-EC" w:eastAsia="es-ES"/>
        </w:rPr>
        <w:t>(</w:t>
      </w:r>
      <w:r w:rsidR="00A74344" w:rsidRPr="00A74344">
        <w:rPr>
          <w:rFonts w:cs="Times New Roman"/>
          <w:bCs/>
          <w:sz w:val="24"/>
          <w:szCs w:val="24"/>
          <w:lang w:val="es-EC" w:eastAsia="es-ES"/>
        </w:rPr>
        <w:t>&gt;</w:t>
      </w:r>
      <w:r w:rsidR="00A74344">
        <w:rPr>
          <w:rFonts w:cs="Times New Roman"/>
          <w:bCs/>
          <w:sz w:val="24"/>
          <w:szCs w:val="24"/>
          <w:lang w:val="es-EC" w:eastAsia="es-ES"/>
        </w:rPr>
        <w:t xml:space="preserve"> 88 </w:t>
      </w:r>
      <w:r w:rsidR="003409C2">
        <w:rPr>
          <w:rFonts w:cs="Times New Roman"/>
          <w:bCs/>
          <w:sz w:val="24"/>
          <w:szCs w:val="24"/>
          <w:lang w:val="es-EC" w:eastAsia="es-ES"/>
        </w:rPr>
        <w:t>%)</w:t>
      </w:r>
      <w:r w:rsidR="00A74344">
        <w:rPr>
          <w:rFonts w:cs="Times New Roman"/>
          <w:bCs/>
          <w:sz w:val="24"/>
          <w:szCs w:val="24"/>
          <w:lang w:val="es-EC" w:eastAsia="es-ES"/>
        </w:rPr>
        <w:t xml:space="preserve"> </w:t>
      </w:r>
      <w:r w:rsidRPr="008226DF">
        <w:rPr>
          <w:rFonts w:cs="Times New Roman"/>
          <w:bCs/>
          <w:sz w:val="24"/>
          <w:szCs w:val="24"/>
          <w:lang w:val="es-EC" w:eastAsia="es-ES"/>
        </w:rPr>
        <w:t>corrobora la naturaleza perecedera del tubérculo fresco, sugiriendo la necesidad de implementar procesos de transformación agroindustrial</w:t>
      </w:r>
      <w:r w:rsidR="00A74344">
        <w:rPr>
          <w:rFonts w:cs="Times New Roman"/>
          <w:bCs/>
          <w:sz w:val="24"/>
          <w:szCs w:val="24"/>
          <w:lang w:val="es-EC" w:eastAsia="es-ES"/>
        </w:rPr>
        <w:t xml:space="preserve">, como la obtención de harina) </w:t>
      </w:r>
      <w:r w:rsidRPr="008226DF">
        <w:rPr>
          <w:rFonts w:cs="Times New Roman"/>
          <w:bCs/>
          <w:sz w:val="24"/>
          <w:szCs w:val="24"/>
          <w:lang w:val="es-EC" w:eastAsia="es-ES"/>
        </w:rPr>
        <w:t xml:space="preserve">para su conservación y aprovechamiento de sus propiedades </w:t>
      </w:r>
      <w:r w:rsidR="00A74344">
        <w:rPr>
          <w:rFonts w:cs="Times New Roman"/>
          <w:bCs/>
          <w:sz w:val="24"/>
          <w:szCs w:val="24"/>
          <w:lang w:val="es-EC" w:eastAsia="es-ES"/>
        </w:rPr>
        <w:t>nutricionales y bioactivas</w:t>
      </w:r>
      <w:r w:rsidRPr="008226DF">
        <w:rPr>
          <w:rFonts w:cs="Times New Roman"/>
          <w:bCs/>
          <w:sz w:val="24"/>
          <w:szCs w:val="24"/>
          <w:lang w:val="es-EC" w:eastAsia="es-ES"/>
        </w:rPr>
        <w:t>.</w:t>
      </w:r>
    </w:p>
    <w:p w14:paraId="6C5733CD" w14:textId="71B502E5" w:rsidR="002F3733" w:rsidRPr="008226DF" w:rsidRDefault="00721EBE" w:rsidP="008226DF">
      <w:pPr>
        <w:pStyle w:val="Heading1"/>
        <w:rPr>
          <w:rFonts w:cs="Times New Roman"/>
          <w:color w:val="FF0000"/>
        </w:rPr>
      </w:pPr>
      <w:r w:rsidRPr="008226DF">
        <w:rPr>
          <w:rFonts w:cs="Times New Roman"/>
          <w:caps w:val="0"/>
        </w:rPr>
        <w:t>7</w:t>
      </w:r>
      <w:r w:rsidR="00920563" w:rsidRPr="008226DF">
        <w:rPr>
          <w:rFonts w:cs="Times New Roman"/>
          <w:caps w:val="0"/>
        </w:rPr>
        <w:t>.</w:t>
      </w:r>
      <w:r w:rsidRPr="008226DF">
        <w:rPr>
          <w:rFonts w:cs="Times New Roman"/>
        </w:rPr>
        <w:t xml:space="preserve"> </w:t>
      </w:r>
      <w:r w:rsidR="002F3733" w:rsidRPr="008226DF">
        <w:rPr>
          <w:rFonts w:cs="Times New Roman"/>
        </w:rPr>
        <w:t>Agradecimientos</w:t>
      </w:r>
      <w:r w:rsidR="009E664A" w:rsidRPr="008226DF">
        <w:rPr>
          <w:rFonts w:cs="Times New Roman"/>
        </w:rPr>
        <w:t>/</w:t>
      </w:r>
      <w:r w:rsidR="005A43E3" w:rsidRPr="008226DF">
        <w:rPr>
          <w:rFonts w:cs="Times New Roman"/>
        </w:rPr>
        <w:t>Apoyos</w:t>
      </w:r>
      <w:r w:rsidR="00920563" w:rsidRPr="008226DF">
        <w:rPr>
          <w:rFonts w:cs="Times New Roman"/>
        </w:rPr>
        <w:t xml:space="preserve"> </w:t>
      </w:r>
    </w:p>
    <w:p w14:paraId="694CDFE9" w14:textId="0ED31B6B" w:rsidR="00714B31" w:rsidRPr="00574AEC" w:rsidRDefault="004563E2" w:rsidP="008226DF">
      <w:pPr>
        <w:rPr>
          <w:lang w:val="es-EC"/>
        </w:rPr>
      </w:pPr>
      <w:r w:rsidRPr="008876FB">
        <w:rPr>
          <w:lang w:val="es-EC"/>
        </w:rPr>
        <w:t>A la Universidad Católica de Santiago de Guayaquil y a los productores agroecológicos de las provincias de Chimborazo y Tungurahua por el apoyo brindado en la recolección y análisis de las muestras analizadas en este estudio.</w:t>
      </w:r>
    </w:p>
    <w:p w14:paraId="3944D8C3" w14:textId="170226A5" w:rsidR="00CE0F4B" w:rsidRDefault="00721EBE" w:rsidP="00301D73">
      <w:pPr>
        <w:pStyle w:val="Heading1"/>
        <w:tabs>
          <w:tab w:val="left" w:pos="3909"/>
        </w:tabs>
      </w:pPr>
      <w:r w:rsidRPr="008B6A98">
        <w:rPr>
          <w:caps w:val="0"/>
        </w:rPr>
        <w:lastRenderedPageBreak/>
        <w:t>8.</w:t>
      </w:r>
      <w:r w:rsidRPr="008B6A98">
        <w:t xml:space="preserve"> </w:t>
      </w:r>
      <w:r w:rsidR="002F3733" w:rsidRPr="008B6A98">
        <w:t>Referencias</w:t>
      </w:r>
      <w:r w:rsidR="005417EB">
        <w:t xml:space="preserve"> </w:t>
      </w:r>
      <w:r w:rsidR="00301D73">
        <w:tab/>
      </w:r>
    </w:p>
    <w:p w14:paraId="4EEA2121" w14:textId="7345A858" w:rsidR="00574AEC" w:rsidRPr="00301D73" w:rsidRDefault="00301D73" w:rsidP="00301D73">
      <w:pPr>
        <w:pStyle w:val="Bibliography"/>
        <w:spacing w:before="0" w:line="276" w:lineRule="auto"/>
        <w:rPr>
          <w:rFonts w:cs="Times New Roman"/>
          <w:szCs w:val="20"/>
        </w:rPr>
      </w:pPr>
      <w:r w:rsidRPr="00301D73">
        <w:rPr>
          <w:rFonts w:cs="Times New Roman"/>
          <w:szCs w:val="20"/>
        </w:rPr>
        <w:t xml:space="preserve"> </w:t>
      </w:r>
      <w:r w:rsidR="00574AEC" w:rsidRPr="00301D73">
        <w:rPr>
          <w:rFonts w:cs="Times New Roman"/>
          <w:szCs w:val="20"/>
        </w:rPr>
        <w:fldChar w:fldCharType="begin"/>
      </w:r>
      <w:r w:rsidR="00574AEC" w:rsidRPr="00301D73">
        <w:rPr>
          <w:rFonts w:cs="Times New Roman"/>
          <w:szCs w:val="20"/>
        </w:rPr>
        <w:instrText xml:space="preserve"> ADDIN ZOTERO_BIBL {"uncited":[],"omitted":[],"custom":[]} CSL_BIBLIOGRAPHY </w:instrText>
      </w:r>
      <w:r w:rsidR="00574AEC" w:rsidRPr="00301D73">
        <w:rPr>
          <w:rFonts w:cs="Times New Roman"/>
          <w:szCs w:val="20"/>
        </w:rPr>
        <w:fldChar w:fldCharType="separate"/>
      </w:r>
      <w:r w:rsidR="00574AEC" w:rsidRPr="00301D73">
        <w:rPr>
          <w:rFonts w:cs="Times New Roman"/>
          <w:szCs w:val="20"/>
        </w:rPr>
        <w:t xml:space="preserve">Acurio Arcos, L. P. (2025). </w:t>
      </w:r>
      <w:r w:rsidR="00574AEC" w:rsidRPr="00301D73">
        <w:rPr>
          <w:rFonts w:cs="Times New Roman"/>
          <w:i/>
          <w:iCs/>
          <w:szCs w:val="20"/>
        </w:rPr>
        <w:t>Valorización de cultivos andinos autóctonos mediante el desarrollo de alimentos de alto valor nutritivo, funcional y sensorial</w:t>
      </w:r>
      <w:r w:rsidR="00574AEC" w:rsidRPr="00301D73">
        <w:rPr>
          <w:rFonts w:cs="Times New Roman"/>
          <w:szCs w:val="20"/>
        </w:rPr>
        <w:t>. https://riunet.upv.es/entities/publication/f2ee9142-c970-4d3f-88f9-5626fbdf0270</w:t>
      </w:r>
    </w:p>
    <w:p w14:paraId="0705E08C" w14:textId="3DC3DE56" w:rsidR="00574AEC" w:rsidRPr="00301D73" w:rsidRDefault="00301D73" w:rsidP="00301D73">
      <w:pPr>
        <w:pStyle w:val="Bibliography"/>
        <w:spacing w:before="0" w:line="276" w:lineRule="auto"/>
        <w:rPr>
          <w:rFonts w:cs="Times New Roman"/>
          <w:szCs w:val="20"/>
          <w:lang w:val="en-US"/>
        </w:rPr>
      </w:pPr>
      <w:r>
        <w:rPr>
          <w:rFonts w:cs="Times New Roman"/>
          <w:szCs w:val="20"/>
        </w:rPr>
        <w:t xml:space="preserve"> </w:t>
      </w:r>
      <w:r w:rsidR="00574AEC" w:rsidRPr="00301D73">
        <w:rPr>
          <w:rFonts w:cs="Times New Roman"/>
          <w:szCs w:val="20"/>
        </w:rPr>
        <w:t xml:space="preserve">Aguilar-Galvez, A., García-Ríos, D., Ramírez-Guzmán, D., Lindo, J., Chirinos, R., Pedreschi, R., y Campos, D. (2023). </w:t>
      </w:r>
      <w:r w:rsidR="00574AEC" w:rsidRPr="00301D73">
        <w:rPr>
          <w:rFonts w:cs="Times New Roman"/>
          <w:szCs w:val="20"/>
          <w:lang w:val="en-US"/>
        </w:rPr>
        <w:t xml:space="preserve">In vitro and in vivo biotransformation of glucosinolates from mashua (Tropaeolum tuberosum) by lactic acid bacteria. </w:t>
      </w:r>
      <w:r w:rsidR="00574AEC" w:rsidRPr="00301D73">
        <w:rPr>
          <w:rFonts w:cs="Times New Roman"/>
          <w:i/>
          <w:iCs/>
          <w:szCs w:val="20"/>
          <w:lang w:val="en-US"/>
        </w:rPr>
        <w:t>Food Chemistry</w:t>
      </w:r>
      <w:r w:rsidR="00574AEC" w:rsidRPr="00301D73">
        <w:rPr>
          <w:rFonts w:cs="Times New Roman"/>
          <w:szCs w:val="20"/>
          <w:lang w:val="en-US"/>
        </w:rPr>
        <w:t xml:space="preserve">, </w:t>
      </w:r>
      <w:r w:rsidR="00574AEC" w:rsidRPr="00301D73">
        <w:rPr>
          <w:rFonts w:cs="Times New Roman"/>
          <w:i/>
          <w:iCs/>
          <w:szCs w:val="20"/>
          <w:lang w:val="en-US"/>
        </w:rPr>
        <w:t>404</w:t>
      </w:r>
      <w:r w:rsidR="00574AEC" w:rsidRPr="00301D73">
        <w:rPr>
          <w:rFonts w:cs="Times New Roman"/>
          <w:szCs w:val="20"/>
          <w:lang w:val="en-US"/>
        </w:rPr>
        <w:t>, 134631. https://doi.org/10.1016/j.foodchem.2022.134631</w:t>
      </w:r>
    </w:p>
    <w:p w14:paraId="078405B9" w14:textId="7DADFE4F" w:rsidR="00574AEC" w:rsidRPr="00301D73" w:rsidRDefault="00574AEC" w:rsidP="00301D73">
      <w:pPr>
        <w:pStyle w:val="Bibliography"/>
        <w:spacing w:before="0" w:line="276" w:lineRule="auto"/>
        <w:rPr>
          <w:rFonts w:cs="Times New Roman"/>
          <w:szCs w:val="20"/>
          <w:lang w:val="en-US"/>
        </w:rPr>
      </w:pPr>
      <w:r w:rsidRPr="00445897">
        <w:rPr>
          <w:rFonts w:cs="Times New Roman"/>
          <w:szCs w:val="20"/>
          <w:lang w:val="en-US"/>
        </w:rPr>
        <w:t xml:space="preserve">Aguilar-Galvez, A., Pedreschi, R., Carpentier, S., Chirinos, R., García-Ríos, D., y Campos, D. (2020). </w:t>
      </w:r>
      <w:r w:rsidRPr="00301D73">
        <w:rPr>
          <w:rFonts w:cs="Times New Roman"/>
          <w:szCs w:val="20"/>
          <w:lang w:val="en-US"/>
        </w:rPr>
        <w:t xml:space="preserve">Proteomic analysis of mashua (Tropaeolum tuberosum) tubers subjected to postharvest treatments. </w:t>
      </w:r>
      <w:r w:rsidRPr="00301D73">
        <w:rPr>
          <w:rFonts w:cs="Times New Roman"/>
          <w:i/>
          <w:iCs/>
          <w:szCs w:val="20"/>
          <w:lang w:val="en-US"/>
        </w:rPr>
        <w:t>Food Chemistry</w:t>
      </w:r>
      <w:r w:rsidRPr="00301D73">
        <w:rPr>
          <w:rFonts w:cs="Times New Roman"/>
          <w:szCs w:val="20"/>
          <w:lang w:val="en-US"/>
        </w:rPr>
        <w:t xml:space="preserve">, </w:t>
      </w:r>
      <w:r w:rsidRPr="00301D73">
        <w:rPr>
          <w:rFonts w:cs="Times New Roman"/>
          <w:i/>
          <w:iCs/>
          <w:szCs w:val="20"/>
          <w:lang w:val="en-US"/>
        </w:rPr>
        <w:t>305</w:t>
      </w:r>
      <w:r w:rsidRPr="00301D73">
        <w:rPr>
          <w:rFonts w:cs="Times New Roman"/>
          <w:szCs w:val="20"/>
          <w:lang w:val="en-US"/>
        </w:rPr>
        <w:t>, 125485. https://doi.org/10.1016/j.foodchem.2019.125485</w:t>
      </w:r>
    </w:p>
    <w:p w14:paraId="6EDC39C9" w14:textId="77777777" w:rsidR="00574AEC" w:rsidRPr="00301D73" w:rsidRDefault="00574AEC" w:rsidP="00301D73">
      <w:pPr>
        <w:pStyle w:val="Bibliography"/>
        <w:spacing w:before="0" w:line="276" w:lineRule="auto"/>
        <w:rPr>
          <w:rFonts w:cs="Times New Roman"/>
          <w:szCs w:val="20"/>
        </w:rPr>
      </w:pPr>
      <w:r w:rsidRPr="00301D73">
        <w:rPr>
          <w:rFonts w:cs="Times New Roman"/>
          <w:szCs w:val="20"/>
          <w:lang w:val="en-US"/>
        </w:rPr>
        <w:t xml:space="preserve">Apaza Ticona, L., Peña-Rojas, G., Andía-Ayme, V., Durán García, B., y Rumbero Sánchez, A. (2022). Anti-glycative and anti-inflammatory effects of macamides isolated from Tropaeolum tuberosum in skin cells. </w:t>
      </w:r>
      <w:r w:rsidRPr="00301D73">
        <w:rPr>
          <w:rFonts w:cs="Times New Roman"/>
          <w:i/>
          <w:iCs/>
          <w:szCs w:val="20"/>
        </w:rPr>
        <w:t>Natural Product Research</w:t>
      </w:r>
      <w:r w:rsidRPr="00301D73">
        <w:rPr>
          <w:rFonts w:cs="Times New Roman"/>
          <w:szCs w:val="20"/>
        </w:rPr>
        <w:t>. https://doi.org/10.1080/14786419.2021.2016751</w:t>
      </w:r>
    </w:p>
    <w:p w14:paraId="11A1BAF9" w14:textId="77777777" w:rsidR="00574AEC" w:rsidRPr="00301D73" w:rsidRDefault="00574AEC" w:rsidP="00301D73">
      <w:pPr>
        <w:pStyle w:val="Bibliography"/>
        <w:spacing w:before="0" w:line="276" w:lineRule="auto"/>
        <w:rPr>
          <w:rFonts w:cs="Times New Roman"/>
          <w:szCs w:val="20"/>
          <w:lang w:val="en-US"/>
        </w:rPr>
      </w:pPr>
      <w:r w:rsidRPr="00301D73">
        <w:rPr>
          <w:rFonts w:cs="Times New Roman"/>
          <w:szCs w:val="20"/>
        </w:rPr>
        <w:t xml:space="preserve">Arteaga-Cano, D., Chacón-Calvo, L., Samamé-Herrera, V., Valverde-Cerna, D., y Paucar-Menacho, L. M. (2022). Mashua (tropaeolum tuberosum): Composición nutricional, características químicas, compuestos bioactivos y propiedades beneficiosas para la salud. </w:t>
      </w:r>
      <w:r w:rsidRPr="00301D73">
        <w:rPr>
          <w:rFonts w:cs="Times New Roman"/>
          <w:i/>
          <w:iCs/>
          <w:szCs w:val="20"/>
          <w:lang w:val="en-US"/>
        </w:rPr>
        <w:t>Agroindustrial Science</w:t>
      </w:r>
      <w:r w:rsidRPr="00301D73">
        <w:rPr>
          <w:rFonts w:cs="Times New Roman"/>
          <w:szCs w:val="20"/>
          <w:lang w:val="en-US"/>
        </w:rPr>
        <w:t xml:space="preserve">, </w:t>
      </w:r>
      <w:r w:rsidRPr="00301D73">
        <w:rPr>
          <w:rFonts w:cs="Times New Roman"/>
          <w:i/>
          <w:iCs/>
          <w:szCs w:val="20"/>
          <w:lang w:val="en-US"/>
        </w:rPr>
        <w:t>12</w:t>
      </w:r>
      <w:r w:rsidRPr="00301D73">
        <w:rPr>
          <w:rFonts w:cs="Times New Roman"/>
          <w:szCs w:val="20"/>
          <w:lang w:val="en-US"/>
        </w:rPr>
        <w:t>(1), 95-101. https://doi.org/10.17268/agroind.sci.2022.01.12</w:t>
      </w:r>
    </w:p>
    <w:p w14:paraId="048EAC1E" w14:textId="77777777" w:rsidR="00574AEC" w:rsidRPr="00301D73" w:rsidRDefault="00574AEC" w:rsidP="00301D73">
      <w:pPr>
        <w:pStyle w:val="Bibliography"/>
        <w:spacing w:before="0" w:line="276" w:lineRule="auto"/>
        <w:rPr>
          <w:rFonts w:cs="Times New Roman"/>
          <w:szCs w:val="20"/>
          <w:lang w:val="en-US"/>
        </w:rPr>
      </w:pPr>
      <w:r w:rsidRPr="00301D73">
        <w:rPr>
          <w:rFonts w:cs="Times New Roman"/>
          <w:szCs w:val="20"/>
          <w:lang w:val="en-US"/>
        </w:rPr>
        <w:t xml:space="preserve">Association of Analytical Communities. (s. f.). </w:t>
      </w:r>
      <w:r w:rsidRPr="00301D73">
        <w:rPr>
          <w:rFonts w:cs="Times New Roman"/>
          <w:i/>
          <w:iCs/>
          <w:szCs w:val="20"/>
          <w:lang w:val="en-US"/>
        </w:rPr>
        <w:t>Official Method 920.86 Fiber (Total) in Flour. In G. W. Latimer, Jr. (Ed.), Official methods of analysis of AOAC International (Chapter 32.1.15, 22nd ed.).</w:t>
      </w:r>
    </w:p>
    <w:p w14:paraId="706D9D37" w14:textId="77777777" w:rsidR="00574AEC" w:rsidRPr="00301D73" w:rsidRDefault="00574AEC" w:rsidP="00301D73">
      <w:pPr>
        <w:pStyle w:val="Bibliography"/>
        <w:spacing w:before="0" w:line="276" w:lineRule="auto"/>
        <w:rPr>
          <w:rFonts w:cs="Times New Roman"/>
          <w:szCs w:val="20"/>
          <w:lang w:val="en-US"/>
        </w:rPr>
      </w:pPr>
      <w:r w:rsidRPr="00301D73">
        <w:rPr>
          <w:rFonts w:cs="Times New Roman"/>
          <w:szCs w:val="20"/>
          <w:lang w:val="en-US"/>
        </w:rPr>
        <w:t xml:space="preserve">Association of Analytical Communities. (2023d). </w:t>
      </w:r>
      <w:r w:rsidRPr="00301D73">
        <w:rPr>
          <w:rFonts w:cs="Times New Roman"/>
          <w:i/>
          <w:iCs/>
          <w:szCs w:val="20"/>
          <w:lang w:val="en-US"/>
        </w:rPr>
        <w:t>Official Method 920.85 Fat (Crude) in Flour. In G. W. Latimer, Jr. (Ed.), Official methods of analysis of AOAC International (Chapter 32.1.13, 22nd ed.).</w:t>
      </w:r>
      <w:r w:rsidRPr="00301D73">
        <w:rPr>
          <w:rFonts w:cs="Times New Roman"/>
          <w:szCs w:val="20"/>
          <w:lang w:val="en-US"/>
        </w:rPr>
        <w:t xml:space="preserve"> Oxford University Press. https://doi.org/10.1093/9780197610145.003.2937</w:t>
      </w:r>
    </w:p>
    <w:p w14:paraId="3835282A" w14:textId="77777777" w:rsidR="00574AEC" w:rsidRPr="00301D73" w:rsidRDefault="00574AEC" w:rsidP="00301D73">
      <w:pPr>
        <w:pStyle w:val="Bibliography"/>
        <w:spacing w:before="0" w:line="276" w:lineRule="auto"/>
        <w:rPr>
          <w:rFonts w:cs="Times New Roman"/>
          <w:szCs w:val="20"/>
          <w:lang w:val="en-US"/>
        </w:rPr>
      </w:pPr>
      <w:r w:rsidRPr="00301D73">
        <w:rPr>
          <w:rFonts w:cs="Times New Roman"/>
          <w:szCs w:val="20"/>
          <w:lang w:val="en-US"/>
        </w:rPr>
        <w:t xml:space="preserve">Association of Analytical Communities. (2023c). </w:t>
      </w:r>
      <w:r w:rsidRPr="00301D73">
        <w:rPr>
          <w:rFonts w:cs="Times New Roman"/>
          <w:i/>
          <w:iCs/>
          <w:szCs w:val="20"/>
          <w:lang w:val="en-US"/>
        </w:rPr>
        <w:t>Official Method 920.87 Protein (Total) in Flour. In G. W. Latimer, Jr. (Ed.), Official methods of analysis of AOAC International (Chapter 32.1.22, 22nd ed.).</w:t>
      </w:r>
      <w:r w:rsidRPr="00301D73">
        <w:rPr>
          <w:rFonts w:cs="Times New Roman"/>
          <w:szCs w:val="20"/>
          <w:lang w:val="en-US"/>
        </w:rPr>
        <w:t xml:space="preserve"> Oxford University Press. https://doi.org/10.1093/9780197610145.003.2942</w:t>
      </w:r>
    </w:p>
    <w:p w14:paraId="6A529D5C" w14:textId="77777777" w:rsidR="00574AEC" w:rsidRPr="00301D73" w:rsidRDefault="00574AEC" w:rsidP="00301D73">
      <w:pPr>
        <w:pStyle w:val="Bibliography"/>
        <w:spacing w:before="0" w:line="276" w:lineRule="auto"/>
        <w:rPr>
          <w:rFonts w:cs="Times New Roman"/>
          <w:szCs w:val="20"/>
          <w:lang w:val="en-US"/>
        </w:rPr>
      </w:pPr>
      <w:r w:rsidRPr="00301D73">
        <w:rPr>
          <w:rFonts w:cs="Times New Roman"/>
          <w:szCs w:val="20"/>
          <w:lang w:val="en-US"/>
        </w:rPr>
        <w:t xml:space="preserve">Association of Analytical Communities. (2023b). </w:t>
      </w:r>
      <w:r w:rsidRPr="00301D73">
        <w:rPr>
          <w:rFonts w:cs="Times New Roman"/>
          <w:i/>
          <w:iCs/>
          <w:szCs w:val="20"/>
          <w:lang w:val="en-US"/>
        </w:rPr>
        <w:t>Official Method 923.03 Ash  of Flour: Direct Method. In G. W. Latimer, Jr. (Ed.), Official methods of analysis of AOAC International (Chapter 32.1.05, 22nd ed.).</w:t>
      </w:r>
      <w:r w:rsidRPr="00301D73">
        <w:rPr>
          <w:rFonts w:cs="Times New Roman"/>
          <w:szCs w:val="20"/>
          <w:lang w:val="en-US"/>
        </w:rPr>
        <w:t xml:space="preserve"> Oxford University Press. https://doi.org/10.1093/9780197610145.003.2929</w:t>
      </w:r>
    </w:p>
    <w:p w14:paraId="7E6BC4E9" w14:textId="77777777" w:rsidR="00574AEC" w:rsidRPr="00301D73" w:rsidRDefault="00574AEC" w:rsidP="00301D73">
      <w:pPr>
        <w:pStyle w:val="Bibliography"/>
        <w:spacing w:before="0" w:line="276" w:lineRule="auto"/>
        <w:rPr>
          <w:rFonts w:cs="Times New Roman"/>
          <w:szCs w:val="20"/>
          <w:lang w:val="en-US"/>
        </w:rPr>
      </w:pPr>
      <w:r w:rsidRPr="00301D73">
        <w:rPr>
          <w:rFonts w:cs="Times New Roman"/>
          <w:szCs w:val="20"/>
          <w:lang w:val="en-US"/>
        </w:rPr>
        <w:t xml:space="preserve">Association of Analytical Communities. (2023a). </w:t>
      </w:r>
      <w:r w:rsidRPr="00301D73">
        <w:rPr>
          <w:rFonts w:cs="Times New Roman"/>
          <w:i/>
          <w:iCs/>
          <w:szCs w:val="20"/>
          <w:lang w:val="en-US"/>
        </w:rPr>
        <w:t xml:space="preserve">Official Method 925.10 Solids (Total) and Loss on Drying (Moisture) in Flour: Air Oven Method Get </w:t>
      </w:r>
      <w:r w:rsidRPr="00301D73">
        <w:rPr>
          <w:rFonts w:cs="Times New Roman"/>
          <w:i/>
          <w:iCs/>
          <w:szCs w:val="20"/>
          <w:lang w:val="en-US"/>
        </w:rPr>
        <w:lastRenderedPageBreak/>
        <w:t>access Arrow. In G. W. Latimer, Jr. (Ed.), Official methods of analysis of AOAC International (Chapter 32.1.03, 22nd ed.)</w:t>
      </w:r>
      <w:r w:rsidRPr="00301D73">
        <w:rPr>
          <w:rFonts w:cs="Times New Roman"/>
          <w:szCs w:val="20"/>
          <w:lang w:val="en-US"/>
        </w:rPr>
        <w:t>. Oxford University Press. https://doi.org/10.1093/9780197610145.003.2927</w:t>
      </w:r>
    </w:p>
    <w:p w14:paraId="076E0D78" w14:textId="77777777" w:rsidR="00574AEC" w:rsidRPr="00301D73" w:rsidRDefault="00574AEC" w:rsidP="00301D73">
      <w:pPr>
        <w:pStyle w:val="Bibliography"/>
        <w:spacing w:before="0" w:line="276" w:lineRule="auto"/>
        <w:rPr>
          <w:rFonts w:cs="Times New Roman"/>
          <w:szCs w:val="20"/>
        </w:rPr>
      </w:pPr>
      <w:r w:rsidRPr="00301D73">
        <w:rPr>
          <w:rFonts w:cs="Times New Roman"/>
          <w:szCs w:val="20"/>
          <w:lang w:val="en-US"/>
        </w:rPr>
        <w:t xml:space="preserve">Association of Analytical Communities. (2023f). </w:t>
      </w:r>
      <w:r w:rsidRPr="00301D73">
        <w:rPr>
          <w:rFonts w:cs="Times New Roman"/>
          <w:i/>
          <w:iCs/>
          <w:szCs w:val="20"/>
          <w:lang w:val="en-US"/>
        </w:rPr>
        <w:t>Official Method 932.12 Solids (Soluble) in Fruits and Fruit Products: Refractometer Methods. In G. W. Latimer, Jr. (Ed.), Official methods of analysis of AOAC International (Chapter 37.1.15, 22nd ed.)</w:t>
      </w:r>
      <w:r w:rsidRPr="00301D73">
        <w:rPr>
          <w:rFonts w:cs="Times New Roman"/>
          <w:szCs w:val="20"/>
          <w:lang w:val="en-US"/>
        </w:rPr>
        <w:t xml:space="preserve">. </w:t>
      </w:r>
      <w:r w:rsidRPr="00301D73">
        <w:rPr>
          <w:rFonts w:cs="Times New Roman"/>
          <w:szCs w:val="20"/>
        </w:rPr>
        <w:t>Oxford University Press. https://doi.org/10.1093/9780197610145.003.3368</w:t>
      </w:r>
    </w:p>
    <w:p w14:paraId="24075A96" w14:textId="77777777" w:rsidR="00574AEC" w:rsidRPr="00301D73" w:rsidRDefault="00574AEC" w:rsidP="00301D73">
      <w:pPr>
        <w:pStyle w:val="Bibliography"/>
        <w:spacing w:before="0" w:line="276" w:lineRule="auto"/>
        <w:rPr>
          <w:rFonts w:cs="Times New Roman"/>
          <w:szCs w:val="20"/>
        </w:rPr>
      </w:pPr>
      <w:r w:rsidRPr="00301D73">
        <w:rPr>
          <w:rFonts w:cs="Times New Roman"/>
          <w:szCs w:val="20"/>
        </w:rPr>
        <w:t xml:space="preserve">Benítez Santillán, L., Pagán Moreno, M., Martínez-Monzó, J., y García-Segovia, P. (2016). Propiedades funcionales de tubérculos nativos de la región andina de Chimborazo (Ecuador): Una revisión. </w:t>
      </w:r>
      <w:r w:rsidRPr="00301D73">
        <w:rPr>
          <w:rFonts w:cs="Times New Roman"/>
          <w:i/>
          <w:iCs/>
          <w:szCs w:val="20"/>
        </w:rPr>
        <w:t>Rev. Esp. Nutr. Comunitaria</w:t>
      </w:r>
      <w:r w:rsidRPr="00301D73">
        <w:rPr>
          <w:rFonts w:cs="Times New Roman"/>
          <w:szCs w:val="20"/>
        </w:rPr>
        <w:t xml:space="preserve">, </w:t>
      </w:r>
      <w:r w:rsidRPr="00301D73">
        <w:rPr>
          <w:rFonts w:cs="Times New Roman"/>
          <w:i/>
          <w:iCs/>
          <w:szCs w:val="20"/>
        </w:rPr>
        <w:t>22</w:t>
      </w:r>
      <w:r w:rsidRPr="00301D73">
        <w:rPr>
          <w:rFonts w:cs="Times New Roman"/>
          <w:szCs w:val="20"/>
        </w:rPr>
        <w:t>(4), Article 4. https://doi.org/10.14642/RENC.2016.22.4.5155</w:t>
      </w:r>
    </w:p>
    <w:p w14:paraId="492AE37D" w14:textId="77777777" w:rsidR="00574AEC" w:rsidRPr="00301D73" w:rsidRDefault="00574AEC" w:rsidP="00301D73">
      <w:pPr>
        <w:pStyle w:val="Bibliography"/>
        <w:spacing w:before="0" w:line="276" w:lineRule="auto"/>
        <w:rPr>
          <w:rFonts w:cs="Times New Roman"/>
          <w:szCs w:val="20"/>
          <w:lang w:val="en-US"/>
        </w:rPr>
      </w:pPr>
      <w:r w:rsidRPr="00301D73">
        <w:rPr>
          <w:rFonts w:cs="Times New Roman"/>
          <w:szCs w:val="20"/>
        </w:rPr>
        <w:t xml:space="preserve">Castañeta, G., Miranda-Flores, D., Bascopé, M., y Peñarrieta, J. M. (2024). </w:t>
      </w:r>
      <w:r w:rsidRPr="00301D73">
        <w:rPr>
          <w:rFonts w:cs="Times New Roman"/>
          <w:szCs w:val="20"/>
          <w:lang w:val="en-US"/>
        </w:rPr>
        <w:t xml:space="preserve">Characterization of carotenoids, proximal analysis, phenolic compounds, anthocyanidins and antioxidant capacity of an underutilized tuber (Tropaeolum tuberosum) from Bolivia. </w:t>
      </w:r>
      <w:r w:rsidRPr="00301D73">
        <w:rPr>
          <w:rFonts w:cs="Times New Roman"/>
          <w:i/>
          <w:iCs/>
          <w:szCs w:val="20"/>
          <w:lang w:val="en-US"/>
        </w:rPr>
        <w:t>Discover Food</w:t>
      </w:r>
      <w:r w:rsidRPr="00301D73">
        <w:rPr>
          <w:rFonts w:cs="Times New Roman"/>
          <w:szCs w:val="20"/>
          <w:lang w:val="en-US"/>
        </w:rPr>
        <w:t xml:space="preserve">, </w:t>
      </w:r>
      <w:r w:rsidRPr="00301D73">
        <w:rPr>
          <w:rFonts w:cs="Times New Roman"/>
          <w:i/>
          <w:iCs/>
          <w:szCs w:val="20"/>
          <w:lang w:val="en-US"/>
        </w:rPr>
        <w:t>4</w:t>
      </w:r>
      <w:r w:rsidRPr="00301D73">
        <w:rPr>
          <w:rFonts w:cs="Times New Roman"/>
          <w:szCs w:val="20"/>
          <w:lang w:val="en-US"/>
        </w:rPr>
        <w:t>(1), 9. https://doi.org/10.1007/s44187-024-00078-8</w:t>
      </w:r>
    </w:p>
    <w:p w14:paraId="0D6618B1" w14:textId="77777777" w:rsidR="00574AEC" w:rsidRPr="00301D73" w:rsidRDefault="00574AEC" w:rsidP="00301D73">
      <w:pPr>
        <w:pStyle w:val="Bibliography"/>
        <w:spacing w:before="0" w:line="276" w:lineRule="auto"/>
        <w:rPr>
          <w:rFonts w:cs="Times New Roman"/>
          <w:szCs w:val="20"/>
          <w:lang w:val="en-US"/>
        </w:rPr>
      </w:pPr>
      <w:r w:rsidRPr="00301D73">
        <w:rPr>
          <w:rFonts w:cs="Times New Roman"/>
          <w:szCs w:val="20"/>
          <w:lang w:val="en-US"/>
        </w:rPr>
        <w:t xml:space="preserve">Chirinos, R., Rogez, H., Campos, D., Pedreschi, R., y Larondelle, Y. (2007). Optimization of extraction conditions of antioxidant phenolic compounds from mashua (Tropaeolum tuberosum Ruíz &amp; Pavón) tubers. </w:t>
      </w:r>
      <w:r w:rsidRPr="00301D73">
        <w:rPr>
          <w:rFonts w:cs="Times New Roman"/>
          <w:i/>
          <w:iCs/>
          <w:szCs w:val="20"/>
          <w:lang w:val="en-US"/>
        </w:rPr>
        <w:t>Separation and Purification Technology</w:t>
      </w:r>
      <w:r w:rsidRPr="00301D73">
        <w:rPr>
          <w:rFonts w:cs="Times New Roman"/>
          <w:szCs w:val="20"/>
          <w:lang w:val="en-US"/>
        </w:rPr>
        <w:t xml:space="preserve">, </w:t>
      </w:r>
      <w:r w:rsidRPr="00301D73">
        <w:rPr>
          <w:rFonts w:cs="Times New Roman"/>
          <w:i/>
          <w:iCs/>
          <w:szCs w:val="20"/>
          <w:lang w:val="en-US"/>
        </w:rPr>
        <w:t>55</w:t>
      </w:r>
      <w:r w:rsidRPr="00301D73">
        <w:rPr>
          <w:rFonts w:cs="Times New Roman"/>
          <w:szCs w:val="20"/>
          <w:lang w:val="en-US"/>
        </w:rPr>
        <w:t>(2), Article 2. https://doi.org/10.1016/j.seppur.2006.12.005</w:t>
      </w:r>
    </w:p>
    <w:p w14:paraId="20CDEF75" w14:textId="77777777" w:rsidR="00574AEC" w:rsidRPr="00301D73" w:rsidRDefault="00574AEC" w:rsidP="00301D73">
      <w:pPr>
        <w:pStyle w:val="Bibliography"/>
        <w:spacing w:before="0" w:line="276" w:lineRule="auto"/>
        <w:rPr>
          <w:rFonts w:cs="Times New Roman"/>
          <w:szCs w:val="20"/>
          <w:lang w:val="en-US"/>
        </w:rPr>
      </w:pPr>
      <w:r w:rsidRPr="00301D73">
        <w:rPr>
          <w:rFonts w:cs="Times New Roman"/>
          <w:szCs w:val="20"/>
        </w:rPr>
        <w:t xml:space="preserve">Hernández V., C., Morançay, C., Pécout-Le Bras, N., y Ricaud Oneto, E. (2022). Patrimonios alimentarios en América Latina: Recursos locales, actores y globalización. </w:t>
      </w:r>
      <w:r w:rsidRPr="00301D73">
        <w:rPr>
          <w:rFonts w:cs="Times New Roman"/>
          <w:i/>
          <w:iCs/>
          <w:szCs w:val="20"/>
          <w:lang w:val="en-US"/>
        </w:rPr>
        <w:t>Anthropology of food</w:t>
      </w:r>
      <w:r w:rsidRPr="00301D73">
        <w:rPr>
          <w:rFonts w:cs="Times New Roman"/>
          <w:szCs w:val="20"/>
          <w:lang w:val="en-US"/>
        </w:rPr>
        <w:t>. https://doi.org/10.4000/aof.13719</w:t>
      </w:r>
    </w:p>
    <w:p w14:paraId="176814FA" w14:textId="77777777" w:rsidR="00574AEC" w:rsidRPr="00301D73" w:rsidRDefault="00574AEC" w:rsidP="00301D73">
      <w:pPr>
        <w:pStyle w:val="Bibliography"/>
        <w:spacing w:before="0" w:line="276" w:lineRule="auto"/>
        <w:rPr>
          <w:rFonts w:cs="Times New Roman"/>
          <w:szCs w:val="20"/>
        </w:rPr>
      </w:pPr>
      <w:r w:rsidRPr="00301D73">
        <w:rPr>
          <w:rFonts w:cs="Times New Roman"/>
          <w:szCs w:val="20"/>
          <w:lang w:val="en-US"/>
        </w:rPr>
        <w:t xml:space="preserve">Johns, T., Kitts, W. D., Newsome, F., y Towers, G. N. (1982). Anti-reproductive and other medicinal effects of Tropaeolum tuberos um. </w:t>
      </w:r>
      <w:r w:rsidRPr="00301D73">
        <w:rPr>
          <w:rFonts w:cs="Times New Roman"/>
          <w:i/>
          <w:iCs/>
          <w:szCs w:val="20"/>
        </w:rPr>
        <w:t>Journal of Ethnopharmacology</w:t>
      </w:r>
      <w:r w:rsidRPr="00301D73">
        <w:rPr>
          <w:rFonts w:cs="Times New Roman"/>
          <w:szCs w:val="20"/>
        </w:rPr>
        <w:t xml:space="preserve">, </w:t>
      </w:r>
      <w:r w:rsidRPr="00301D73">
        <w:rPr>
          <w:rFonts w:cs="Times New Roman"/>
          <w:i/>
          <w:iCs/>
          <w:szCs w:val="20"/>
        </w:rPr>
        <w:t>5</w:t>
      </w:r>
      <w:r w:rsidRPr="00301D73">
        <w:rPr>
          <w:rFonts w:cs="Times New Roman"/>
          <w:szCs w:val="20"/>
        </w:rPr>
        <w:t>(2), 149-161.</w:t>
      </w:r>
    </w:p>
    <w:p w14:paraId="0EF97A83" w14:textId="77777777" w:rsidR="00574AEC" w:rsidRPr="00301D73" w:rsidRDefault="00574AEC" w:rsidP="00301D73">
      <w:pPr>
        <w:pStyle w:val="Bibliography"/>
        <w:spacing w:before="0" w:line="276" w:lineRule="auto"/>
        <w:rPr>
          <w:rFonts w:cs="Times New Roman"/>
          <w:szCs w:val="20"/>
        </w:rPr>
      </w:pPr>
      <w:r w:rsidRPr="00301D73">
        <w:rPr>
          <w:rFonts w:cs="Times New Roman"/>
          <w:szCs w:val="20"/>
        </w:rPr>
        <w:t xml:space="preserve">Luera-Quiñones, S., Correa, M. J., Moreno-Rojo, C., Salvador-Reyes, R., y Paucar-Menacho, L. M. (2025). </w:t>
      </w:r>
      <w:r w:rsidRPr="00301D73">
        <w:rPr>
          <w:rFonts w:cs="Times New Roman"/>
          <w:szCs w:val="20"/>
          <w:lang w:val="en-US"/>
        </w:rPr>
        <w:t xml:space="preserve">Mashua (Tropaeolum tuberosum Ruiz &amp; Pavón): Nutritional Composition, Bioactive Compounds, and Functional Potential as an Andean Natural Ingredient. </w:t>
      </w:r>
      <w:r w:rsidRPr="00301D73">
        <w:rPr>
          <w:rFonts w:cs="Times New Roman"/>
          <w:i/>
          <w:iCs/>
          <w:szCs w:val="20"/>
        </w:rPr>
        <w:t>Foods</w:t>
      </w:r>
      <w:r w:rsidRPr="00301D73">
        <w:rPr>
          <w:rFonts w:cs="Times New Roman"/>
          <w:szCs w:val="20"/>
        </w:rPr>
        <w:t xml:space="preserve">, </w:t>
      </w:r>
      <w:r w:rsidRPr="00301D73">
        <w:rPr>
          <w:rFonts w:cs="Times New Roman"/>
          <w:i/>
          <w:iCs/>
          <w:szCs w:val="20"/>
        </w:rPr>
        <w:t>14</w:t>
      </w:r>
      <w:r w:rsidRPr="00301D73">
        <w:rPr>
          <w:rFonts w:cs="Times New Roman"/>
          <w:szCs w:val="20"/>
        </w:rPr>
        <w:t>(24), 4198. https://doi.org/10.3390/foods14244198</w:t>
      </w:r>
    </w:p>
    <w:p w14:paraId="13DDB634" w14:textId="77777777" w:rsidR="00574AEC" w:rsidRPr="00301D73" w:rsidRDefault="00574AEC" w:rsidP="00301D73">
      <w:pPr>
        <w:pStyle w:val="Bibliography"/>
        <w:spacing w:before="0" w:line="276" w:lineRule="auto"/>
        <w:rPr>
          <w:rFonts w:cs="Times New Roman"/>
          <w:szCs w:val="20"/>
          <w:lang w:val="en-US"/>
        </w:rPr>
      </w:pPr>
      <w:r w:rsidRPr="00301D73">
        <w:rPr>
          <w:rFonts w:cs="Times New Roman"/>
          <w:szCs w:val="20"/>
        </w:rPr>
        <w:t xml:space="preserve">Luziatelli, G., Alandia, G., Rodríguez, J. P., Manrique, I., Jacobsen, S.-E., y Sørensen, M. (2023). Chapter 6 - Ethnobotany of Andean minor tuber crops: Tradition and innovation—Oca (Oxalis tuberosa Molina—Oxalidaceae), Mashua (Tropaeolum tuberosum Ruíz &amp; Pav.—Tropaeoleaceae) and Ulluco (Ullucus tuberosus Caldas—Basellaceae). </w:t>
      </w:r>
      <w:r w:rsidRPr="00301D73">
        <w:rPr>
          <w:rFonts w:cs="Times New Roman"/>
          <w:szCs w:val="20"/>
          <w:lang w:val="en-US"/>
        </w:rPr>
        <w:t xml:space="preserve">En M. Pascoli Cereda y O. François Vilpoux (Eds.), </w:t>
      </w:r>
      <w:r w:rsidRPr="00301D73">
        <w:rPr>
          <w:rFonts w:cs="Times New Roman"/>
          <w:i/>
          <w:iCs/>
          <w:szCs w:val="20"/>
          <w:lang w:val="en-US"/>
        </w:rPr>
        <w:t xml:space="preserve">Varieties and </w:t>
      </w:r>
      <w:r w:rsidRPr="00301D73">
        <w:rPr>
          <w:rFonts w:cs="Times New Roman"/>
          <w:i/>
          <w:iCs/>
          <w:szCs w:val="20"/>
          <w:lang w:val="en-US"/>
        </w:rPr>
        <w:lastRenderedPageBreak/>
        <w:t>Landraces</w:t>
      </w:r>
      <w:r w:rsidRPr="00301D73">
        <w:rPr>
          <w:rFonts w:cs="Times New Roman"/>
          <w:szCs w:val="20"/>
          <w:lang w:val="en-US"/>
        </w:rPr>
        <w:t xml:space="preserve"> (Vol. 2, pp. 79-100). Academic Press. https://doi.org/10.1016/B978-0-323-90057-7.00009-7</w:t>
      </w:r>
    </w:p>
    <w:p w14:paraId="3BA3AEB9" w14:textId="77777777" w:rsidR="00574AEC" w:rsidRPr="00301D73" w:rsidRDefault="00574AEC" w:rsidP="00301D73">
      <w:pPr>
        <w:pStyle w:val="Bibliography"/>
        <w:spacing w:before="0" w:line="276" w:lineRule="auto"/>
        <w:rPr>
          <w:rFonts w:cs="Times New Roman"/>
          <w:szCs w:val="20"/>
          <w:lang w:val="en-US"/>
        </w:rPr>
      </w:pPr>
      <w:r w:rsidRPr="00301D73">
        <w:rPr>
          <w:rFonts w:cs="Times New Roman"/>
          <w:szCs w:val="20"/>
          <w:lang w:val="en-US"/>
        </w:rPr>
        <w:t xml:space="preserve">Lyon, P. J. (1992). Lost Crops of the Incas: Little‐known Plants of the Andes with Promise for Worldwide Cultivation. </w:t>
      </w:r>
      <w:r w:rsidRPr="00301D73">
        <w:rPr>
          <w:rFonts w:cs="Times New Roman"/>
          <w:i/>
          <w:iCs/>
          <w:szCs w:val="20"/>
          <w:lang w:val="en-US"/>
        </w:rPr>
        <w:t>The Latin American Anthropology Review</w:t>
      </w:r>
      <w:r w:rsidRPr="00301D73">
        <w:rPr>
          <w:rFonts w:cs="Times New Roman"/>
          <w:szCs w:val="20"/>
          <w:lang w:val="en-US"/>
        </w:rPr>
        <w:t xml:space="preserve">, </w:t>
      </w:r>
      <w:r w:rsidRPr="00301D73">
        <w:rPr>
          <w:rFonts w:cs="Times New Roman"/>
          <w:i/>
          <w:iCs/>
          <w:szCs w:val="20"/>
          <w:lang w:val="en-US"/>
        </w:rPr>
        <w:t>4</w:t>
      </w:r>
      <w:r w:rsidRPr="00301D73">
        <w:rPr>
          <w:rFonts w:cs="Times New Roman"/>
          <w:szCs w:val="20"/>
          <w:lang w:val="en-US"/>
        </w:rPr>
        <w:t>(1), 41-41. https://doi.org/10.1525/jlca.1992.4.1.41.1</w:t>
      </w:r>
    </w:p>
    <w:p w14:paraId="1172D423" w14:textId="77777777" w:rsidR="00574AEC" w:rsidRPr="00301D73" w:rsidRDefault="00574AEC" w:rsidP="00301D73">
      <w:pPr>
        <w:pStyle w:val="Bibliography"/>
        <w:spacing w:before="0" w:line="276" w:lineRule="auto"/>
        <w:rPr>
          <w:rFonts w:cs="Times New Roman"/>
          <w:szCs w:val="20"/>
        </w:rPr>
      </w:pPr>
      <w:r w:rsidRPr="00301D73">
        <w:rPr>
          <w:rFonts w:cs="Times New Roman"/>
          <w:szCs w:val="20"/>
          <w:lang w:val="en-US"/>
        </w:rPr>
        <w:t xml:space="preserve">Malice, M., Bizoux, J. P., Blas, R., y Baudoin, J. P. (2010). Genetic Diversity of Andean Tuber Crop Species in the in situ Microcenter of Huanuco, Peru. </w:t>
      </w:r>
      <w:r w:rsidRPr="00301D73">
        <w:rPr>
          <w:rFonts w:cs="Times New Roman"/>
          <w:i/>
          <w:iCs/>
          <w:szCs w:val="20"/>
        </w:rPr>
        <w:t>Crop Science</w:t>
      </w:r>
      <w:r w:rsidRPr="00301D73">
        <w:rPr>
          <w:rFonts w:cs="Times New Roman"/>
          <w:szCs w:val="20"/>
        </w:rPr>
        <w:t xml:space="preserve">, </w:t>
      </w:r>
      <w:r w:rsidRPr="00301D73">
        <w:rPr>
          <w:rFonts w:cs="Times New Roman"/>
          <w:i/>
          <w:iCs/>
          <w:szCs w:val="20"/>
        </w:rPr>
        <w:t>50</w:t>
      </w:r>
      <w:r w:rsidRPr="00301D73">
        <w:rPr>
          <w:rFonts w:cs="Times New Roman"/>
          <w:szCs w:val="20"/>
        </w:rPr>
        <w:t>(5), 1915-1923. https://doi.org/10.2135/cropsci2009.09.0476</w:t>
      </w:r>
    </w:p>
    <w:p w14:paraId="7D410FE3" w14:textId="77777777" w:rsidR="00574AEC" w:rsidRPr="00301D73" w:rsidRDefault="00574AEC" w:rsidP="00301D73">
      <w:pPr>
        <w:pStyle w:val="Bibliography"/>
        <w:spacing w:before="0" w:line="276" w:lineRule="auto"/>
        <w:rPr>
          <w:rFonts w:cs="Times New Roman"/>
          <w:szCs w:val="20"/>
        </w:rPr>
      </w:pPr>
      <w:r w:rsidRPr="00301D73">
        <w:rPr>
          <w:rFonts w:cs="Times New Roman"/>
          <w:szCs w:val="20"/>
        </w:rPr>
        <w:t xml:space="preserve">Malpartidas Yapias, R. J., Adama Astete, J. M., Cajachagua Uscuchagua, Y. Y., y Rosales Sánchez, M. C. (2022). Características fisicoquímicas, composición nutricional y compuestos bioactivos en tres variedades de Mashua (Tropaeolum tuberosum Ruiz y Pavón): Una revisión. </w:t>
      </w:r>
      <w:r w:rsidRPr="00301D73">
        <w:rPr>
          <w:rFonts w:cs="Times New Roman"/>
          <w:i/>
          <w:iCs/>
          <w:szCs w:val="20"/>
        </w:rPr>
        <w:t>Revista Tecnológica-ESPOL</w:t>
      </w:r>
      <w:r w:rsidRPr="00301D73">
        <w:rPr>
          <w:rFonts w:cs="Times New Roman"/>
          <w:szCs w:val="20"/>
        </w:rPr>
        <w:t xml:space="preserve">, </w:t>
      </w:r>
      <w:r w:rsidRPr="00301D73">
        <w:rPr>
          <w:rFonts w:cs="Times New Roman"/>
          <w:i/>
          <w:iCs/>
          <w:szCs w:val="20"/>
        </w:rPr>
        <w:t>34</w:t>
      </w:r>
      <w:r w:rsidRPr="00301D73">
        <w:rPr>
          <w:rFonts w:cs="Times New Roman"/>
          <w:szCs w:val="20"/>
        </w:rPr>
        <w:t>(2), 41-51. https://doi.org/10.37815/rte.v34n2.891</w:t>
      </w:r>
    </w:p>
    <w:p w14:paraId="440B7B1D" w14:textId="77777777" w:rsidR="00574AEC" w:rsidRPr="00301D73" w:rsidRDefault="00574AEC" w:rsidP="00301D73">
      <w:pPr>
        <w:pStyle w:val="Bibliography"/>
        <w:spacing w:before="0" w:line="276" w:lineRule="auto"/>
        <w:rPr>
          <w:rFonts w:cs="Times New Roman"/>
          <w:szCs w:val="20"/>
        </w:rPr>
      </w:pPr>
      <w:r w:rsidRPr="00301D73">
        <w:rPr>
          <w:rFonts w:cs="Times New Roman"/>
          <w:szCs w:val="20"/>
        </w:rPr>
        <w:t xml:space="preserve">Manrique, I., Arbizu, C., Vivanco, F., Ramirez, C., Chavez, O., Tay, D., y Ellis, D. (2013). </w:t>
      </w:r>
      <w:r w:rsidRPr="00301D73">
        <w:rPr>
          <w:rFonts w:cs="Times New Roman"/>
          <w:i/>
          <w:iCs/>
          <w:szCs w:val="20"/>
        </w:rPr>
        <w:t>Tropaelum tuberosum Ruíz &amp; Pav. Catálogo de la colección de germoplasma de mashua (Tropaelum tuberosum Ruíz &amp; Pav.) conservada en el Centro Internacional de la Papa (CIP)</w:t>
      </w:r>
      <w:r w:rsidRPr="00301D73">
        <w:rPr>
          <w:rFonts w:cs="Times New Roman"/>
          <w:szCs w:val="20"/>
        </w:rPr>
        <w:t>. Centro Internacional de la Papa. https://doi.org/10.4160/9789290604310</w:t>
      </w:r>
    </w:p>
    <w:p w14:paraId="077EE6EC" w14:textId="77777777" w:rsidR="00574AEC" w:rsidRPr="00301D73" w:rsidRDefault="00574AEC" w:rsidP="00301D73">
      <w:pPr>
        <w:pStyle w:val="Bibliography"/>
        <w:spacing w:before="0" w:line="276" w:lineRule="auto"/>
        <w:rPr>
          <w:rFonts w:cs="Times New Roman"/>
          <w:szCs w:val="20"/>
          <w:lang w:val="en-US"/>
        </w:rPr>
      </w:pPr>
      <w:r w:rsidRPr="00301D73">
        <w:rPr>
          <w:rFonts w:cs="Times New Roman"/>
          <w:szCs w:val="20"/>
        </w:rPr>
        <w:t xml:space="preserve">Martín, J. C., y Higuera, B. L. (2016). </w:t>
      </w:r>
      <w:r w:rsidRPr="00301D73">
        <w:rPr>
          <w:rFonts w:cs="Times New Roman"/>
          <w:szCs w:val="20"/>
          <w:lang w:val="en-US"/>
        </w:rPr>
        <w:t xml:space="preserve">Glucosinolate composition of Colombian accessions of mashua (Tropaeolum tuberosum Ruíz &amp; Pavón), structural elucidation of the predominant glucosinolate and assessment of its antifungal activity. </w:t>
      </w:r>
      <w:r w:rsidRPr="00301D73">
        <w:rPr>
          <w:rFonts w:cs="Times New Roman"/>
          <w:i/>
          <w:iCs/>
          <w:szCs w:val="20"/>
          <w:lang w:val="en-US"/>
        </w:rPr>
        <w:t>Journal of the Science of Food and Agriculture</w:t>
      </w:r>
      <w:r w:rsidRPr="00301D73">
        <w:rPr>
          <w:rFonts w:cs="Times New Roman"/>
          <w:szCs w:val="20"/>
          <w:lang w:val="en-US"/>
        </w:rPr>
        <w:t xml:space="preserve">, </w:t>
      </w:r>
      <w:r w:rsidRPr="00301D73">
        <w:rPr>
          <w:rFonts w:cs="Times New Roman"/>
          <w:i/>
          <w:iCs/>
          <w:szCs w:val="20"/>
          <w:lang w:val="en-US"/>
        </w:rPr>
        <w:t>96</w:t>
      </w:r>
      <w:r w:rsidRPr="00301D73">
        <w:rPr>
          <w:rFonts w:cs="Times New Roman"/>
          <w:szCs w:val="20"/>
          <w:lang w:val="en-US"/>
        </w:rPr>
        <w:t>(14), 4702-4712. https://doi.org/10.1002/jsfa.7689</w:t>
      </w:r>
    </w:p>
    <w:p w14:paraId="2A6DA7FA" w14:textId="3138685D" w:rsidR="00574AEC" w:rsidRPr="00301D73" w:rsidRDefault="00574AEC" w:rsidP="00301D73">
      <w:pPr>
        <w:pStyle w:val="Bibliography"/>
        <w:spacing w:before="0" w:line="276" w:lineRule="auto"/>
        <w:rPr>
          <w:rFonts w:cs="Times New Roman"/>
          <w:szCs w:val="20"/>
        </w:rPr>
      </w:pPr>
      <w:r w:rsidRPr="00301D73">
        <w:rPr>
          <w:rFonts w:cs="Times New Roman"/>
          <w:szCs w:val="20"/>
        </w:rPr>
        <w:t xml:space="preserve">Ortega, O. R., Kliebenstein, D. J., Arbizu, C., Ortega, R., y Quiros, C. F. (2006). </w:t>
      </w:r>
      <w:r w:rsidRPr="00301D73">
        <w:rPr>
          <w:rFonts w:cs="Times New Roman"/>
          <w:szCs w:val="20"/>
          <w:lang w:val="en-US"/>
        </w:rPr>
        <w:t xml:space="preserve">Glucosinolate survey of cultivated and feral mashua (Tropaeolum tuberosum Ruíz &amp; PavÓn) in the Cuzco region of Peru. </w:t>
      </w:r>
      <w:r w:rsidRPr="00301D73">
        <w:rPr>
          <w:rFonts w:cs="Times New Roman"/>
          <w:i/>
          <w:iCs/>
          <w:szCs w:val="20"/>
        </w:rPr>
        <w:t>Economic Botany</w:t>
      </w:r>
      <w:r w:rsidRPr="00301D73">
        <w:rPr>
          <w:rFonts w:cs="Times New Roman"/>
          <w:szCs w:val="20"/>
        </w:rPr>
        <w:t xml:space="preserve">, </w:t>
      </w:r>
      <w:r w:rsidRPr="00301D73">
        <w:rPr>
          <w:rFonts w:cs="Times New Roman"/>
          <w:i/>
          <w:iCs/>
          <w:szCs w:val="20"/>
        </w:rPr>
        <w:t>60</w:t>
      </w:r>
      <w:r w:rsidRPr="00301D73">
        <w:rPr>
          <w:rFonts w:cs="Times New Roman"/>
          <w:szCs w:val="20"/>
        </w:rPr>
        <w:t>(3), 254-264. https://doi.org/10.1663/0013-0001(2006)60[</w:t>
      </w:r>
      <w:r w:rsidR="00301D73" w:rsidRPr="00301D73">
        <w:rPr>
          <w:rFonts w:cs="Times New Roman"/>
          <w:szCs w:val="20"/>
        </w:rPr>
        <w:t>254: GSOCAF</w:t>
      </w:r>
      <w:r w:rsidRPr="00301D73">
        <w:rPr>
          <w:rFonts w:cs="Times New Roman"/>
          <w:szCs w:val="20"/>
        </w:rPr>
        <w:t>]2.0.CO;2</w:t>
      </w:r>
    </w:p>
    <w:p w14:paraId="4BD1FD28" w14:textId="77777777" w:rsidR="00574AEC" w:rsidRPr="00301D73" w:rsidRDefault="00574AEC" w:rsidP="00301D73">
      <w:pPr>
        <w:pStyle w:val="Bibliography"/>
        <w:spacing w:before="0" w:line="276" w:lineRule="auto"/>
        <w:rPr>
          <w:rFonts w:cs="Times New Roman"/>
          <w:szCs w:val="20"/>
        </w:rPr>
      </w:pPr>
      <w:r w:rsidRPr="00301D73">
        <w:rPr>
          <w:rFonts w:cs="Times New Roman"/>
          <w:szCs w:val="20"/>
        </w:rPr>
        <w:t xml:space="preserve">Pacheco, M. T., Moreno, F. J., Moreno, R., Villamiel, M., y Hernandez-Hernandez, O. (2019). </w:t>
      </w:r>
      <w:r w:rsidRPr="00301D73">
        <w:rPr>
          <w:rFonts w:cs="Times New Roman"/>
          <w:szCs w:val="20"/>
          <w:lang w:val="en-US"/>
        </w:rPr>
        <w:t xml:space="preserve">Morphological, technological and nutritional properties of flours and starches from mashua (Tropaeolum tuberosum) and melloco (Ullucus tuberosus) cultivated in Ecuador. </w:t>
      </w:r>
      <w:r w:rsidRPr="00301D73">
        <w:rPr>
          <w:rFonts w:cs="Times New Roman"/>
          <w:i/>
          <w:iCs/>
          <w:szCs w:val="20"/>
        </w:rPr>
        <w:t>Food Chemistry</w:t>
      </w:r>
      <w:r w:rsidRPr="00301D73">
        <w:rPr>
          <w:rFonts w:cs="Times New Roman"/>
          <w:szCs w:val="20"/>
        </w:rPr>
        <w:t xml:space="preserve">, </w:t>
      </w:r>
      <w:r w:rsidRPr="00301D73">
        <w:rPr>
          <w:rFonts w:cs="Times New Roman"/>
          <w:i/>
          <w:iCs/>
          <w:szCs w:val="20"/>
        </w:rPr>
        <w:t>301</w:t>
      </w:r>
      <w:r w:rsidRPr="00301D73">
        <w:rPr>
          <w:rFonts w:cs="Times New Roman"/>
          <w:szCs w:val="20"/>
        </w:rPr>
        <w:t>, 125268. https://doi.org/10.1016/j.foodchem.2019.125268</w:t>
      </w:r>
    </w:p>
    <w:p w14:paraId="51E9D17B" w14:textId="77777777" w:rsidR="00574AEC" w:rsidRPr="00301D73" w:rsidRDefault="00574AEC" w:rsidP="00301D73">
      <w:pPr>
        <w:pStyle w:val="Bibliography"/>
        <w:spacing w:before="0" w:line="276" w:lineRule="auto"/>
        <w:rPr>
          <w:rFonts w:cs="Times New Roman"/>
          <w:szCs w:val="20"/>
        </w:rPr>
      </w:pPr>
      <w:r w:rsidRPr="00301D73">
        <w:rPr>
          <w:rFonts w:cs="Times New Roman"/>
          <w:szCs w:val="20"/>
        </w:rPr>
        <w:t xml:space="preserve">Tacán, M., Rosales, O., Naranjo, E., Tapia, C., Monteros, Á., Roura, A., Sigcha, F., Valverde, M., Lima, L., y Suango, V. (2024). </w:t>
      </w:r>
      <w:r w:rsidRPr="00301D73">
        <w:rPr>
          <w:rFonts w:cs="Times New Roman"/>
          <w:i/>
          <w:iCs/>
          <w:szCs w:val="20"/>
        </w:rPr>
        <w:t>Zonas de Conservación para 25 Cultivos Andinos en Ecuador</w:t>
      </w:r>
      <w:r w:rsidRPr="00301D73">
        <w:rPr>
          <w:rFonts w:cs="Times New Roman"/>
          <w:szCs w:val="20"/>
        </w:rPr>
        <w:t>. http://repositorio.iniap.gob.ec/handle/41000/6155</w:t>
      </w:r>
    </w:p>
    <w:p w14:paraId="12162F62" w14:textId="77777777" w:rsidR="00574AEC" w:rsidRPr="00301D73" w:rsidRDefault="00574AEC" w:rsidP="00301D73">
      <w:pPr>
        <w:pStyle w:val="Bibliography"/>
        <w:spacing w:before="0" w:line="276" w:lineRule="auto"/>
        <w:rPr>
          <w:rFonts w:cs="Times New Roman"/>
          <w:szCs w:val="20"/>
        </w:rPr>
      </w:pPr>
      <w:r w:rsidRPr="00301D73">
        <w:rPr>
          <w:rFonts w:cs="Times New Roman"/>
          <w:szCs w:val="20"/>
        </w:rPr>
        <w:t xml:space="preserve">Tapia, C., Castillo, R., y Mazón, N. (1996). </w:t>
      </w:r>
      <w:r w:rsidRPr="00301D73">
        <w:rPr>
          <w:rFonts w:cs="Times New Roman"/>
          <w:i/>
          <w:iCs/>
          <w:szCs w:val="20"/>
        </w:rPr>
        <w:t>Catálogo de recursos genéticos de raíces y tubérculos andinos en Ecuador</w:t>
      </w:r>
      <w:r w:rsidRPr="00301D73">
        <w:rPr>
          <w:rFonts w:cs="Times New Roman"/>
          <w:szCs w:val="20"/>
        </w:rPr>
        <w:t>. http://repositorio.iniap.gob.ec/handle/41000/2695</w:t>
      </w:r>
    </w:p>
    <w:p w14:paraId="782471F4" w14:textId="77777777" w:rsidR="00574AEC" w:rsidRPr="00301D73" w:rsidRDefault="00574AEC" w:rsidP="00301D73">
      <w:pPr>
        <w:pStyle w:val="Bibliography"/>
        <w:spacing w:before="0" w:line="276" w:lineRule="auto"/>
        <w:rPr>
          <w:rFonts w:cs="Times New Roman"/>
          <w:szCs w:val="20"/>
        </w:rPr>
      </w:pPr>
      <w:r w:rsidRPr="00301D73">
        <w:rPr>
          <w:rFonts w:cs="Times New Roman"/>
          <w:szCs w:val="20"/>
        </w:rPr>
        <w:lastRenderedPageBreak/>
        <w:t xml:space="preserve">Valle-Parra, M., Lalaleo, L., Pomboza-Tamaquiza, P., Ramírez-Estrada, K., Becerra-Martínez, E., y Hidalgo, D. (2020). </w:t>
      </w:r>
      <w:r w:rsidRPr="00301D73">
        <w:rPr>
          <w:rFonts w:cs="Times New Roman"/>
          <w:szCs w:val="20"/>
          <w:lang w:val="en-US"/>
        </w:rPr>
        <w:t xml:space="preserve">From morphological traits to the food fingerprint of Tropaeolum tuberosum through metabolomics by NMR. </w:t>
      </w:r>
      <w:r w:rsidRPr="00301D73">
        <w:rPr>
          <w:rFonts w:cs="Times New Roman"/>
          <w:i/>
          <w:iCs/>
          <w:szCs w:val="20"/>
        </w:rPr>
        <w:t>LWT</w:t>
      </w:r>
      <w:r w:rsidRPr="00301D73">
        <w:rPr>
          <w:rFonts w:cs="Times New Roman"/>
          <w:szCs w:val="20"/>
        </w:rPr>
        <w:t xml:space="preserve">, </w:t>
      </w:r>
      <w:r w:rsidRPr="00301D73">
        <w:rPr>
          <w:rFonts w:cs="Times New Roman"/>
          <w:i/>
          <w:iCs/>
          <w:szCs w:val="20"/>
        </w:rPr>
        <w:t>119</w:t>
      </w:r>
      <w:r w:rsidRPr="00301D73">
        <w:rPr>
          <w:rFonts w:cs="Times New Roman"/>
          <w:szCs w:val="20"/>
        </w:rPr>
        <w:t>, 108869. https://doi.org/10.1016/j.lwt.2019.108869</w:t>
      </w:r>
    </w:p>
    <w:p w14:paraId="5E049147" w14:textId="383CCEB6" w:rsidR="00574AEC" w:rsidRPr="00301D73" w:rsidRDefault="00574AEC" w:rsidP="00301D73">
      <w:pPr>
        <w:spacing w:before="0"/>
        <w:jc w:val="left"/>
        <w:rPr>
          <w:rFonts w:cs="Times New Roman"/>
          <w:sz w:val="20"/>
          <w:szCs w:val="20"/>
        </w:rPr>
      </w:pPr>
      <w:r w:rsidRPr="00301D73">
        <w:rPr>
          <w:rFonts w:cs="Times New Roman"/>
          <w:sz w:val="20"/>
          <w:szCs w:val="20"/>
        </w:rPr>
        <w:fldChar w:fldCharType="end"/>
      </w:r>
    </w:p>
    <w:p w14:paraId="1CED1DA4" w14:textId="77777777" w:rsidR="00CE0F4B" w:rsidRPr="00CE0F4B" w:rsidRDefault="00CE0F4B" w:rsidP="008B6A98"/>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D2244" w14:textId="77777777" w:rsidR="004A37C0" w:rsidRDefault="004A37C0" w:rsidP="00EB0247">
      <w:pPr>
        <w:spacing w:after="0" w:line="240" w:lineRule="auto"/>
      </w:pPr>
      <w:r>
        <w:separator/>
      </w:r>
    </w:p>
  </w:endnote>
  <w:endnote w:type="continuationSeparator" w:id="0">
    <w:p w14:paraId="60AE746B" w14:textId="77777777" w:rsidR="004A37C0" w:rsidRDefault="004A37C0"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B41E7" w14:textId="77777777" w:rsidR="004A37C0" w:rsidRDefault="004A37C0" w:rsidP="00EB0247">
      <w:pPr>
        <w:spacing w:after="0" w:line="240" w:lineRule="auto"/>
      </w:pPr>
      <w:r>
        <w:separator/>
      </w:r>
    </w:p>
  </w:footnote>
  <w:footnote w:type="continuationSeparator" w:id="0">
    <w:p w14:paraId="69844618" w14:textId="77777777" w:rsidR="004A37C0" w:rsidRDefault="004A37C0"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539"/>
    <w:multiLevelType w:val="multilevel"/>
    <w:tmpl w:val="31D07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1F1CFE"/>
    <w:multiLevelType w:val="multilevel"/>
    <w:tmpl w:val="E7F4FB30"/>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4" w15:restartNumberingAfterBreak="0">
    <w:nsid w:val="22F72026"/>
    <w:multiLevelType w:val="hybridMultilevel"/>
    <w:tmpl w:val="704A2172"/>
    <w:lvl w:ilvl="0" w:tplc="F4D08FC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5C0D16"/>
    <w:multiLevelType w:val="multilevel"/>
    <w:tmpl w:val="2452EAB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DB38DD"/>
    <w:multiLevelType w:val="multilevel"/>
    <w:tmpl w:val="538CB132"/>
    <w:lvl w:ilvl="0">
      <w:start w:val="1"/>
      <w:numFmt w:val="decimal"/>
      <w:lvlText w:val="%1."/>
      <w:lvlJc w:val="left"/>
      <w:pPr>
        <w:ind w:left="432" w:hanging="432"/>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3B306AC4"/>
    <w:multiLevelType w:val="multilevel"/>
    <w:tmpl w:val="4FC83C26"/>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B8482B"/>
    <w:multiLevelType w:val="hybridMultilevel"/>
    <w:tmpl w:val="D70A5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5604F25"/>
    <w:multiLevelType w:val="multilevel"/>
    <w:tmpl w:val="DEB44D80"/>
    <w:lvl w:ilvl="0">
      <w:start w:val="1"/>
      <w:numFmt w:val="upperLetter"/>
      <w:pStyle w:val="Estilo1"/>
      <w:lvlText w:val="%1."/>
      <w:lvlJc w:val="left"/>
      <w:pPr>
        <w:ind w:left="585" w:hanging="585"/>
      </w:pPr>
    </w:lvl>
    <w:lvl w:ilvl="1">
      <w:start w:val="1"/>
      <w:numFmt w:val="decimal"/>
      <w:pStyle w:val="Estilo2"/>
      <w:lvlText w:val="%1.%2."/>
      <w:lvlJc w:val="left"/>
      <w:pPr>
        <w:ind w:left="720" w:hanging="720"/>
      </w:pPr>
      <w:rPr>
        <w:rFonts w:hint="default"/>
        <w:b/>
        <w:lang w:val="es-EC"/>
      </w:rPr>
    </w:lvl>
    <w:lvl w:ilvl="2">
      <w:start w:val="1"/>
      <w:numFmt w:val="decimal"/>
      <w:pStyle w:val="Estilo3"/>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120956210">
    <w:abstractNumId w:val="1"/>
  </w:num>
  <w:num w:numId="2" w16cid:durableId="12540760">
    <w:abstractNumId w:val="3"/>
  </w:num>
  <w:num w:numId="3" w16cid:durableId="1460302353">
    <w:abstractNumId w:val="10"/>
  </w:num>
  <w:num w:numId="4" w16cid:durableId="1943684073">
    <w:abstractNumId w:val="11"/>
  </w:num>
  <w:num w:numId="5" w16cid:durableId="592206702">
    <w:abstractNumId w:val="6"/>
  </w:num>
  <w:num w:numId="6" w16cid:durableId="1904946557">
    <w:abstractNumId w:val="9"/>
  </w:num>
  <w:num w:numId="7" w16cid:durableId="2013947381">
    <w:abstractNumId w:val="8"/>
  </w:num>
  <w:num w:numId="8" w16cid:durableId="529880432">
    <w:abstractNumId w:val="0"/>
  </w:num>
  <w:num w:numId="9" w16cid:durableId="916286400">
    <w:abstractNumId w:val="4"/>
  </w:num>
  <w:num w:numId="10" w16cid:durableId="1741322854">
    <w:abstractNumId w:val="7"/>
  </w:num>
  <w:num w:numId="11" w16cid:durableId="264004511">
    <w:abstractNumId w:val="2"/>
  </w:num>
  <w:num w:numId="12" w16cid:durableId="5566636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1265"/>
    <w:rsid w:val="00012517"/>
    <w:rsid w:val="0001351C"/>
    <w:rsid w:val="00030513"/>
    <w:rsid w:val="00033E3E"/>
    <w:rsid w:val="00045E87"/>
    <w:rsid w:val="000539AB"/>
    <w:rsid w:val="00054459"/>
    <w:rsid w:val="00063421"/>
    <w:rsid w:val="0009066A"/>
    <w:rsid w:val="00097EEF"/>
    <w:rsid w:val="000A2AE0"/>
    <w:rsid w:val="000A6E67"/>
    <w:rsid w:val="000A7D8D"/>
    <w:rsid w:val="000C5EDB"/>
    <w:rsid w:val="000D4801"/>
    <w:rsid w:val="000E4CCB"/>
    <w:rsid w:val="00111EA5"/>
    <w:rsid w:val="00123A03"/>
    <w:rsid w:val="0012558E"/>
    <w:rsid w:val="001348A0"/>
    <w:rsid w:val="0013737F"/>
    <w:rsid w:val="00140844"/>
    <w:rsid w:val="00141955"/>
    <w:rsid w:val="00144BD9"/>
    <w:rsid w:val="001468AC"/>
    <w:rsid w:val="0015066B"/>
    <w:rsid w:val="001547A0"/>
    <w:rsid w:val="00156F2B"/>
    <w:rsid w:val="00162F53"/>
    <w:rsid w:val="00182667"/>
    <w:rsid w:val="00185A00"/>
    <w:rsid w:val="0018654D"/>
    <w:rsid w:val="001950D8"/>
    <w:rsid w:val="00197D57"/>
    <w:rsid w:val="001A6BC8"/>
    <w:rsid w:val="001A7AD8"/>
    <w:rsid w:val="001B5202"/>
    <w:rsid w:val="001B767E"/>
    <w:rsid w:val="001C4BAE"/>
    <w:rsid w:val="001E6783"/>
    <w:rsid w:val="00206207"/>
    <w:rsid w:val="0020734C"/>
    <w:rsid w:val="00213AFF"/>
    <w:rsid w:val="00242EFB"/>
    <w:rsid w:val="002433EC"/>
    <w:rsid w:val="00254F0F"/>
    <w:rsid w:val="00265FE8"/>
    <w:rsid w:val="00277D15"/>
    <w:rsid w:val="00280126"/>
    <w:rsid w:val="00281564"/>
    <w:rsid w:val="00285B53"/>
    <w:rsid w:val="002A1FC6"/>
    <w:rsid w:val="002A43CD"/>
    <w:rsid w:val="002B0177"/>
    <w:rsid w:val="002C2FC6"/>
    <w:rsid w:val="002C5703"/>
    <w:rsid w:val="002D23FB"/>
    <w:rsid w:val="002D268C"/>
    <w:rsid w:val="002F3733"/>
    <w:rsid w:val="00301D73"/>
    <w:rsid w:val="003024E3"/>
    <w:rsid w:val="00304660"/>
    <w:rsid w:val="003409C2"/>
    <w:rsid w:val="003433EC"/>
    <w:rsid w:val="003444C7"/>
    <w:rsid w:val="003512A0"/>
    <w:rsid w:val="00351721"/>
    <w:rsid w:val="00356EA9"/>
    <w:rsid w:val="00375999"/>
    <w:rsid w:val="00393FE7"/>
    <w:rsid w:val="0039591A"/>
    <w:rsid w:val="003B7483"/>
    <w:rsid w:val="003B78C7"/>
    <w:rsid w:val="003C4D9F"/>
    <w:rsid w:val="003C594E"/>
    <w:rsid w:val="003E66FB"/>
    <w:rsid w:val="00402483"/>
    <w:rsid w:val="00415420"/>
    <w:rsid w:val="00422CDA"/>
    <w:rsid w:val="004307D4"/>
    <w:rsid w:val="00437ED3"/>
    <w:rsid w:val="0044345A"/>
    <w:rsid w:val="00445897"/>
    <w:rsid w:val="00454112"/>
    <w:rsid w:val="004563E2"/>
    <w:rsid w:val="00477173"/>
    <w:rsid w:val="004819D7"/>
    <w:rsid w:val="004842F0"/>
    <w:rsid w:val="00484413"/>
    <w:rsid w:val="004850B5"/>
    <w:rsid w:val="0048575F"/>
    <w:rsid w:val="00493A17"/>
    <w:rsid w:val="004A37C0"/>
    <w:rsid w:val="004B31A2"/>
    <w:rsid w:val="004B4FFC"/>
    <w:rsid w:val="004B534B"/>
    <w:rsid w:val="004C0202"/>
    <w:rsid w:val="004C0C81"/>
    <w:rsid w:val="004C2777"/>
    <w:rsid w:val="004D0180"/>
    <w:rsid w:val="004D24FE"/>
    <w:rsid w:val="004D3F81"/>
    <w:rsid w:val="004F50FA"/>
    <w:rsid w:val="00506A8C"/>
    <w:rsid w:val="00525F53"/>
    <w:rsid w:val="00527AFA"/>
    <w:rsid w:val="005335DF"/>
    <w:rsid w:val="00537E35"/>
    <w:rsid w:val="005417EB"/>
    <w:rsid w:val="005430EA"/>
    <w:rsid w:val="00553A6E"/>
    <w:rsid w:val="005557D0"/>
    <w:rsid w:val="005603F5"/>
    <w:rsid w:val="00574AEC"/>
    <w:rsid w:val="00580669"/>
    <w:rsid w:val="00584BB4"/>
    <w:rsid w:val="005900A4"/>
    <w:rsid w:val="005923DF"/>
    <w:rsid w:val="005A43E3"/>
    <w:rsid w:val="005A4AFE"/>
    <w:rsid w:val="005A6174"/>
    <w:rsid w:val="005A6383"/>
    <w:rsid w:val="005C151C"/>
    <w:rsid w:val="005C370C"/>
    <w:rsid w:val="005D4160"/>
    <w:rsid w:val="005D52D1"/>
    <w:rsid w:val="005F466B"/>
    <w:rsid w:val="006031C2"/>
    <w:rsid w:val="00607EE3"/>
    <w:rsid w:val="006131F7"/>
    <w:rsid w:val="00616A05"/>
    <w:rsid w:val="0061776D"/>
    <w:rsid w:val="00620A5A"/>
    <w:rsid w:val="00654440"/>
    <w:rsid w:val="006576A7"/>
    <w:rsid w:val="00672554"/>
    <w:rsid w:val="00675757"/>
    <w:rsid w:val="00680332"/>
    <w:rsid w:val="00681364"/>
    <w:rsid w:val="00684A85"/>
    <w:rsid w:val="00684ED8"/>
    <w:rsid w:val="0068583E"/>
    <w:rsid w:val="0068745E"/>
    <w:rsid w:val="006B57D4"/>
    <w:rsid w:val="006B58FB"/>
    <w:rsid w:val="006B6C92"/>
    <w:rsid w:val="006B7745"/>
    <w:rsid w:val="006C50CE"/>
    <w:rsid w:val="006D5B87"/>
    <w:rsid w:val="00714B31"/>
    <w:rsid w:val="00714CBD"/>
    <w:rsid w:val="00721EBE"/>
    <w:rsid w:val="0072217F"/>
    <w:rsid w:val="00724E41"/>
    <w:rsid w:val="007263DC"/>
    <w:rsid w:val="00742AC5"/>
    <w:rsid w:val="007622D0"/>
    <w:rsid w:val="00765724"/>
    <w:rsid w:val="007701F1"/>
    <w:rsid w:val="00792960"/>
    <w:rsid w:val="007A0F17"/>
    <w:rsid w:val="007B40A7"/>
    <w:rsid w:val="007B5C7E"/>
    <w:rsid w:val="007E2742"/>
    <w:rsid w:val="007E4E94"/>
    <w:rsid w:val="007F0944"/>
    <w:rsid w:val="0080103B"/>
    <w:rsid w:val="00801B90"/>
    <w:rsid w:val="00804721"/>
    <w:rsid w:val="00821D78"/>
    <w:rsid w:val="008226DF"/>
    <w:rsid w:val="008238DE"/>
    <w:rsid w:val="0084434D"/>
    <w:rsid w:val="00855189"/>
    <w:rsid w:val="00857566"/>
    <w:rsid w:val="0086141F"/>
    <w:rsid w:val="00863A4D"/>
    <w:rsid w:val="00872B50"/>
    <w:rsid w:val="00873E1A"/>
    <w:rsid w:val="008874BE"/>
    <w:rsid w:val="008A4085"/>
    <w:rsid w:val="008A4786"/>
    <w:rsid w:val="008A483F"/>
    <w:rsid w:val="008A66FC"/>
    <w:rsid w:val="008B6A98"/>
    <w:rsid w:val="008C1056"/>
    <w:rsid w:val="008C2861"/>
    <w:rsid w:val="008C2B2C"/>
    <w:rsid w:val="008D0D5A"/>
    <w:rsid w:val="008D15A7"/>
    <w:rsid w:val="008E326B"/>
    <w:rsid w:val="008E3CE9"/>
    <w:rsid w:val="008F1330"/>
    <w:rsid w:val="008F3BDB"/>
    <w:rsid w:val="008F3F8E"/>
    <w:rsid w:val="00910F31"/>
    <w:rsid w:val="00911905"/>
    <w:rsid w:val="0091337D"/>
    <w:rsid w:val="009171C1"/>
    <w:rsid w:val="00920563"/>
    <w:rsid w:val="0093429F"/>
    <w:rsid w:val="00936A52"/>
    <w:rsid w:val="00943CF3"/>
    <w:rsid w:val="009446EC"/>
    <w:rsid w:val="009477E3"/>
    <w:rsid w:val="00962592"/>
    <w:rsid w:val="00970AFB"/>
    <w:rsid w:val="009744DD"/>
    <w:rsid w:val="009847F6"/>
    <w:rsid w:val="009A1E41"/>
    <w:rsid w:val="009A32B6"/>
    <w:rsid w:val="009A336B"/>
    <w:rsid w:val="009C0DFA"/>
    <w:rsid w:val="009C304F"/>
    <w:rsid w:val="009C3299"/>
    <w:rsid w:val="009C3F2D"/>
    <w:rsid w:val="009C4FCE"/>
    <w:rsid w:val="009C657C"/>
    <w:rsid w:val="009D0814"/>
    <w:rsid w:val="009D4514"/>
    <w:rsid w:val="009E664A"/>
    <w:rsid w:val="009F5F74"/>
    <w:rsid w:val="00A003D8"/>
    <w:rsid w:val="00A01702"/>
    <w:rsid w:val="00A206F1"/>
    <w:rsid w:val="00A27084"/>
    <w:rsid w:val="00A46F3B"/>
    <w:rsid w:val="00A470F0"/>
    <w:rsid w:val="00A51440"/>
    <w:rsid w:val="00A54255"/>
    <w:rsid w:val="00A5543D"/>
    <w:rsid w:val="00A74344"/>
    <w:rsid w:val="00A74859"/>
    <w:rsid w:val="00A7672A"/>
    <w:rsid w:val="00A8553F"/>
    <w:rsid w:val="00A9770B"/>
    <w:rsid w:val="00AC0BBF"/>
    <w:rsid w:val="00AD07C3"/>
    <w:rsid w:val="00B0717D"/>
    <w:rsid w:val="00B13782"/>
    <w:rsid w:val="00B230C0"/>
    <w:rsid w:val="00B33F6A"/>
    <w:rsid w:val="00B37BD2"/>
    <w:rsid w:val="00B4597E"/>
    <w:rsid w:val="00B45C7A"/>
    <w:rsid w:val="00B55B44"/>
    <w:rsid w:val="00B57A4E"/>
    <w:rsid w:val="00B60DF4"/>
    <w:rsid w:val="00B62B81"/>
    <w:rsid w:val="00B703CF"/>
    <w:rsid w:val="00BA1F97"/>
    <w:rsid w:val="00BA3B31"/>
    <w:rsid w:val="00BA4EA8"/>
    <w:rsid w:val="00BA4FD5"/>
    <w:rsid w:val="00BB38AC"/>
    <w:rsid w:val="00BC0347"/>
    <w:rsid w:val="00BC55BB"/>
    <w:rsid w:val="00BC5B83"/>
    <w:rsid w:val="00BD4B07"/>
    <w:rsid w:val="00BD534B"/>
    <w:rsid w:val="00BD7178"/>
    <w:rsid w:val="00BE297B"/>
    <w:rsid w:val="00BE3D2B"/>
    <w:rsid w:val="00BE5F2C"/>
    <w:rsid w:val="00BE6876"/>
    <w:rsid w:val="00BF45D1"/>
    <w:rsid w:val="00BF50C0"/>
    <w:rsid w:val="00C04199"/>
    <w:rsid w:val="00C21575"/>
    <w:rsid w:val="00C21F8C"/>
    <w:rsid w:val="00C2452C"/>
    <w:rsid w:val="00C302E3"/>
    <w:rsid w:val="00C30BA1"/>
    <w:rsid w:val="00C32A88"/>
    <w:rsid w:val="00C3478F"/>
    <w:rsid w:val="00C40B96"/>
    <w:rsid w:val="00C437FC"/>
    <w:rsid w:val="00C44CC7"/>
    <w:rsid w:val="00C45F7D"/>
    <w:rsid w:val="00C466C9"/>
    <w:rsid w:val="00C533E0"/>
    <w:rsid w:val="00C80D68"/>
    <w:rsid w:val="00C8134E"/>
    <w:rsid w:val="00C930F7"/>
    <w:rsid w:val="00CA0400"/>
    <w:rsid w:val="00CA73EF"/>
    <w:rsid w:val="00CB504B"/>
    <w:rsid w:val="00CB68DC"/>
    <w:rsid w:val="00CC14CB"/>
    <w:rsid w:val="00CC152D"/>
    <w:rsid w:val="00CD0091"/>
    <w:rsid w:val="00CE0F4B"/>
    <w:rsid w:val="00CE17EA"/>
    <w:rsid w:val="00CF35B7"/>
    <w:rsid w:val="00D0381D"/>
    <w:rsid w:val="00D05D1F"/>
    <w:rsid w:val="00D1352B"/>
    <w:rsid w:val="00D36F76"/>
    <w:rsid w:val="00D47BD3"/>
    <w:rsid w:val="00D86CAA"/>
    <w:rsid w:val="00DA0BED"/>
    <w:rsid w:val="00DA45E0"/>
    <w:rsid w:val="00DA6D00"/>
    <w:rsid w:val="00DC3839"/>
    <w:rsid w:val="00DC5E4E"/>
    <w:rsid w:val="00DC5E7D"/>
    <w:rsid w:val="00DD5187"/>
    <w:rsid w:val="00DE0B74"/>
    <w:rsid w:val="00DF193A"/>
    <w:rsid w:val="00DF1B76"/>
    <w:rsid w:val="00E04357"/>
    <w:rsid w:val="00E05E1A"/>
    <w:rsid w:val="00E06000"/>
    <w:rsid w:val="00E12A1E"/>
    <w:rsid w:val="00E276DF"/>
    <w:rsid w:val="00E44879"/>
    <w:rsid w:val="00E57A01"/>
    <w:rsid w:val="00E649D6"/>
    <w:rsid w:val="00E664C8"/>
    <w:rsid w:val="00E77391"/>
    <w:rsid w:val="00E80324"/>
    <w:rsid w:val="00EB0247"/>
    <w:rsid w:val="00EB4324"/>
    <w:rsid w:val="00EC01A5"/>
    <w:rsid w:val="00ED6057"/>
    <w:rsid w:val="00EF5454"/>
    <w:rsid w:val="00F051E1"/>
    <w:rsid w:val="00F313C3"/>
    <w:rsid w:val="00F32C92"/>
    <w:rsid w:val="00F33835"/>
    <w:rsid w:val="00F46E1B"/>
    <w:rsid w:val="00F5367E"/>
    <w:rsid w:val="00F60611"/>
    <w:rsid w:val="00F6387D"/>
    <w:rsid w:val="00F63B01"/>
    <w:rsid w:val="00F66726"/>
    <w:rsid w:val="00F7335B"/>
    <w:rsid w:val="00FA51E8"/>
    <w:rsid w:val="00FA7CDE"/>
    <w:rsid w:val="00FB7B32"/>
    <w:rsid w:val="00FE6BFA"/>
    <w:rsid w:val="00FF70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Heading1">
    <w:name w:val="heading 1"/>
    <w:basedOn w:val="Normal"/>
    <w:next w:val="Normal"/>
    <w:link w:val="Heading1Ch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Heading2">
    <w:name w:val="heading 2"/>
    <w:basedOn w:val="Normal"/>
    <w:next w:val="Heading1"/>
    <w:link w:val="Heading2Char"/>
    <w:uiPriority w:val="5"/>
    <w:unhideWhenUsed/>
    <w:qFormat/>
    <w:rsid w:val="00493A17"/>
    <w:pPr>
      <w:spacing w:before="240" w:after="160"/>
      <w:outlineLvl w:val="1"/>
    </w:pPr>
    <w:rPr>
      <w:smallCaps/>
      <w:szCs w:val="26"/>
      <w14:numForm w14:val="lining"/>
    </w:rPr>
  </w:style>
  <w:style w:type="paragraph" w:styleId="Heading3">
    <w:name w:val="heading 3"/>
    <w:basedOn w:val="Heading1"/>
    <w:next w:val="Normal"/>
    <w:link w:val="Heading3Char"/>
    <w:uiPriority w:val="6"/>
    <w:unhideWhenUsed/>
    <w:qFormat/>
    <w:rsid w:val="00493A17"/>
    <w:pPr>
      <w:spacing w:before="240" w:after="160"/>
      <w:outlineLvl w:val="2"/>
    </w:pPr>
    <w:rPr>
      <w:caps w:val="0"/>
      <w:sz w:val="23"/>
    </w:rPr>
  </w:style>
  <w:style w:type="paragraph" w:styleId="Heading4">
    <w:name w:val="heading 4"/>
    <w:basedOn w:val="Heading3"/>
    <w:next w:val="Normal"/>
    <w:link w:val="Heading4Char"/>
    <w:uiPriority w:val="7"/>
    <w:unhideWhenUsed/>
    <w:qFormat/>
    <w:rsid w:val="00EB0247"/>
    <w:pPr>
      <w:outlineLvl w:val="3"/>
    </w:pPr>
  </w:style>
  <w:style w:type="paragraph" w:styleId="Heading5">
    <w:name w:val="heading 5"/>
    <w:basedOn w:val="Normal"/>
    <w:next w:val="Normal"/>
    <w:link w:val="Heading5Ch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qFormat/>
    <w:rsid w:val="00742AC5"/>
    <w:rPr>
      <w:rFonts w:ascii="Times New Roman" w:eastAsia="SimSun" w:hAnsi="Times New Roman" w:cstheme="majorBidi"/>
      <w:caps/>
      <w:spacing w:val="1"/>
      <w:sz w:val="24"/>
      <w:szCs w:val="32"/>
      <w14:numForm w14:val="lining"/>
    </w:rPr>
  </w:style>
  <w:style w:type="character" w:customStyle="1" w:styleId="Heading2Char">
    <w:name w:val="Heading 2 Char"/>
    <w:basedOn w:val="DefaultParagraphFont"/>
    <w:link w:val="Heading2"/>
    <w:uiPriority w:val="5"/>
    <w:qFormat/>
    <w:rsid w:val="00493A17"/>
    <w:rPr>
      <w:rFonts w:ascii="Times New Roman" w:hAnsi="Times New Roman"/>
      <w:smallCaps/>
      <w:spacing w:val="1"/>
      <w:sz w:val="23"/>
      <w:szCs w:val="26"/>
      <w14:numForm w14:val="lining"/>
    </w:rPr>
  </w:style>
  <w:style w:type="character" w:customStyle="1" w:styleId="Heading4Char">
    <w:name w:val="Heading 4 Char"/>
    <w:basedOn w:val="DefaultParagraphFont"/>
    <w:link w:val="Heading4"/>
    <w:uiPriority w:val="7"/>
    <w:rsid w:val="00742AC5"/>
    <w:rPr>
      <w:rFonts w:ascii="Times New Roman" w:eastAsia="SimSun" w:hAnsi="Times New Roman" w:cstheme="majorBidi"/>
      <w:spacing w:val="1"/>
      <w:sz w:val="23"/>
      <w:szCs w:val="32"/>
      <w14:numForm w14:val="oldStyle"/>
    </w:rPr>
  </w:style>
  <w:style w:type="character" w:customStyle="1" w:styleId="Heading5Char">
    <w:name w:val="Heading 5 Char"/>
    <w:basedOn w:val="DefaultParagraphFont"/>
    <w:link w:val="Heading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Heading3Char">
    <w:name w:val="Heading 3 Char"/>
    <w:basedOn w:val="DefaultParagraphFont"/>
    <w:link w:val="Heading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FootnoteText">
    <w:name w:val="footnote text"/>
    <w:basedOn w:val="Normal"/>
    <w:link w:val="FootnoteTextChar"/>
    <w:uiPriority w:val="99"/>
    <w:semiHidden/>
    <w:locked/>
    <w:rsid w:val="00EB0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0611"/>
    <w:rPr>
      <w:rFonts w:ascii="Times New Roman" w:hAnsi="Times New Roman"/>
      <w:spacing w:val="1"/>
      <w:sz w:val="20"/>
      <w:szCs w:val="20"/>
      <w14:numForm w14:val="oldStyle"/>
    </w:rPr>
  </w:style>
  <w:style w:type="character" w:styleId="FootnoteReference">
    <w:name w:val="footnote reference"/>
    <w:basedOn w:val="DefaultParagraphFont"/>
    <w:uiPriority w:val="99"/>
    <w:semiHidden/>
    <w:locked/>
    <w:rsid w:val="00EB0247"/>
    <w:rPr>
      <w:vertAlign w:val="superscript"/>
    </w:rPr>
  </w:style>
  <w:style w:type="paragraph" w:customStyle="1" w:styleId="Notaalpie">
    <w:name w:val="Nota al pie"/>
    <w:basedOn w:val="FootnoteText"/>
    <w:link w:val="NotaalpieCar"/>
    <w:uiPriority w:val="14"/>
    <w:qFormat/>
    <w:rsid w:val="00EB0247"/>
    <w:pPr>
      <w:spacing w:after="60"/>
      <w:jc w:val="left"/>
    </w:pPr>
    <w:rPr>
      <w:rFonts w:ascii="Arial Narrow" w:hAnsi="Arial Narrow"/>
      <w:sz w:val="19"/>
    </w:rPr>
  </w:style>
  <w:style w:type="paragraph" w:styleId="Bibliography">
    <w:name w:val="Bibliography"/>
    <w:aliases w:val="Referencias"/>
    <w:basedOn w:val="Normal"/>
    <w:next w:val="Normal"/>
    <w:link w:val="BibliographyChar"/>
    <w:uiPriority w:val="18"/>
    <w:qFormat/>
    <w:rsid w:val="008B6A98"/>
    <w:pPr>
      <w:suppressAutoHyphens/>
      <w:spacing w:before="120" w:after="0" w:line="480" w:lineRule="atLeast"/>
      <w:ind w:left="720" w:hanging="720"/>
      <w:jc w:val="left"/>
    </w:pPr>
    <w:rPr>
      <w:rFonts w:eastAsia="Calibri" w:cs="Arial"/>
      <w:spacing w:val="0"/>
      <w:sz w:val="20"/>
      <w14:numSpacing w14:val="proportional"/>
    </w:rPr>
  </w:style>
  <w:style w:type="character" w:customStyle="1" w:styleId="BibliographyChar">
    <w:name w:val="Bibliography Char"/>
    <w:aliases w:val="Referencias Char"/>
    <w:basedOn w:val="DefaultParagraphFont"/>
    <w:link w:val="Bibliography"/>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NoList"/>
    <w:uiPriority w:val="99"/>
    <w:locked/>
    <w:rsid w:val="007701F1"/>
    <w:pPr>
      <w:numPr>
        <w:numId w:val="1"/>
      </w:numPr>
    </w:pPr>
  </w:style>
  <w:style w:type="paragraph" w:customStyle="1" w:styleId="Listadoajustado">
    <w:name w:val="Listado ajustado"/>
    <w:basedOn w:val="Normal"/>
    <w:link w:val="ListadoajustadoCar"/>
    <w:uiPriority w:val="11"/>
    <w:qFormat/>
    <w:rsid w:val="00140844"/>
    <w:pPr>
      <w:numPr>
        <w:numId w:val="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phyCh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eGrid">
    <w:name w:val="Table Grid"/>
    <w:basedOn w:val="Table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DefaultParagraphFont"/>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eGridLight">
    <w:name w:val="Grid Table Light"/>
    <w:basedOn w:val="Table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Simple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Simple1">
    <w:name w:val="Table Simple 1"/>
    <w:basedOn w:val="Table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e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ListParagraph">
    <w:name w:val="List Paragraph"/>
    <w:basedOn w:val="Normal"/>
    <w:link w:val="ListParagraphChar"/>
    <w:uiPriority w:val="34"/>
    <w:qFormat/>
    <w:locked/>
    <w:rsid w:val="00CA0400"/>
    <w:pPr>
      <w:ind w:left="720"/>
      <w:contextualSpacing/>
    </w:pPr>
  </w:style>
  <w:style w:type="paragraph" w:customStyle="1" w:styleId="Listadonmeros">
    <w:name w:val="Listado números"/>
    <w:basedOn w:val="ListParagraph"/>
    <w:link w:val="ListadonmerosCar"/>
    <w:uiPriority w:val="12"/>
    <w:qFormat/>
    <w:rsid w:val="00140844"/>
    <w:pPr>
      <w:numPr>
        <w:numId w:val="3"/>
      </w:numPr>
      <w:spacing w:after="160"/>
      <w:ind w:left="851" w:hanging="284"/>
      <w:contextualSpacing w:val="0"/>
    </w:pPr>
    <w:rPr>
      <w14:numForm w14:val="lining"/>
    </w:rPr>
  </w:style>
  <w:style w:type="character" w:customStyle="1" w:styleId="ListParagraphChar">
    <w:name w:val="List Paragraph Char"/>
    <w:basedOn w:val="DefaultParagraphFont"/>
    <w:link w:val="ListParagraph"/>
    <w:uiPriority w:val="34"/>
    <w:rsid w:val="00F60611"/>
    <w:rPr>
      <w:rFonts w:ascii="Times New Roman" w:hAnsi="Times New Roman"/>
      <w:spacing w:val="1"/>
      <w:sz w:val="23"/>
      <w14:numForm w14:val="oldStyle"/>
    </w:rPr>
  </w:style>
  <w:style w:type="character" w:customStyle="1" w:styleId="ListadonmerosCar">
    <w:name w:val="Listado números Car"/>
    <w:basedOn w:val="ListParagraphCh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yperlink">
    <w:name w:val="Hyperlink"/>
    <w:basedOn w:val="DefaultParagraphFont"/>
    <w:uiPriority w:val="99"/>
    <w:semiHidden/>
    <w:locked/>
    <w:rsid w:val="00477173"/>
    <w:rPr>
      <w:color w:val="0563C1" w:themeColor="hyperlink"/>
      <w:u w:val="single"/>
    </w:rPr>
  </w:style>
  <w:style w:type="character" w:customStyle="1" w:styleId="NotaalpieCar">
    <w:name w:val="Nota al pie Car"/>
    <w:basedOn w:val="FootnoteTextCh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DefaultParagraphFont"/>
    <w:uiPriority w:val="99"/>
    <w:semiHidden/>
    <w:locked/>
    <w:rsid w:val="00477173"/>
    <w:rPr>
      <w:color w:val="605E5C"/>
      <w:shd w:val="clear" w:color="auto" w:fill="E1DFDD"/>
    </w:rPr>
  </w:style>
  <w:style w:type="character" w:styleId="Strong">
    <w:name w:val="Strong"/>
    <w:basedOn w:val="DefaultParagraphFont"/>
    <w:uiPriority w:val="99"/>
    <w:semiHidden/>
    <w:locked/>
    <w:rsid w:val="003512A0"/>
    <w:rPr>
      <w:b/>
      <w:bCs/>
    </w:rPr>
  </w:style>
  <w:style w:type="paragraph" w:styleId="BodyText">
    <w:name w:val="Body Text"/>
    <w:basedOn w:val="Normal"/>
    <w:link w:val="BodyTextCh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BodyTextChar">
    <w:name w:val="Body Text Char"/>
    <w:basedOn w:val="DefaultParagraphFont"/>
    <w:link w:val="BodyText"/>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DefaultParagraphFont"/>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4"/>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CommentReference">
    <w:name w:val="annotation reference"/>
    <w:basedOn w:val="DefaultParagraphFont"/>
    <w:uiPriority w:val="99"/>
    <w:semiHidden/>
    <w:locked/>
    <w:rsid w:val="009847F6"/>
    <w:rPr>
      <w:sz w:val="16"/>
      <w:szCs w:val="16"/>
    </w:rPr>
  </w:style>
  <w:style w:type="paragraph" w:styleId="CommentText">
    <w:name w:val="annotation text"/>
    <w:basedOn w:val="Normal"/>
    <w:link w:val="CommentTextChar"/>
    <w:uiPriority w:val="99"/>
    <w:semiHidden/>
    <w:locked/>
    <w:rsid w:val="009847F6"/>
    <w:pPr>
      <w:spacing w:line="240" w:lineRule="auto"/>
    </w:pPr>
    <w:rPr>
      <w:sz w:val="20"/>
      <w:szCs w:val="20"/>
    </w:rPr>
  </w:style>
  <w:style w:type="character" w:customStyle="1" w:styleId="CommentTextChar">
    <w:name w:val="Comment Text Char"/>
    <w:basedOn w:val="DefaultParagraphFont"/>
    <w:link w:val="CommentText"/>
    <w:uiPriority w:val="99"/>
    <w:semiHidden/>
    <w:rsid w:val="009847F6"/>
    <w:rPr>
      <w:rFonts w:ascii="Times New Roman" w:hAnsi="Times New Roman"/>
      <w:spacing w:val="1"/>
      <w:sz w:val="20"/>
      <w:szCs w:val="20"/>
      <w14:numForm w14:val="oldStyle"/>
    </w:rPr>
  </w:style>
  <w:style w:type="paragraph" w:styleId="CommentSubject">
    <w:name w:val="annotation subject"/>
    <w:basedOn w:val="CommentText"/>
    <w:next w:val="CommentText"/>
    <w:link w:val="CommentSubjectChar"/>
    <w:uiPriority w:val="99"/>
    <w:semiHidden/>
    <w:locked/>
    <w:rsid w:val="009847F6"/>
    <w:rPr>
      <w:b/>
      <w:bCs/>
    </w:rPr>
  </w:style>
  <w:style w:type="character" w:customStyle="1" w:styleId="CommentSubjectChar">
    <w:name w:val="Comment Subject Char"/>
    <w:basedOn w:val="CommentTextChar"/>
    <w:link w:val="CommentSubject"/>
    <w:uiPriority w:val="99"/>
    <w:semiHidden/>
    <w:rsid w:val="009847F6"/>
    <w:rPr>
      <w:rFonts w:ascii="Times New Roman" w:hAnsi="Times New Roman"/>
      <w:b/>
      <w:bCs/>
      <w:spacing w:val="1"/>
      <w:sz w:val="20"/>
      <w:szCs w:val="20"/>
      <w14:numForm w14:val="oldStyle"/>
    </w:rPr>
  </w:style>
  <w:style w:type="paragraph" w:styleId="BalloonText">
    <w:name w:val="Balloon Text"/>
    <w:basedOn w:val="Normal"/>
    <w:link w:val="BalloonTextChar"/>
    <w:uiPriority w:val="99"/>
    <w:semiHidden/>
    <w:locked/>
    <w:rsid w:val="009847F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UnresolvedMention">
    <w:name w:val="Unresolved Mention"/>
    <w:basedOn w:val="DefaultParagraphFont"/>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FollowedHyperlink">
    <w:name w:val="FollowedHyperlink"/>
    <w:basedOn w:val="DefaultParagraphFont"/>
    <w:uiPriority w:val="99"/>
    <w:semiHidden/>
    <w:locked/>
    <w:rsid w:val="00DC3839"/>
    <w:rPr>
      <w:color w:val="954F72" w:themeColor="followedHyperlink"/>
      <w:u w:val="single"/>
    </w:rPr>
  </w:style>
  <w:style w:type="paragraph" w:customStyle="1" w:styleId="Estilo1">
    <w:name w:val="Estilo1"/>
    <w:basedOn w:val="BodyText"/>
    <w:qFormat/>
    <w:rsid w:val="00162F53"/>
    <w:pPr>
      <w:numPr>
        <w:numId w:val="6"/>
      </w:numPr>
      <w:spacing w:before="120" w:line="240" w:lineRule="auto"/>
      <w:jc w:val="center"/>
      <w:outlineLvl w:val="0"/>
    </w:pPr>
    <w:rPr>
      <w:rFonts w:ascii="Arial" w:eastAsia="Times New Roman" w:hAnsi="Arial" w:cs="Arial"/>
      <w:b/>
      <w:kern w:val="0"/>
      <w:sz w:val="28"/>
      <w:szCs w:val="28"/>
      <w:lang w:eastAsia="en-US"/>
      <w14:numForm w14:val="default"/>
    </w:rPr>
  </w:style>
  <w:style w:type="paragraph" w:customStyle="1" w:styleId="Estilo2">
    <w:name w:val="Estilo2"/>
    <w:basedOn w:val="ListParagraph"/>
    <w:link w:val="Estilo2Car"/>
    <w:qFormat/>
    <w:rsid w:val="00162F53"/>
    <w:pPr>
      <w:numPr>
        <w:ilvl w:val="1"/>
        <w:numId w:val="6"/>
      </w:numPr>
      <w:spacing w:before="0" w:after="200" w:line="360" w:lineRule="auto"/>
      <w:outlineLvl w:val="1"/>
    </w:pPr>
    <w:rPr>
      <w:rFonts w:ascii="Arial" w:eastAsia="Calibri" w:hAnsi="Arial" w:cs="Arial"/>
      <w:b/>
      <w:spacing w:val="0"/>
      <w:sz w:val="24"/>
      <w:szCs w:val="24"/>
      <w14:numForm w14:val="default"/>
    </w:rPr>
  </w:style>
  <w:style w:type="paragraph" w:customStyle="1" w:styleId="Estilo3">
    <w:name w:val="Estilo3"/>
    <w:basedOn w:val="ListParagraph"/>
    <w:link w:val="Estilo3Car"/>
    <w:qFormat/>
    <w:rsid w:val="00162F53"/>
    <w:pPr>
      <w:numPr>
        <w:ilvl w:val="2"/>
        <w:numId w:val="6"/>
      </w:numPr>
      <w:spacing w:before="0" w:after="200" w:line="360" w:lineRule="auto"/>
      <w:outlineLvl w:val="2"/>
    </w:pPr>
    <w:rPr>
      <w:rFonts w:ascii="Arial" w:eastAsia="Calibri" w:hAnsi="Arial" w:cs="Arial"/>
      <w:b/>
      <w:spacing w:val="0"/>
      <w:sz w:val="24"/>
      <w:szCs w:val="24"/>
      <w14:numForm w14:val="default"/>
    </w:rPr>
  </w:style>
  <w:style w:type="character" w:customStyle="1" w:styleId="Estilo2Car">
    <w:name w:val="Estilo2 Car"/>
    <w:link w:val="Estilo2"/>
    <w:rsid w:val="00162F53"/>
    <w:rPr>
      <w:rFonts w:ascii="Arial" w:eastAsia="Calibri" w:hAnsi="Arial" w:cs="Arial"/>
      <w:b/>
      <w:sz w:val="24"/>
      <w:szCs w:val="24"/>
    </w:rPr>
  </w:style>
  <w:style w:type="character" w:customStyle="1" w:styleId="math-inline">
    <w:name w:val="math-inline"/>
    <w:basedOn w:val="DefaultParagraphFont"/>
    <w:rsid w:val="001E6783"/>
  </w:style>
  <w:style w:type="character" w:customStyle="1" w:styleId="Estilo3Car">
    <w:name w:val="Estilo3 Car"/>
    <w:link w:val="Estilo3"/>
    <w:rsid w:val="001E6783"/>
    <w:rPr>
      <w:rFonts w:ascii="Arial" w:eastAsia="Calibri" w:hAnsi="Arial" w:cs="Arial"/>
      <w:b/>
      <w:sz w:val="24"/>
      <w:szCs w:val="24"/>
    </w:rPr>
  </w:style>
  <w:style w:type="paragraph" w:styleId="NormalWeb">
    <w:name w:val="Normal (Web)"/>
    <w:basedOn w:val="Normal"/>
    <w:uiPriority w:val="99"/>
    <w:unhideWhenUsed/>
    <w:rsid w:val="001E6783"/>
    <w:pPr>
      <w:spacing w:before="100" w:beforeAutospacing="1" w:after="100" w:afterAutospacing="1" w:line="240" w:lineRule="auto"/>
      <w:jc w:val="left"/>
    </w:pPr>
    <w:rPr>
      <w:rFonts w:eastAsia="Times New Roman" w:cs="Times New Roman"/>
      <w:spacing w:val="0"/>
      <w:sz w:val="24"/>
      <w:szCs w:val="24"/>
      <w:lang w:val="en-US"/>
      <w14:numForm w14:val="default"/>
    </w:rPr>
  </w:style>
  <w:style w:type="character" w:styleId="PlaceholderText">
    <w:name w:val="Placeholder Text"/>
    <w:basedOn w:val="DefaultParagraphFont"/>
    <w:uiPriority w:val="99"/>
    <w:semiHidden/>
    <w:locked/>
    <w:rsid w:val="00351721"/>
    <w:rPr>
      <w:color w:val="666666"/>
    </w:rPr>
  </w:style>
  <w:style w:type="paragraph" w:styleId="Header">
    <w:name w:val="header"/>
    <w:basedOn w:val="Normal"/>
    <w:link w:val="HeaderChar"/>
    <w:uiPriority w:val="99"/>
    <w:semiHidden/>
    <w:locked/>
    <w:rsid w:val="00301D73"/>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301D73"/>
    <w:rPr>
      <w:rFonts w:ascii="Times New Roman" w:hAnsi="Times New Roman"/>
      <w:spacing w:val="1"/>
      <w:sz w:val="23"/>
      <w14:numForm w14:val="oldStyle"/>
    </w:rPr>
  </w:style>
  <w:style w:type="paragraph" w:styleId="Footer">
    <w:name w:val="footer"/>
    <w:basedOn w:val="Normal"/>
    <w:link w:val="FooterChar"/>
    <w:uiPriority w:val="99"/>
    <w:semiHidden/>
    <w:locked/>
    <w:rsid w:val="00301D73"/>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301D73"/>
    <w:rPr>
      <w:rFonts w:ascii="Times New Roman" w:hAnsi="Times New Roman"/>
      <w:spacing w:val="1"/>
      <w:sz w:val="23"/>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8.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2485</TotalTime>
  <Pages>21</Pages>
  <Words>17728</Words>
  <Characters>101052</Characters>
  <Application>Microsoft Office Word</Application>
  <DocSecurity>0</DocSecurity>
  <Lines>842</Lines>
  <Paragraphs>237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EGREGIUS</Manager>
  <Company>EG-DYKINSON</Company>
  <LinksUpToDate>false</LinksUpToDate>
  <CharactersWithSpaces>118543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Ema Nofret Moreno Veloz</cp:lastModifiedBy>
  <cp:revision>177</cp:revision>
  <cp:lastPrinted>2026-09-06T19:24:00Z</cp:lastPrinted>
  <dcterms:created xsi:type="dcterms:W3CDTF">2026-09-01T14:04:00Z</dcterms:created>
  <dcterms:modified xsi:type="dcterms:W3CDTF">2026-09-06T19:50:00Z</dcterms:modified>
  <cp:category>Categoria</cp:category>
  <cp:contentStatus>Estado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id="cBoQ1Ton"/&gt;&lt;style id="http://www.zotero.org/styles/apa-no-ampersand" locale="es-ES" hasBibliography="1" bibliographyStyleHasBeenSet="1"/&gt;&lt;prefs&gt;&lt;pref name="fieldType" value="Field"/&gt;&lt;pref name="a</vt:lpwstr>
  </property>
  <property fmtid="{D5CDD505-2E9C-101B-9397-08002B2CF9AE}" pid="3" name="ZOTERO_PREF_2">
    <vt:lpwstr>utomaticJournalAbbreviations" value="true"/&gt;&lt;/prefs&gt;&lt;/data&gt;</vt:lpwstr>
  </property>
</Properties>
</file>