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084B5" w14:textId="6A307BBB" w:rsidR="001348A0" w:rsidRPr="00411E44" w:rsidRDefault="001348A0" w:rsidP="001348A0">
      <w:pPr>
        <w:pStyle w:val="Captulo"/>
      </w:pPr>
      <w:r w:rsidRPr="00411E44">
        <w:t>Capítulo XXX</w:t>
      </w:r>
    </w:p>
    <w:p w14:paraId="5875E639" w14:textId="7A8EC4D5" w:rsidR="00544E17" w:rsidRPr="00411E44" w:rsidRDefault="00E54A3F" w:rsidP="00544E17">
      <w:pPr>
        <w:pStyle w:val="TtCap"/>
        <w:rPr>
          <w:lang w:eastAsia="es-ES"/>
        </w:rPr>
      </w:pPr>
      <w:r>
        <w:rPr>
          <w:lang w:eastAsia="es-ES"/>
        </w:rPr>
        <w:t>INTELIGENCIA ARTIFICIAL</w:t>
      </w:r>
      <w:r w:rsidR="00645DA8">
        <w:rPr>
          <w:lang w:eastAsia="es-ES"/>
        </w:rPr>
        <w:t xml:space="preserve">, DERECHOS HUMANOS Y DERECHO INTERNACIONAL: RETOS JURÍDICOS FRENTE A LA TOMA AUTOMATIZADA DE DECISIONES. </w:t>
      </w:r>
    </w:p>
    <w:p w14:paraId="3A04BF1F" w14:textId="0B167578" w:rsidR="00544E17" w:rsidRPr="00411E44" w:rsidRDefault="00E54A3F" w:rsidP="00544E17">
      <w:pPr>
        <w:pStyle w:val="Autor"/>
        <w:rPr>
          <w:lang w:eastAsia="es-ES"/>
        </w:rPr>
      </w:pPr>
      <w:r>
        <w:rPr>
          <w:lang w:eastAsia="es-ES"/>
        </w:rPr>
        <w:t>MARÍA PAULA RAMÍREZ VERA</w:t>
      </w:r>
    </w:p>
    <w:p w14:paraId="6324D6C9" w14:textId="3C0C271F" w:rsidR="00544E17" w:rsidRPr="00411E44" w:rsidRDefault="00E54A3F" w:rsidP="00544E17">
      <w:pPr>
        <w:pStyle w:val="Adscripcin"/>
        <w:rPr>
          <w:lang w:eastAsia="es-ES"/>
        </w:rPr>
      </w:pPr>
      <w:r>
        <w:rPr>
          <w:lang w:eastAsia="es-ES"/>
        </w:rPr>
        <w:t>Universidad Católica de Santiago de Guayaquil</w:t>
      </w:r>
    </w:p>
    <w:p w14:paraId="6A02D415" w14:textId="1750C4A6" w:rsidR="0015066B" w:rsidRPr="00411E44" w:rsidRDefault="0015066B" w:rsidP="0015066B">
      <w:pPr>
        <w:pStyle w:val="Adscripcin"/>
      </w:pPr>
    </w:p>
    <w:p w14:paraId="7FB42A6F" w14:textId="51AE2574" w:rsidR="009C0DFA" w:rsidRPr="00411E44" w:rsidRDefault="00721EBE" w:rsidP="00C45F7D">
      <w:pPr>
        <w:pStyle w:val="Ttulo1"/>
      </w:pPr>
      <w:r w:rsidRPr="00411E44">
        <w:t xml:space="preserve">1. </w:t>
      </w:r>
      <w:r w:rsidR="0015066B" w:rsidRPr="00411E44">
        <w:t>Introducción</w:t>
      </w:r>
    </w:p>
    <w:p w14:paraId="20E88D89" w14:textId="77777777" w:rsidR="003F558E" w:rsidRPr="003F558E" w:rsidRDefault="003F558E" w:rsidP="008634DA">
      <w:r w:rsidRPr="003F558E">
        <w:t>La inteligencia artificial ha dejado de ser exclusivamente una cuestión tecnológica para adquirir importantes implicaciones jurídicas, sociales, económicas y políticas. Su carácter transfronterizo limita la eficacia de las regulaciones exclusivamente nacionales, pues estos sistemas pueden desarrollarse, entrenarse, comercializarse y utilizarse en distintas jurisdicciones. Roberts et al. (2024) advierten que su gobernanza internacional continúa enfrentando fragmentación normativa, vacíos regulatorios y dificultades para alcanzar acuerdos comunes.</w:t>
      </w:r>
    </w:p>
    <w:p w14:paraId="148A8243" w14:textId="77777777" w:rsidR="003F558E" w:rsidRPr="003F558E" w:rsidRDefault="003F558E" w:rsidP="008634DA">
      <w:r w:rsidRPr="003F558E">
        <w:t>En los últimos años han surgido diversos instrumentos, como la Recomendación de UNESCO, los principios de la OCDE, el Reglamento de Inteligencia Artificial de la Unión Europea y el Convenio Marco del Consejo de Europa. Sin embargo, presentan diferencias en cuanto a naturaleza jurídica, alcance y mecanismos de cumplimiento, mientras persisten riesgos para derechos como la privacidad, igualdad, no discriminación y libertad de expresión (UNESCO, 2021).</w:t>
      </w:r>
    </w:p>
    <w:p w14:paraId="20B3EE60" w14:textId="77777777" w:rsidR="003F558E" w:rsidRPr="003F558E" w:rsidRDefault="003F558E" w:rsidP="008634DA">
      <w:r w:rsidRPr="003F558E">
        <w:t xml:space="preserve">En este contexto, el problema jurídico no consiste únicamente en determinar si la inteligencia artificial debe regularse, sino en establecer cómo construir una gobernanza internacional que permita responder a sus riesgos y superar la fragmentación normativa. Por ello, la investigación plantea: ¿cuáles son los principales obstáculos jurídicos para construir un marco internacional común de regulación de la inteligencia </w:t>
      </w:r>
      <w:r w:rsidRPr="003F558E">
        <w:lastRenderedPageBreak/>
        <w:t>artificial y qué elementos podrían permitir superar la actual fragmentación normativa?</w:t>
      </w:r>
    </w:p>
    <w:p w14:paraId="4BEF9FC1" w14:textId="3C7C0251" w:rsidR="008F6915" w:rsidRPr="008F6915" w:rsidRDefault="003F558E" w:rsidP="008634DA">
      <w:r w:rsidRPr="003F558E">
        <w:t xml:space="preserve">Se plantea como hipótesis que los principales obstáculos se relacionan con la fragmentación normativa, soberanía y jurisdicción estatal, protección de derechos humanos, responsabilidad y desigualdades tecnológicas y económicas. Frente a ello, resulta más viable avanzar hacia estándares internacionales mínimos e interoperables que intentar establecer, </w:t>
      </w:r>
      <w:r>
        <w:t>inmediatamente</w:t>
      </w:r>
      <w:r w:rsidRPr="003F558E">
        <w:t>, una regulación uniforme y exhaustiva.</w:t>
      </w:r>
    </w:p>
    <w:p w14:paraId="6E6B68A9" w14:textId="7C11834B" w:rsidR="0015066B" w:rsidRPr="00411E44" w:rsidRDefault="0015066B" w:rsidP="008634DA">
      <w:r w:rsidRPr="00411E44">
        <w:t>1.1</w:t>
      </w:r>
      <w:r w:rsidR="001465AE">
        <w:t>. justificación de la investigación</w:t>
      </w:r>
    </w:p>
    <w:p w14:paraId="1A2D4DEF" w14:textId="77777777" w:rsidR="008F6915" w:rsidRPr="008F6915" w:rsidRDefault="008F6915" w:rsidP="008634DA">
      <w:r w:rsidRPr="008F6915">
        <w:t>El estudio de la toma automatizada de decisiones resulta necesario ante la creciente incorporación de sistemas de inteligencia artificial en procesos que anteriormente dependían principalmente de la intervención humana. Esta transformación exige revisar la aplicación de garantías jurídicas como la igualdad, privacidad, debido proceso, responsabilidad y tutela efectiva frente a contextos algorítmicos.</w:t>
      </w:r>
    </w:p>
    <w:p w14:paraId="57138311" w14:textId="77777777" w:rsidR="008F6915" w:rsidRPr="008F6915" w:rsidRDefault="008F6915" w:rsidP="008634DA">
      <w:r w:rsidRPr="008F6915">
        <w:t>Uno de los principales riesgos corresponde a la discriminación algorítmica, pues los sistemas pueden reproducir o intensificar desigualdades existentes. Krupiy y Scheinin (2023) advierten que las obligaciones internacionales de no discriminación también pueden resultar aplicables frente a procesos de decisión basados en inteligencia artificial, particularmente respecto de personas con discapacidad. Adams-Prassl et al. (2023), por su parte, señalan que determinados sistemas pueden generar formas de discriminación directa.</w:t>
      </w:r>
    </w:p>
    <w:p w14:paraId="22981AB0" w14:textId="77777777" w:rsidR="008F6915" w:rsidRPr="008F6915" w:rsidRDefault="008F6915" w:rsidP="008634DA">
      <w:r w:rsidRPr="008F6915">
        <w:t>Asimismo, la investigación resulta relevante por las dificultades relacionadas con la transparencia, revisión y responsabilidad. Cuando una decisión automatizada afecta derechos, la persona debe poder conocer sus fundamentos, cuestionarla y acceder a mecanismos efectivos de revisión. UNESCO vincula estas garantías con la transparencia, la rendición de cuentas y la supervisión humana, evitando que la complejidad tecnológica genere espacios de irresponsabilidad jurídica (UNESCO, 2022).</w:t>
      </w:r>
    </w:p>
    <w:p w14:paraId="63AE3391" w14:textId="4926B9D2" w:rsidR="008F6915" w:rsidRPr="008F6915" w:rsidRDefault="008F6915" w:rsidP="008634DA">
      <w:r w:rsidRPr="008F6915">
        <w:lastRenderedPageBreak/>
        <w:t>En consecuencia, estudiar la toma automatizada de decisiones desde el Derecho Internacional de los Derechos Humanos permite determinar qué garantías deben preservarse y cómo deben aplicarse cuando la inteligencia artificial interviene en decisiones capaces de afectar los derechos, oportunidades o condiciones de vida de las personas.</w:t>
      </w:r>
    </w:p>
    <w:p w14:paraId="2B2D92B6" w14:textId="1655758B" w:rsidR="0015066B" w:rsidRPr="00411E44" w:rsidRDefault="00645DA8" w:rsidP="00C45F7D">
      <w:pPr>
        <w:pStyle w:val="Ttulo2"/>
      </w:pPr>
      <w:r>
        <w:t>1.2</w:t>
      </w:r>
      <w:r w:rsidR="0015066B" w:rsidRPr="00411E44">
        <w:t xml:space="preserve">. </w:t>
      </w:r>
      <w:r w:rsidR="00997B3C">
        <w:t>marco teórico</w:t>
      </w:r>
    </w:p>
    <w:p w14:paraId="2C181612" w14:textId="5B3D51A1" w:rsidR="00E3206F" w:rsidRPr="00645DA8" w:rsidRDefault="00645DA8" w:rsidP="00645DA8">
      <w:pPr>
        <w:pStyle w:val="Ttulo2"/>
      </w:pPr>
      <w:r>
        <w:t>1.</w:t>
      </w:r>
      <w:r w:rsidR="00E3206F" w:rsidRPr="00E3206F">
        <w:t xml:space="preserve">2.1. Inteligencia artificial y </w:t>
      </w:r>
      <w:r>
        <w:t xml:space="preserve">toma automatizada de decisiones. </w:t>
      </w:r>
    </w:p>
    <w:p w14:paraId="49F309BF" w14:textId="77777777" w:rsidR="008F6915" w:rsidRPr="008F6915" w:rsidRDefault="008F6915" w:rsidP="008F6915">
      <w:pPr>
        <w:pStyle w:val="Listado"/>
        <w:numPr>
          <w:ilvl w:val="0"/>
          <w:numId w:val="0"/>
        </w:numPr>
      </w:pPr>
      <w:r w:rsidRPr="008F6915">
        <w:t>La inteligencia artificial comprende diversas tecnologías capaces de procesar información, identificar patrones, realizar predicciones, generar contenidos o intervenir en procesos de decisión. Debido a su constante evolución, no existe una definición técnica única y permanente; por ello, UNESCO adopta una aproximación amplia que permita mantener vigente su tratamiento jurídico (UNESCO, 2022).</w:t>
      </w:r>
    </w:p>
    <w:p w14:paraId="0BC9C86B" w14:textId="77777777" w:rsidR="008F6915" w:rsidRPr="008F6915" w:rsidRDefault="008F6915" w:rsidP="008F6915">
      <w:pPr>
        <w:pStyle w:val="Listado"/>
        <w:numPr>
          <w:ilvl w:val="0"/>
          <w:numId w:val="0"/>
        </w:numPr>
      </w:pPr>
      <w:r w:rsidRPr="008F6915">
        <w:t>Desde una perspectiva jurídica, resulta más relevante determinar qué efectos produce el sistema y qué grado de intervención tiene en una decisión que afecta a una persona. La toma automatizada de decisiones comprende aquellos procedimientos en los que un sistema procesa datos y genera un resultado que determina o contribuye significativamente a una decisión individual.</w:t>
      </w:r>
    </w:p>
    <w:p w14:paraId="571A7727" w14:textId="77777777" w:rsidR="008F6915" w:rsidRPr="008F6915" w:rsidRDefault="008F6915" w:rsidP="008F6915">
      <w:pPr>
        <w:pStyle w:val="Listado"/>
        <w:numPr>
          <w:ilvl w:val="0"/>
          <w:numId w:val="0"/>
        </w:numPr>
      </w:pPr>
      <w:r w:rsidRPr="008F6915">
        <w:t>Esta distinción resulta fundamental, pues no presentan las mismas implicaciones los sistemas que únicamente proporcionan recomendaciones y aquellos cuyos resultados producen directamente efectos jurídicos o consecuencias relevantes. El artículo 22 del Reglamento General de Protección de Datos de la Unión Europea reconoce esta diferencia y establece garantías frente a determinadas decisiones basadas exclusivamente en tratamientos automatizados (Unión Europea, 2016).</w:t>
      </w:r>
    </w:p>
    <w:p w14:paraId="2D59FB8B" w14:textId="77777777" w:rsidR="008F6915" w:rsidRPr="008F6915" w:rsidRDefault="008F6915" w:rsidP="008F6915">
      <w:pPr>
        <w:pStyle w:val="Listado"/>
        <w:numPr>
          <w:ilvl w:val="0"/>
          <w:numId w:val="0"/>
        </w:numPr>
      </w:pPr>
      <w:r w:rsidRPr="008F6915">
        <w:t>En consecuencia, el análisis jurídico debe atender principalmente al impacto de la decisión, el grado de autonomía del sistema y la posibilidad efectiva de intervención humana. El riesgo no depende únicamente de la tecnología empleada, sino también de su finalidad, contexto, datos utilizados y consecuencias.</w:t>
      </w:r>
    </w:p>
    <w:p w14:paraId="7013DE4E" w14:textId="77777777" w:rsidR="008F6915" w:rsidRPr="008F6915" w:rsidRDefault="008F6915" w:rsidP="008F6915">
      <w:pPr>
        <w:pStyle w:val="Listado"/>
        <w:numPr>
          <w:ilvl w:val="0"/>
          <w:numId w:val="0"/>
        </w:numPr>
      </w:pPr>
      <w:r w:rsidRPr="008F6915">
        <w:lastRenderedPageBreak/>
        <w:t>Esta perspectiva se refleja en el Reglamento (UE) 2024/1689, que adopta un enfoque basado en riesgos y establece obligaciones específicas para determinados sistemas considerados de alto riesgo (Unión Europea, 2024). De este modo, la regulación diferencia los usos de la inteligencia artificial según su potencial de afectación de los derechos fundamentales, en lugar de someter todas sus aplicaciones a un mismo nivel de exigencia.</w:t>
      </w:r>
    </w:p>
    <w:p w14:paraId="47D962AF" w14:textId="4CD7C4B4" w:rsidR="00E3206F" w:rsidRPr="00E3206F" w:rsidRDefault="00645DA8" w:rsidP="00645DA8">
      <w:pPr>
        <w:pStyle w:val="Ttulo2"/>
      </w:pPr>
      <w:r>
        <w:t>1.</w:t>
      </w:r>
      <w:r w:rsidR="00E3206F" w:rsidRPr="00E3206F">
        <w:t xml:space="preserve">2.2. </w:t>
      </w:r>
      <w:r>
        <w:t xml:space="preserve">Derechos humanos frente a decisiones algorítmicas. </w:t>
      </w:r>
    </w:p>
    <w:p w14:paraId="49D4BB6F" w14:textId="77777777" w:rsidR="008F6915" w:rsidRPr="008F6915" w:rsidRDefault="008F6915" w:rsidP="008F6915">
      <w:pPr>
        <w:pStyle w:val="Listado"/>
        <w:numPr>
          <w:ilvl w:val="0"/>
          <w:numId w:val="0"/>
        </w:numPr>
      </w:pPr>
      <w:r w:rsidRPr="008F6915">
        <w:t>El desarrollo tecnológico no modifica la titularidad de los derechos humanos. Una persona conserva sus derechos independientemente de que una decisión que le afecte sea adoptada por una autoridad, una empresa o mediante un sistema automatizado. La Declaración Universal de Derechos Humanos reconoce la igualdad en dignidad y derechos, la protección contra la discriminación, el derecho a un recurso efectivo y a una audiencia justa (Naciones Unidas, 1948).</w:t>
      </w:r>
    </w:p>
    <w:p w14:paraId="01275CDB" w14:textId="77777777" w:rsidR="008F6915" w:rsidRPr="008F6915" w:rsidRDefault="008F6915" w:rsidP="008F6915">
      <w:pPr>
        <w:pStyle w:val="Listado"/>
        <w:numPr>
          <w:ilvl w:val="0"/>
          <w:numId w:val="0"/>
        </w:numPr>
      </w:pPr>
      <w:r w:rsidRPr="008F6915">
        <w:t>En consecuencia, la incorporación de inteligencia artificial no puede reducir el estándar de protección jurídica aplicable. La tecnología constituye un instrumento para desarrollar determinadas actuaciones, pero no sustituye la responsabilidad jurídica de los actores que intervienen en su utilización.</w:t>
      </w:r>
    </w:p>
    <w:p w14:paraId="5E21F4A1" w14:textId="77777777" w:rsidR="008F6915" w:rsidRPr="008F6915" w:rsidRDefault="008F6915" w:rsidP="008F6915">
      <w:pPr>
        <w:pStyle w:val="Listado"/>
        <w:numPr>
          <w:ilvl w:val="0"/>
          <w:numId w:val="0"/>
        </w:numPr>
      </w:pPr>
      <w:r w:rsidRPr="008F6915">
        <w:t>La Recomendación de UNESCO adopta un enfoque basado en derechos humanos y vincula el uso de la inteligencia artificial con principios de proporcionalidad, privacidad, responsabilidad, transparencia, explicabilidad, supervisión humana y no discriminación (UNESCO, 2022). Desde esta perspectiva, la legitimidad de una decisión no depende de que haya sido generada mediante un procedimiento automatizado, sino de su finalidad, fundamento jurídico, proporcionalidad, igualdad de trato, garantías procesales y posibilidad de revisión.</w:t>
      </w:r>
    </w:p>
    <w:p w14:paraId="4CB5A6E4" w14:textId="3EBCF6F3" w:rsidR="00E3206F" w:rsidRPr="00E3206F" w:rsidRDefault="00645DA8" w:rsidP="00645DA8">
      <w:pPr>
        <w:pStyle w:val="Ttulo2"/>
      </w:pPr>
      <w:r>
        <w:t>1.</w:t>
      </w:r>
      <w:r w:rsidR="00E3206F" w:rsidRPr="00E3206F">
        <w:t xml:space="preserve">2.3. </w:t>
      </w:r>
      <w:r>
        <w:t xml:space="preserve">Debido proceso, transparencia y posibilidad de impugnación. </w:t>
      </w:r>
    </w:p>
    <w:p w14:paraId="5EFFE637" w14:textId="77777777" w:rsidR="00FC5D6C" w:rsidRPr="00FC5D6C" w:rsidRDefault="00FC5D6C" w:rsidP="008634DA">
      <w:pPr>
        <w:rPr>
          <w:smallCaps/>
        </w:rPr>
      </w:pPr>
      <w:r w:rsidRPr="00FC5D6C">
        <w:t xml:space="preserve">Uno de los principales desafíos jurídicos de la toma automatizada de decisiones se relaciona con la garantía del debido proceso. Los artículos </w:t>
      </w:r>
      <w:r w:rsidRPr="00FC5D6C">
        <w:lastRenderedPageBreak/>
        <w:t>8 y 10 de la Declaración Universal de Derechos Humanos reconocen, respectivamente, el derecho a un recurso efectivo y a una audiencia justa e imparcial para la determinación de derechos y obligaciones (Naciones Unidas, 1948).</w:t>
      </w:r>
    </w:p>
    <w:p w14:paraId="1A2FB0B0" w14:textId="77777777" w:rsidR="00FC5D6C" w:rsidRPr="00FC5D6C" w:rsidRDefault="00FC5D6C" w:rsidP="008634DA">
      <w:pPr>
        <w:rPr>
          <w:smallCaps/>
        </w:rPr>
      </w:pPr>
      <w:r w:rsidRPr="00FC5D6C">
        <w:t>Aunque estas garantías no fueron concebidas específicamente para sistemas algorítmicos, mantienen plena relevancia cuando una decisión automatizada afecta los derechos de una persona. En estos casos, debe existir la posibilidad real de conocer, cuestionar y revisar la decisión.</w:t>
      </w:r>
    </w:p>
    <w:p w14:paraId="329A0836" w14:textId="77777777" w:rsidR="00FC5D6C" w:rsidRPr="00FC5D6C" w:rsidRDefault="00FC5D6C" w:rsidP="008634DA">
      <w:pPr>
        <w:rPr>
          <w:smallCaps/>
        </w:rPr>
      </w:pPr>
      <w:r w:rsidRPr="00FC5D6C">
        <w:t>La dificultad aumenta cuando el resultado depende de modelos cuya lógica resulta compleja o poco comprensible. Por ello, la transparencia no debe limitarse a explicar técnicamente el funcionamiento del algoritmo, sino permitir que la persona comprenda las razones fundamentales de la decisión y pueda ejercer sus derechos. UNESCO vincula la transparencia y la explicabilidad con la protección de los derechos humanos y con la posibilidad efectiva de impugnar decisiones basadas en IA (UNESCO, 2022).</w:t>
      </w:r>
    </w:p>
    <w:p w14:paraId="5A39C2E7" w14:textId="77777777" w:rsidR="00FC5D6C" w:rsidRPr="00FC5D6C" w:rsidRDefault="00FC5D6C" w:rsidP="008634DA">
      <w:pPr>
        <w:rPr>
          <w:smallCaps/>
        </w:rPr>
      </w:pPr>
      <w:r w:rsidRPr="00FC5D6C">
        <w:t>Asimismo, la revisión humana constituye una garantía relevante. El artículo 22 del Reglamento General de Protección de Datos de la Unión Europea reconoce, en determinados supuestos, el derecho a obtener intervención humana, expresar el propio punto de vista y contestar la decisión automatizada (Unión Europea, 2016).</w:t>
      </w:r>
    </w:p>
    <w:p w14:paraId="7F9F74FE" w14:textId="5D176219" w:rsidR="003F558E" w:rsidRPr="008634DA" w:rsidRDefault="00FC5D6C" w:rsidP="008634DA">
      <w:r w:rsidRPr="00FC5D6C">
        <w:t>En consecuencia, la supervisión humana debe ser real y efectiva, no una simple validación posterior: quien revise la decisión debe tener capacidad para analizarla, apartarse del resultado algorítmico cuando corresponda y ofrecer una motivación suficiente.</w:t>
      </w:r>
    </w:p>
    <w:p w14:paraId="13061D07" w14:textId="346AC8A0" w:rsidR="00645DA8" w:rsidRPr="00645DA8" w:rsidRDefault="00645DA8" w:rsidP="00645DA8">
      <w:pPr>
        <w:pStyle w:val="Ttulo2"/>
      </w:pPr>
      <w:r>
        <w:t>1.</w:t>
      </w:r>
      <w:r w:rsidR="00E3206F" w:rsidRPr="00E3206F">
        <w:t xml:space="preserve">2.4. </w:t>
      </w:r>
      <w:r w:rsidRPr="00645DA8">
        <w:t>Igualdad y riesgo de discriminación algorítmica</w:t>
      </w:r>
    </w:p>
    <w:p w14:paraId="54E181AE" w14:textId="77777777" w:rsidR="00FC5D6C" w:rsidRPr="00FC5D6C" w:rsidRDefault="00FC5D6C" w:rsidP="008634DA">
      <w:pPr>
        <w:rPr>
          <w:smallCaps/>
        </w:rPr>
      </w:pPr>
      <w:r w:rsidRPr="00FC5D6C">
        <w:t>La discriminación algorítmica constituye uno de los principales retos jurídicos de la toma automatizada de decisiones, debido a que un sistema puede generar diferencias de trato sin que exista una instrucción explícita para discriminar. Esto puede ocurrir cuando los algoritmos utilizan datos históricos que reproducen desigualdades, variables que funcionan como aproximaciones de características protegidas o categorías que no reflejan adecuadamente la diversidad humana.</w:t>
      </w:r>
    </w:p>
    <w:p w14:paraId="6A38E253" w14:textId="77777777" w:rsidR="00FC5D6C" w:rsidRPr="00FC5D6C" w:rsidRDefault="00FC5D6C" w:rsidP="008634DA">
      <w:pPr>
        <w:rPr>
          <w:smallCaps/>
        </w:rPr>
      </w:pPr>
      <w:r w:rsidRPr="00FC5D6C">
        <w:lastRenderedPageBreak/>
        <w:t>Adams-Prassl et al. (2023) señalan que los sistemas algorítmicos pueden producir incluso formas de discriminación directa, por lo que el análisis jurídico no debe limitarse a considerar únicamente supuestos de discriminación indirecta. Desde el Derecho Internacional de los Derechos Humanos, Krupiy y Scheinin (2023) destacan la necesidad de que la prohibición de discriminación también responda a las nuevas formas de desigualdad producidas mediante sistemas digitales e inteligencia artificial.</w:t>
      </w:r>
    </w:p>
    <w:p w14:paraId="234F7C7F" w14:textId="77777777" w:rsidR="00FC5D6C" w:rsidRPr="00FC5D6C" w:rsidRDefault="00FC5D6C" w:rsidP="008634DA">
      <w:pPr>
        <w:rPr>
          <w:smallCaps/>
        </w:rPr>
      </w:pPr>
      <w:r w:rsidRPr="00FC5D6C">
        <w:t>Asimismo, UNESCO incorpora la equidad y la no discriminación entre los principios fundamentales para el desarrollo y utilización de la IA, recomendando mecanismos de evaluación y control destinados a prevenir efectos discriminatorios (UNESCO, 2022).</w:t>
      </w:r>
    </w:p>
    <w:p w14:paraId="3B67CEA8" w14:textId="77777777" w:rsidR="00FC5D6C" w:rsidRPr="00FC5D6C" w:rsidRDefault="00FC5D6C" w:rsidP="008634DA">
      <w:pPr>
        <w:rPr>
          <w:smallCaps/>
        </w:rPr>
      </w:pPr>
      <w:r w:rsidRPr="00FC5D6C">
        <w:t>En consecuencia, el análisis jurídico debe considerar no solo si existió una intención de discriminar, sino también qué efectos produce el sistema, sobre quiénes recaen y si las diferencias de trato pueden justificarse jurídicamente.</w:t>
      </w:r>
    </w:p>
    <w:p w14:paraId="2B355A80" w14:textId="16B843E4" w:rsidR="00E60738" w:rsidRPr="00E60738" w:rsidRDefault="00E60738" w:rsidP="00E60738">
      <w:pPr>
        <w:pStyle w:val="Ttulo2"/>
      </w:pPr>
      <w:r w:rsidRPr="00E60738">
        <w:t>1.2.5. Privacidad y protección de datos personales</w:t>
      </w:r>
    </w:p>
    <w:p w14:paraId="2891BDCA" w14:textId="77777777" w:rsidR="00FC5D6C" w:rsidRPr="00FC5D6C" w:rsidRDefault="00FC5D6C" w:rsidP="008634DA">
      <w:pPr>
        <w:rPr>
          <w:smallCaps/>
        </w:rPr>
      </w:pPr>
      <w:r w:rsidRPr="00FC5D6C">
        <w:t>La toma automatizada de decisiones se encuentra estrechamente vinculada con el tratamiento de datos personales, debido a la capacidad de los sistemas de inteligencia artificial para procesar grandes volúmenes de información, elaborar perfiles y generar predicciones o clasificaciones sobre las personas.</w:t>
      </w:r>
    </w:p>
    <w:p w14:paraId="7A2AB8EF" w14:textId="77777777" w:rsidR="00FC5D6C" w:rsidRPr="00FC5D6C" w:rsidRDefault="00FC5D6C" w:rsidP="008634DA">
      <w:pPr>
        <w:rPr>
          <w:smallCaps/>
        </w:rPr>
      </w:pPr>
      <w:r w:rsidRPr="00FC5D6C">
        <w:t>El artículo 12 de la Declaración Universal de Derechos Humanos protege a las personas frente a injerencias arbitrarias en su vida privada y reconoce su derecho a la protección legal frente a estas (Naciones Unidas, 1948). En esta misma línea, el Reglamento General de Protección de Datos de la Unión Europea establece garantías frente a determinadas decisiones basadas exclusivamente en tratamientos automatizados y contempla la necesidad de prevenir efectos discriminatorios derivados del perfilamiento (Unión Europea, 2016).</w:t>
      </w:r>
    </w:p>
    <w:p w14:paraId="54059EC3" w14:textId="77777777" w:rsidR="00FC5D6C" w:rsidRPr="00FC5D6C" w:rsidRDefault="00FC5D6C" w:rsidP="008634DA">
      <w:pPr>
        <w:rPr>
          <w:smallCaps/>
        </w:rPr>
      </w:pPr>
      <w:r w:rsidRPr="00FC5D6C">
        <w:t xml:space="preserve">La privacidad, por tanto, no se limita a impedir el acceso indebido a información personal, sino que también comprende cierto control sobre </w:t>
      </w:r>
      <w:r w:rsidRPr="00FC5D6C">
        <w:lastRenderedPageBreak/>
        <w:t>la forma en que las personas son perfiladas, clasificadas y evaluadas mediante sistemas automatizados. UNESCO señala, además, que la privacidad y la protección de datos deben garantizarse durante todo el ciclo de vida de los sistemas de IA (UNESCO, 2022).</w:t>
      </w:r>
    </w:p>
    <w:p w14:paraId="76A874EE" w14:textId="77777777" w:rsidR="00FC5D6C" w:rsidRPr="00FC5D6C" w:rsidRDefault="00FC5D6C" w:rsidP="008634DA">
      <w:pPr>
        <w:rPr>
          <w:smallCaps/>
        </w:rPr>
      </w:pPr>
      <w:r w:rsidRPr="00FC5D6C">
        <w:t>En consecuencia, la protección de datos y la regulación de la inteligencia artificial convergen en una cuestión fundamental: garantizar el control jurídico sobre el uso de información personal cuando esta es utilizada para adoptar decisiones que pueden afectar significativamente los derechos de las personas.</w:t>
      </w:r>
    </w:p>
    <w:p w14:paraId="5D8DC444" w14:textId="73CC29D6" w:rsidR="00607EE3" w:rsidRPr="002D7A71" w:rsidRDefault="00607EE3" w:rsidP="00607EE3">
      <w:pPr>
        <w:pStyle w:val="Ttulo1"/>
      </w:pPr>
      <w:r w:rsidRPr="00411E44">
        <w:t>2</w:t>
      </w:r>
      <w:r w:rsidRPr="002D7A71">
        <w:t>. Objetivos</w:t>
      </w:r>
    </w:p>
    <w:p w14:paraId="7A6DDB25" w14:textId="604361AD" w:rsidR="00607EE3" w:rsidRPr="002D7A71" w:rsidRDefault="00607EE3" w:rsidP="00607EE3">
      <w:pPr>
        <w:pStyle w:val="Ttulo2"/>
      </w:pPr>
      <w:r w:rsidRPr="002D7A71">
        <w:t xml:space="preserve">2.1. </w:t>
      </w:r>
      <w:r w:rsidR="002D7A71" w:rsidRPr="002D7A71">
        <w:t>objetivo general</w:t>
      </w:r>
    </w:p>
    <w:p w14:paraId="31D37A81" w14:textId="793D22DC" w:rsidR="00E60738" w:rsidRPr="00E60738" w:rsidRDefault="00E60738" w:rsidP="008634DA">
      <w:pPr>
        <w:rPr>
          <w:smallCaps/>
        </w:rPr>
      </w:pPr>
      <w:r w:rsidRPr="00E60738">
        <w:t>Analizar los retos jurídicos que plantea la utilización de sistemas de inteligencia artificial en la toma automatizada de decisiones que pueden afectar derechos humanos, a partir de los estándares desarrollados por el Derecho Internacional, con el propósito de determinar las garantías jurídicas necesarias para asegurar decisiones legítimas, no discriminatorias, transparentes y susceptibles de revisión efectiva.</w:t>
      </w:r>
    </w:p>
    <w:p w14:paraId="54B3FF41" w14:textId="61270ABA" w:rsidR="00607EE3" w:rsidRPr="002D7A71" w:rsidRDefault="00607EE3" w:rsidP="00182667">
      <w:pPr>
        <w:pStyle w:val="Ttulo2"/>
      </w:pPr>
      <w:r w:rsidRPr="002D7A71">
        <w:t xml:space="preserve">2.2. </w:t>
      </w:r>
      <w:r w:rsidR="002D7A71" w:rsidRPr="002D7A71">
        <w:t>objetivos específicos</w:t>
      </w:r>
    </w:p>
    <w:p w14:paraId="095959FC" w14:textId="5C6EE94F" w:rsidR="00E60738" w:rsidRPr="00E60738" w:rsidRDefault="00E60738" w:rsidP="00E60738">
      <w:pPr>
        <w:pStyle w:val="Listadoajustado"/>
        <w:ind w:left="851" w:hanging="284"/>
      </w:pPr>
      <w:r w:rsidRPr="00E60738">
        <w:t>Examinar los estándares internacionales y regionales aplicables a la protección de los derechos humanos frente al uso de sistemas automatizados de toma de decisiones.</w:t>
      </w:r>
    </w:p>
    <w:p w14:paraId="43DDC2F5" w14:textId="1AE514B0" w:rsidR="00E60738" w:rsidRPr="00E60738" w:rsidRDefault="00E60738" w:rsidP="00E60738">
      <w:pPr>
        <w:pStyle w:val="Listadoajustado"/>
        <w:ind w:left="851" w:hanging="284"/>
      </w:pPr>
      <w:r w:rsidRPr="00E60738">
        <w:t>Identificar los principales riesgos jurídicos asociados con la utilización de inteligencia artificial en decisiones que puedan producir efectos significativos sobre las personas, particularmente en materia de igualdad, no discriminación, privacidad y debido proceso.</w:t>
      </w:r>
    </w:p>
    <w:p w14:paraId="2D8D0380" w14:textId="047EFA56" w:rsidR="00E60738" w:rsidRPr="00E60738" w:rsidRDefault="00E60738" w:rsidP="00E60738">
      <w:pPr>
        <w:pStyle w:val="Listadoajustado"/>
        <w:ind w:left="851" w:hanging="284"/>
      </w:pPr>
      <w:r w:rsidRPr="00E60738">
        <w:t>Analizar las exigencias de transparencia, explicabilidad, supervisión humana y responsabilidad como garantías necesarias para el control jurídico de las decisiones automatizadas.</w:t>
      </w:r>
    </w:p>
    <w:p w14:paraId="15CC1ED1" w14:textId="50C34047" w:rsidR="00E60738" w:rsidRPr="00E60738" w:rsidRDefault="00E60738" w:rsidP="00E60738">
      <w:pPr>
        <w:pStyle w:val="Listadoajustado"/>
        <w:ind w:left="851" w:hanging="284"/>
      </w:pPr>
      <w:r w:rsidRPr="00E60738">
        <w:lastRenderedPageBreak/>
        <w:t>Determinar los principales vacíos y dificultades que presenta el marco jurídico internacional frente a la atribución de responsabilidad y la posibilidad efectiva de impugnar decisiones producidas o condicionadas por sistemas de inteligencia artificial.</w:t>
      </w:r>
    </w:p>
    <w:p w14:paraId="4DEC9A3A" w14:textId="799DF633" w:rsidR="00E3206F" w:rsidRPr="00E60738" w:rsidRDefault="00E60738" w:rsidP="00E60738">
      <w:pPr>
        <w:pStyle w:val="Listadoajustado"/>
        <w:ind w:left="851" w:hanging="284"/>
      </w:pPr>
      <w:r w:rsidRPr="00E60738">
        <w:t>Proponer criterios jurídicos orientados a fortalecer la protección de los derechos humanos frente a la toma automatizada de decisiones, considerando la necesidad de equilibrar el desarrollo tecnológico con las garantías de dignidad, igualdad y tutela efectiva.</w:t>
      </w:r>
      <w:r w:rsidR="00E3206F" w:rsidRPr="00E60738">
        <w:t>Determinar los elementos que podrían constituir una base común para la construcción progresiva de un marco internacional interoperable de regulación de la inteligencia artificial.</w:t>
      </w:r>
    </w:p>
    <w:p w14:paraId="2708A763" w14:textId="4D768474" w:rsidR="005A43E3" w:rsidRPr="00411E44" w:rsidRDefault="005A43E3" w:rsidP="005A43E3">
      <w:pPr>
        <w:pStyle w:val="Ttulo1"/>
      </w:pPr>
      <w:r w:rsidRPr="00411E44">
        <w:t>3. Metodología</w:t>
      </w:r>
    </w:p>
    <w:p w14:paraId="76AA89B7" w14:textId="03BB8633" w:rsidR="00F92DEB" w:rsidRPr="002D7A71" w:rsidRDefault="00F92DEB" w:rsidP="00F92DEB">
      <w:pPr>
        <w:pStyle w:val="Ttulo2"/>
      </w:pPr>
      <w:r>
        <w:t>3</w:t>
      </w:r>
      <w:r w:rsidRPr="002D7A71">
        <w:t xml:space="preserve">.1. </w:t>
      </w:r>
      <w:r>
        <w:t>tipo y enfoque de investigación</w:t>
      </w:r>
    </w:p>
    <w:p w14:paraId="501B16E1" w14:textId="77777777" w:rsidR="00E60738" w:rsidRPr="00E60738" w:rsidRDefault="00E60738" w:rsidP="00E60738">
      <w:r w:rsidRPr="00E60738">
        <w:t>La investigación es de tipo jurídico-documental, debido a que se fundamenta en la revisión, interpretación y análisis de fuentes normativas y doctrinales relacionadas con la inteligencia artificial, la toma automatizada de decisiones y la protección de los derechos humanos. Su finalidad es determinar, desde una perspectiva jurídica, cuáles son las garantías exigibles cuando el uso de sistemas de inteligencia artificial interviene en decisiones susceptibles de producir efectos sobre las personas.</w:t>
      </w:r>
    </w:p>
    <w:p w14:paraId="3A499FD6" w14:textId="6A7C2784" w:rsidR="00E60738" w:rsidRDefault="00E60738" w:rsidP="00E60738">
      <w:r w:rsidRPr="00E60738">
        <w:t>El estudio adopta un enfoque cualitativo, puesto que no busca cuantificar el fenómeno ni establecer relaciones estadísticas, sino interpretar el contenido de las normas, principios y estándares jurídicos aplicables. Este enfoque permite examinar el alcance de las garantías reconocidas por el Derecho Internacional de los Derechos Humanos y valorar su capacidad para responder a los desafíos derivados de la toma automatizada de decisiones.</w:t>
      </w:r>
    </w:p>
    <w:p w14:paraId="3804E6A5" w14:textId="2F110CCD" w:rsidR="008634DA" w:rsidRDefault="008634DA" w:rsidP="00E60738"/>
    <w:p w14:paraId="3C24EB8A" w14:textId="77777777" w:rsidR="008634DA" w:rsidRPr="00E60738" w:rsidRDefault="008634DA" w:rsidP="00E60738"/>
    <w:p w14:paraId="559620C1" w14:textId="0747ACA1" w:rsidR="00DB0768" w:rsidRPr="002D7A71" w:rsidRDefault="00DB0768" w:rsidP="00DB0768">
      <w:pPr>
        <w:pStyle w:val="Ttulo2"/>
      </w:pPr>
      <w:r>
        <w:lastRenderedPageBreak/>
        <w:t>3</w:t>
      </w:r>
      <w:r w:rsidRPr="002D7A71">
        <w:t>.</w:t>
      </w:r>
      <w:r>
        <w:t>2</w:t>
      </w:r>
      <w:r w:rsidRPr="002D7A71">
        <w:t xml:space="preserve">. </w:t>
      </w:r>
      <w:r>
        <w:t>unidad de análisis y muestra</w:t>
      </w:r>
    </w:p>
    <w:p w14:paraId="683A2260" w14:textId="77777777" w:rsidR="00E60738" w:rsidRPr="00E60738" w:rsidRDefault="00E3206F" w:rsidP="00E60738">
      <w:r w:rsidRPr="00E3206F">
        <w:t xml:space="preserve">La unidad de análisis está constituida por </w:t>
      </w:r>
      <w:r w:rsidR="00E60738" w:rsidRPr="00E60738">
        <w:t>las normas, instrumentos internacionales, disposiciones regionales y fuentes doctrinales directamente relacionadas con la protección de los derechos humanos frente a la toma automatizada de decisiones mediante inteligencia artificial.</w:t>
      </w:r>
    </w:p>
    <w:p w14:paraId="5B10DCF7" w14:textId="5340639B" w:rsidR="005B3008" w:rsidRPr="002D7A71" w:rsidRDefault="005B3008" w:rsidP="00E60738">
      <w:pPr>
        <w:pStyle w:val="Ttulo2"/>
      </w:pPr>
      <w:r>
        <w:t>3</w:t>
      </w:r>
      <w:r w:rsidRPr="002D7A71">
        <w:t>.</w:t>
      </w:r>
      <w:r>
        <w:t>3</w:t>
      </w:r>
      <w:r w:rsidRPr="002D7A71">
        <w:t xml:space="preserve">. </w:t>
      </w:r>
      <w:r>
        <w:t>técnicas e instrumentos de recolección de datos</w:t>
      </w:r>
    </w:p>
    <w:p w14:paraId="132EC7F4" w14:textId="77777777" w:rsidR="00E60738" w:rsidRPr="00E60738" w:rsidRDefault="00E60738" w:rsidP="00E60738">
      <w:r w:rsidRPr="00E60738">
        <w:t>Debido a la naturaleza jurídico-documental de la investigación, la técnica de recolección de información empleada fue el análisis documental, aplicado a la revisión sistemática de fuentes jurídicas y académicas relacionadas con la inteligencia artificial y la toma automatizada de decisiones.</w:t>
      </w:r>
    </w:p>
    <w:p w14:paraId="04B9859B" w14:textId="77777777" w:rsidR="00E60738" w:rsidRPr="00E60738" w:rsidRDefault="00E60738" w:rsidP="00E60738">
      <w:r w:rsidRPr="00E60738">
        <w:t>La recopilación de información se realizó mediante la identificación, selección y revisión de instrumentos internacionales de derechos humanos, normativa regional, documentos institucionales y literatura científica especializada. Las fuentes fueron seleccionadas atendiendo a su pertinencia respecto del problema de investigación, su autoridad jurídica o académica y su relación directa con las garantías aplicables a las personas afectadas por decisiones automatizadas.</w:t>
      </w:r>
    </w:p>
    <w:p w14:paraId="5C4733FE" w14:textId="77777777" w:rsidR="00E60738" w:rsidRPr="00E60738" w:rsidRDefault="00E60738" w:rsidP="00E60738">
      <w:r w:rsidRPr="00E60738">
        <w:t>Como instrumento de recolección se utilizó una ficha de análisis documental, destinada a registrar y organizar la información relevante de cada fuente. Esta permitió sistematizar aspectos como la identificación del documento, fecha de emisión, organismo o autor, disposiciones jurídicas relevantes, derechos involucrados, garantías reconocidas y principales aportes para el análisis de la toma automatizada de decisiones.</w:t>
      </w:r>
    </w:p>
    <w:p w14:paraId="32A28951" w14:textId="77777777" w:rsidR="00E60738" w:rsidRPr="00E60738" w:rsidRDefault="00E60738" w:rsidP="00E60738">
      <w:r w:rsidRPr="00E60738">
        <w:t>La información recopilada mediante estas fichas fue posteriormente organizada de acuerdo con las categorías de análisis establecidas en la investigación, lo que permitió realizar el contraste entre las diferentes fuentes y sustentar los resultados obtenidos.</w:t>
      </w:r>
    </w:p>
    <w:p w14:paraId="4BB4D177" w14:textId="4D3D6E41" w:rsidR="00CC34ED" w:rsidRPr="002D7A71" w:rsidRDefault="00CC34ED" w:rsidP="00CC34ED">
      <w:pPr>
        <w:pStyle w:val="Ttulo2"/>
      </w:pPr>
      <w:r>
        <w:t>3</w:t>
      </w:r>
      <w:r w:rsidRPr="002D7A71">
        <w:t>.</w:t>
      </w:r>
      <w:r>
        <w:t>4</w:t>
      </w:r>
      <w:r w:rsidRPr="002D7A71">
        <w:t xml:space="preserve">. </w:t>
      </w:r>
      <w:r>
        <w:t>método de análisis de datos</w:t>
      </w:r>
    </w:p>
    <w:p w14:paraId="303469E2" w14:textId="77777777" w:rsidR="00E60738" w:rsidRPr="00E60738" w:rsidRDefault="00E60738" w:rsidP="00E60738">
      <w:r w:rsidRPr="00E60738">
        <w:t xml:space="preserve">Para el análisis de la información recopilada se empleó el método de análisis jurídico cualitativo, orientado a interpretar el contenido de las </w:t>
      </w:r>
      <w:r w:rsidRPr="00E60738">
        <w:lastRenderedPageBreak/>
        <w:t>fuentes normativas y doctrinales seleccionadas y establecer su relación con el problema de investigación.</w:t>
      </w:r>
    </w:p>
    <w:p w14:paraId="65CED8AB" w14:textId="77777777" w:rsidR="00E60738" w:rsidRPr="00E60738" w:rsidRDefault="00E60738" w:rsidP="00E60738">
      <w:r w:rsidRPr="00E60738">
        <w:t>En una primera etapa, la información fue clasificada y sistematizada de acuerdo con las categorías jurídicas definidas para el estudio, principalmente derechos humanos, igualdad y no discriminación, privacidad, debido proceso, transparencia, supervisión humana, responsabilidad y mecanismos de impugnación.</w:t>
      </w:r>
    </w:p>
    <w:p w14:paraId="4B5B0298" w14:textId="77777777" w:rsidR="00E60738" w:rsidRPr="00E60738" w:rsidRDefault="00E60738" w:rsidP="00E60738">
      <w:r w:rsidRPr="00E60738">
        <w:t>Posteriormente, se realizó un análisis comparativo de las fuentes, con el propósito de identificar coincidencias, diferencias y vacíos en los estándares aplicables a la toma automatizada de decisiones. Este procedimiento permitió contrastar las disposiciones contenidas en los instrumentos internacionales y regionales con los planteamientos desarrollados por la doctrina especializada.</w:t>
      </w:r>
    </w:p>
    <w:p w14:paraId="7D7F5F53" w14:textId="77777777" w:rsidR="00E60738" w:rsidRPr="00E60738" w:rsidRDefault="00E60738" w:rsidP="00E60738">
      <w:r w:rsidRPr="00E60738">
        <w:t>Finalmente, se efectuó una interpretación jurídica integral de los hallazgos, relacionando las distintas categorías de análisis con los objetivos planteados en la investigación. A partir de este proceso se determinaron los principales retos que enfrenta la protección de los derechos humanos ante decisiones automatizadas y se establecieron los elementos jurídicos que pueden contribuir a garantizar su transparencia, control, revisión y compatibilidad con los derechos fundamentales.</w:t>
      </w:r>
    </w:p>
    <w:p w14:paraId="1A78F8C1" w14:textId="77777777" w:rsidR="00E60738" w:rsidRPr="00E60738" w:rsidRDefault="00E60738" w:rsidP="00E60738">
      <w:r w:rsidRPr="00E60738">
        <w:t>El análisis no se orientó a obtener resultados estadísticos, sino a identificar patrones normativos, convergencias jurídicas y áreas de insuficiencia o tensión dentro del marco regulatorio estudiado, que posteriormente serán desarrollados en los apartados de resultados y discusión.</w:t>
      </w:r>
    </w:p>
    <w:p w14:paraId="1760C026" w14:textId="32871763" w:rsidR="004307D4" w:rsidRDefault="00CE0F4B" w:rsidP="00721EBE">
      <w:pPr>
        <w:pStyle w:val="Ttulo1"/>
      </w:pPr>
      <w:r w:rsidRPr="00411E44">
        <w:rPr>
          <w:caps w:val="0"/>
        </w:rPr>
        <w:t>4</w:t>
      </w:r>
      <w:r w:rsidR="00721EBE" w:rsidRPr="00411E44">
        <w:rPr>
          <w:caps w:val="0"/>
        </w:rPr>
        <w:t>.</w:t>
      </w:r>
      <w:r w:rsidR="00721EBE" w:rsidRPr="00411E44">
        <w:t xml:space="preserve"> </w:t>
      </w:r>
      <w:r w:rsidR="004307D4" w:rsidRPr="00411E44">
        <w:t>resultados</w:t>
      </w:r>
    </w:p>
    <w:p w14:paraId="317301BC" w14:textId="77777777" w:rsidR="003F558E" w:rsidRPr="003F558E" w:rsidRDefault="003F558E" w:rsidP="003F558E">
      <w:r w:rsidRPr="003F558E">
        <w:t>El análisis jurídico-documental y comparativo permitió identificar cinco hallazgos principales sobre la utilización de inteligencia artificial en la toma automatizada de decisiones. Estos evidencian que el reto jurídico no consiste en incorporar tecnologías, sino en garantizar que su utilización permanezca sometida a las obligaciones de protección de los derechos humanos.</w:t>
      </w:r>
    </w:p>
    <w:p w14:paraId="24166888" w14:textId="77777777" w:rsidR="003F558E" w:rsidRPr="003F558E" w:rsidRDefault="003F558E" w:rsidP="003F558E">
      <w:r w:rsidRPr="003F558E">
        <w:lastRenderedPageBreak/>
        <w:t>En primer lugar, se identificó una convergencia de estándares jurídicos respecto de la protección de los derechos humanos frente a decisiones automatizadas. Aunque los instrumentos presentan niveles de obligatoriedad y alcance, existe una tendencia a exigir respeto por la dignidad humana, igualdad, privacidad, transparencia y supervisión humana. La UNESCO sitúa los derechos humanos en el centro de la utilización de la IA, mientras que el Convenio Marco del Consejo de Europa vincula su regulación con los derechos humanos, la democracia y el Estado de Derecho.</w:t>
      </w:r>
    </w:p>
    <w:p w14:paraId="718C334E" w14:textId="77777777" w:rsidR="003F558E" w:rsidRPr="003F558E" w:rsidRDefault="003F558E" w:rsidP="003F558E">
      <w:r w:rsidRPr="003F558E">
        <w:t>En segundo lugar, se determinó que la automatización puede generar riesgos de discriminación. Los sistemas pueden reproducir desigualdades en los datos o generar diferencias de trato derivadas de su funcionamiento. Por ello, el análisis jurídico debe considerar no solo la existencia de una intención discriminatoria, sino también los efectos producidos sobre grupos y su justificación jurídica.</w:t>
      </w:r>
    </w:p>
    <w:p w14:paraId="5C84027B" w14:textId="7F260B4B" w:rsidR="003F558E" w:rsidRPr="003F558E" w:rsidRDefault="003F558E" w:rsidP="003F558E">
      <w:r w:rsidRPr="003F558E">
        <w:t>En tercer lugar, se estableció que la transparencia es necesaria, pero no suficiente, para legitimar una decisión automatizada. Informar que se utilizó inteligencia artificial no garantiza que la persona pueda comprender o cuestionar el resultado. La transparencia jurídicamente efectiva requiere información suficiente sobre las razones relevantes de la decisión y condiciones que permitan su revisión. En este sentido, UNESCO reconoce la importancia de la transparencia y explicabilidad, mientras que el artículo 22 del Reglamento General de Protección de Datos contempla, en determinados supuestos, garantías como la intervención humana y la posibilidad de contestar la decisión.</w:t>
      </w:r>
    </w:p>
    <w:p w14:paraId="4F6011E2" w14:textId="77777777" w:rsidR="003F558E" w:rsidRPr="003F558E" w:rsidRDefault="003F558E" w:rsidP="003F558E">
      <w:r w:rsidRPr="003F558E">
        <w:t>En cuarto lugar, la investigación evidenció que la supervisión humana y la atribución de responsabilidad son indispensables para evitar espacios de irresponsabilidad. La utilización de IA no puede trasladar la responsabilidad a la tecnología. Esta debe determinarse atendiendo a las funciones efectivamente desempeñadas por los distintos actores que intervienen en el desarrollo, implementación y utilización del sistema, así como a sus obligaciones de prevención, supervisión y reparación.</w:t>
      </w:r>
    </w:p>
    <w:p w14:paraId="339AE5D7" w14:textId="77777777" w:rsidR="003F558E" w:rsidRPr="003F558E" w:rsidRDefault="003F558E" w:rsidP="003F558E">
      <w:r w:rsidRPr="003F558E">
        <w:lastRenderedPageBreak/>
        <w:t>Finalmente, se identificó la necesidad de garantizar recursos efectivos frente a decisiones automatizadas que puedan afectar derechos. La protección no puede limitarse al derecho a recibir información, sino que debe comprender la posibilidad de conocer la utilización del sistema, comprender las razones de la decisión, formular objeciones, obtener revisión humana y acceder, cuando corresponda, a mecanismos de reparación.</w:t>
      </w:r>
    </w:p>
    <w:p w14:paraId="587041AB" w14:textId="77777777" w:rsidR="003F558E" w:rsidRPr="003F558E" w:rsidRDefault="003F558E" w:rsidP="003F558E">
      <w:r w:rsidRPr="003F558E">
        <w:t>En conjunto, los resultados permiten sostener que el principal reto jurídico no consiste en determinar si la inteligencia artificial puede participar en procesos de decisión, sino bajo qué condiciones dicha participación puede considerarse jurídicamente legítima. La automatización no elimina las obligaciones existentes en materia de derechos humanos, pero exige reforzar las garantías que permitan comprender, controlar, revisar e impugnar las decisiones que afecten a las personas.</w:t>
      </w:r>
    </w:p>
    <w:p w14:paraId="740C7DA7" w14:textId="45BFE6AC" w:rsidR="00CE0F4B" w:rsidRDefault="002A43CD" w:rsidP="002A43CD">
      <w:pPr>
        <w:pStyle w:val="Ttulo1"/>
      </w:pPr>
      <w:r w:rsidRPr="00411E44">
        <w:t xml:space="preserve">5. </w:t>
      </w:r>
      <w:r w:rsidR="00CE0F4B" w:rsidRPr="00411E44">
        <w:t>discusión</w:t>
      </w:r>
    </w:p>
    <w:p w14:paraId="1EA4F6E4" w14:textId="77777777" w:rsidR="003F558E" w:rsidRPr="003F558E" w:rsidRDefault="003F558E" w:rsidP="003F558E">
      <w:r w:rsidRPr="003F558E">
        <w:t>Los resultados evidencian que el principal problema jurídico de la toma automatizada de decisiones no es la ausencia de regulación, sino la aplicación efectiva de las garantías existentes frente a contextos algorítmicos. Derechos como la igualdad, privacidad, debido proceso y tutela efectiva continúan siendo aplicables, aunque requieren mecanismos que permitan ejercerlos frente a decisiones cuya lógica puede resultar difícil de comprender.</w:t>
      </w:r>
    </w:p>
    <w:p w14:paraId="39A044D9" w14:textId="77777777" w:rsidR="003F558E" w:rsidRPr="003F558E" w:rsidRDefault="003F558E" w:rsidP="003F558E">
      <w:r w:rsidRPr="003F558E">
        <w:t>Esta conclusión coincide con Abrusci y Mackenzie-Gray Scott (2023), quienes cuestionan la necesidad de crear un nuevo derecho autónomo frente a las decisiones automatizadas. Sin embargo, la suficiencia de los derechos existentes depende de que exista transparencia jurídicamente útil, supervisión humana y posibilidad real de revisión e impugnación. La transparencia, por tanto, no exige revelar necesariamente todo el funcionamiento técnico del algoritmo, sino proporcionar información suficiente para comprender y cuestionar la decisión.</w:t>
      </w:r>
    </w:p>
    <w:p w14:paraId="547DFF44" w14:textId="77777777" w:rsidR="003F558E" w:rsidRPr="003F558E" w:rsidRDefault="003F558E" w:rsidP="003F558E">
      <w:r w:rsidRPr="003F558E">
        <w:t xml:space="preserve">Asimismo, los riesgos de discriminación algorítmica y dificultades de atribución de responsabilidad demuestran que la neutralidad tecnológica no puede presumirse. Como señalan Adams-Prassl et al. (2023) y </w:t>
      </w:r>
      <w:r w:rsidRPr="003F558E">
        <w:lastRenderedPageBreak/>
        <w:t>Krupiy y Scheinin (2023), el control jurídico debe atender tanto a los efectos producidos como a las obligaciones de quienes desarrollan, implementan o utilizan estos sistemas. La eficiencia tecnológica tampoco puede justificar una disminución de las garantías de derechos humanos.</w:t>
      </w:r>
    </w:p>
    <w:p w14:paraId="00B6A3A8" w14:textId="77777777" w:rsidR="003F558E" w:rsidRPr="003F558E" w:rsidRDefault="003F558E" w:rsidP="003F558E">
      <w:r w:rsidRPr="003F558E">
        <w:t>En consecuencia, la investigación sostiene que la respuesta más adecuada no consiste en prohibir la toma automatizada de decisiones ni en crear necesariamente un régimen completamente nuevo, sino en establecer condiciones de legitimidad jurídica: protección de derechos, supervisión humana efectiva, transparencia, prevención de la discriminación, responsabilidad y recursos efectivos. En definitiva, debe diferenciarse entre automatizar una decisión y automatizar la responsabilidad: lo primero puede ser admisible en determinados contextos; lo segundo resulta incompatible con una protección efectiva de los derechos humanos.</w:t>
      </w:r>
    </w:p>
    <w:p w14:paraId="568F694A" w14:textId="337BD443" w:rsidR="004307D4" w:rsidRDefault="00721EBE" w:rsidP="00721EBE">
      <w:pPr>
        <w:pStyle w:val="Ttulo1"/>
      </w:pPr>
      <w:r w:rsidRPr="00411E44">
        <w:rPr>
          <w:caps w:val="0"/>
        </w:rPr>
        <w:t>6.</w:t>
      </w:r>
      <w:r w:rsidRPr="00411E44">
        <w:t xml:space="preserve"> </w:t>
      </w:r>
      <w:r w:rsidR="004307D4" w:rsidRPr="00411E44">
        <w:t xml:space="preserve">conclusiones </w:t>
      </w:r>
    </w:p>
    <w:p w14:paraId="02389442" w14:textId="77777777" w:rsidR="008F6915" w:rsidRPr="008F6915" w:rsidRDefault="008F6915" w:rsidP="008F6915">
      <w:r w:rsidRPr="008F6915">
        <w:t>La investigación permitió determinar que la utilización de inteligencia artificial en la toma automatizada de decisiones plantea importantes desafíos para la protección internacional de los derechos humanos, especialmente cuando dichas decisiones producen efectos relevantes sobre las personas.</w:t>
      </w:r>
    </w:p>
    <w:p w14:paraId="4F9C590E" w14:textId="77777777" w:rsidR="008F6915" w:rsidRPr="008F6915" w:rsidRDefault="008F6915" w:rsidP="008F6915">
      <w:r w:rsidRPr="008F6915">
        <w:t>Los estándares jurídicos analizados evidencian que principios como la igualdad, no discriminación, privacidad, debido proceso, transparencia y responsabilidad continúan siendo aplicables frente a sistemas automatizados. Sin embargo, su aplicación requiere garantías específicas que permitan adaptar su protección a las particularidades de estos sistemas.</w:t>
      </w:r>
    </w:p>
    <w:p w14:paraId="3C1146F4" w14:textId="77777777" w:rsidR="008F6915" w:rsidRPr="008F6915" w:rsidRDefault="008F6915" w:rsidP="008F6915">
      <w:r w:rsidRPr="008F6915">
        <w:t>Se concluye que la automatización no puede implicar la desaparición de la responsabilidad jurídica. Las decisiones que involucren inteligencia artificial deben permanecer sujetas a supervisión humana, mecanismos de explicación, revisión y posibilidad efectiva de impugnación, especialmente cuando puedan afectar derechos fundamentales.</w:t>
      </w:r>
    </w:p>
    <w:p w14:paraId="7DDBD973" w14:textId="77777777" w:rsidR="008F6915" w:rsidRPr="008F6915" w:rsidRDefault="008F6915" w:rsidP="008F6915">
      <w:r w:rsidRPr="008F6915">
        <w:lastRenderedPageBreak/>
        <w:t>Finalmente, no resulta indispensable crear un régimen completamente separado del sistema tradicional de derechos humanos. El principal desafío consiste en fortalecer y hacer efectivas las garantías jurídicas existentes, de manera que la incorporación de inteligencia artificial en los procesos decisorios sea compatible con la dignidad humana, la igualdad y el acceso a una tutela efectiva.</w:t>
      </w:r>
    </w:p>
    <w:p w14:paraId="2C5CABA0" w14:textId="15DE24EA" w:rsidR="00BE6EE8" w:rsidRPr="00411E44" w:rsidRDefault="00BE6EE8" w:rsidP="00BE6EE8">
      <w:pPr>
        <w:pStyle w:val="Ttulo1"/>
      </w:pPr>
      <w:r>
        <w:rPr>
          <w:caps w:val="0"/>
        </w:rPr>
        <w:t>7</w:t>
      </w:r>
      <w:r w:rsidRPr="00411E44">
        <w:rPr>
          <w:caps w:val="0"/>
        </w:rPr>
        <w:t>.</w:t>
      </w:r>
      <w:r w:rsidRPr="00411E44">
        <w:t xml:space="preserve"> </w:t>
      </w:r>
      <w:r>
        <w:t>recomendaciones</w:t>
      </w:r>
      <w:r w:rsidRPr="00411E44">
        <w:t xml:space="preserve"> </w:t>
      </w:r>
    </w:p>
    <w:p w14:paraId="35B56AD0" w14:textId="77777777" w:rsidR="008F6915" w:rsidRDefault="00BE6EE8" w:rsidP="008F6915">
      <w:r w:rsidRPr="00BE6EE8">
        <w:t>A partir de los resultados y conclusiones obtenidos, se formulan las siguientes recomendaciones:</w:t>
      </w:r>
      <w:r w:rsidR="008F6915">
        <w:t xml:space="preserve"> </w:t>
      </w:r>
    </w:p>
    <w:p w14:paraId="320E706E" w14:textId="2F4DC7D9" w:rsidR="008F6915" w:rsidRPr="008F6915" w:rsidRDefault="008F6915">
      <w:pPr>
        <w:pStyle w:val="Prrafodelista"/>
        <w:numPr>
          <w:ilvl w:val="0"/>
          <w:numId w:val="5"/>
        </w:numPr>
      </w:pPr>
      <w:r w:rsidRPr="008F6915">
        <w:t>Frente al hallazgo de la existencia de estándares jurídicos convergentes, se recomienda fortalecer la incorporación de los principios internacionales de derechos humanos en las normas y políticas nacionales que regulen el uso de sistemas de</w:t>
      </w:r>
      <w:r>
        <w:t xml:space="preserve"> </w:t>
      </w:r>
      <w:r w:rsidRPr="008F6915">
        <w:t>inteligencia artificial en procesos de toma de decisiones.</w:t>
      </w:r>
    </w:p>
    <w:p w14:paraId="6EFBECC5" w14:textId="60750915" w:rsidR="008F6915" w:rsidRPr="008F6915" w:rsidRDefault="008F6915">
      <w:pPr>
        <w:pStyle w:val="Prrafodelista"/>
        <w:numPr>
          <w:ilvl w:val="0"/>
          <w:numId w:val="5"/>
        </w:numPr>
      </w:pPr>
      <w:r w:rsidRPr="008F6915">
        <w:t>Frente al hallazgo de los riesgos de discriminación algorítmica, se recomienda implementar evaluaciones periódicas de impacto sobre igualdad y no discriminación, especialmente antes y durante el uso de sistemas que puedan producir efectos significativos sobre las personas.</w:t>
      </w:r>
    </w:p>
    <w:p w14:paraId="51B74657" w14:textId="78EDE66B" w:rsidR="008F6915" w:rsidRPr="008F6915" w:rsidRDefault="008F6915">
      <w:pPr>
        <w:pStyle w:val="Prrafodelista"/>
        <w:numPr>
          <w:ilvl w:val="0"/>
          <w:numId w:val="5"/>
        </w:numPr>
      </w:pPr>
      <w:r w:rsidRPr="008F6915">
        <w:t>Frente al hallazgo de que la transparencia formal resulta insuficiente, se recomienda garantizar mecanismos de información y explicabilidad que permitan a las personas afectadas conocer las razones fundamentales de una decisión automatizada y ejercer adecuadamente sus derechos.</w:t>
      </w:r>
    </w:p>
    <w:p w14:paraId="7F124C59" w14:textId="5932CD41" w:rsidR="008F6915" w:rsidRPr="008F6915" w:rsidRDefault="008F6915">
      <w:pPr>
        <w:pStyle w:val="Prrafodelista"/>
        <w:numPr>
          <w:ilvl w:val="0"/>
          <w:numId w:val="5"/>
        </w:numPr>
      </w:pPr>
      <w:r w:rsidRPr="008F6915">
        <w:t>Frente al hallazgo relativo a la responsabilidad y supervisión humana, se recomienda establecer claramente las obligaciones de los actores que desarrollan, implementan y utilizan sistemas de inteligencia artificial, asegurando que la automatización no impida determinar responsabilidades jurídicas.</w:t>
      </w:r>
    </w:p>
    <w:p w14:paraId="7C07DCE0" w14:textId="0C467161" w:rsidR="008F6915" w:rsidRPr="008F6915" w:rsidRDefault="008F6915">
      <w:pPr>
        <w:pStyle w:val="Prrafodelista"/>
        <w:numPr>
          <w:ilvl w:val="0"/>
          <w:numId w:val="5"/>
        </w:numPr>
      </w:pPr>
      <w:r w:rsidRPr="008F6915">
        <w:t>Frente al hallazgo sobre las dificultades para impugnar decisiones automatizadas, se recomienda garantizar mecanismos acce</w:t>
      </w:r>
      <w:r w:rsidRPr="008F6915">
        <w:lastRenderedPageBreak/>
        <w:t>sibles y efectivos de revisión, intervención humana y reclamación, especialmente cuando las decisiones produzcan efectos jurídicos o consecuencias relevantes sobre las personas.</w:t>
      </w:r>
    </w:p>
    <w:p w14:paraId="49ED285A" w14:textId="4B71D697" w:rsidR="008F6915" w:rsidRPr="008F6915" w:rsidRDefault="008F6915">
      <w:pPr>
        <w:pStyle w:val="Prrafodelista"/>
        <w:numPr>
          <w:ilvl w:val="0"/>
          <w:numId w:val="5"/>
        </w:numPr>
      </w:pPr>
      <w:r w:rsidRPr="008F6915">
        <w:t>Frente al hallazgo de la necesidad de una respuesta jurídica articulada, se recomienda promover la cooperación internacional para desarrollar estándares comunes de protección de derechos humanos frente a la toma automatizada de decisiones, procurando que la innovación tecnológica avance de manera compatible con la dignidad humana y el Estado de Derecho.</w:t>
      </w:r>
    </w:p>
    <w:p w14:paraId="703B2935" w14:textId="55B2DDA0" w:rsidR="004307D4" w:rsidRPr="008634DA" w:rsidRDefault="00721EBE" w:rsidP="008F6915">
      <w:pPr>
        <w:pStyle w:val="Ttulo1"/>
        <w:rPr>
          <w:lang w:val="en-US"/>
        </w:rPr>
      </w:pPr>
      <w:r w:rsidRPr="008634DA">
        <w:rPr>
          <w:caps w:val="0"/>
          <w:lang w:val="en-US"/>
        </w:rPr>
        <w:t>8.</w:t>
      </w:r>
      <w:r w:rsidRPr="008634DA">
        <w:rPr>
          <w:lang w:val="en-US"/>
        </w:rPr>
        <w:t xml:space="preserve"> </w:t>
      </w:r>
      <w:r w:rsidR="002F3733" w:rsidRPr="008634DA">
        <w:rPr>
          <w:lang w:val="en-US"/>
        </w:rPr>
        <w:t>Referencias</w:t>
      </w:r>
      <w:r w:rsidR="005417EB" w:rsidRPr="008634DA">
        <w:rPr>
          <w:lang w:val="en-US"/>
        </w:rPr>
        <w:t xml:space="preserve"> </w:t>
      </w:r>
    </w:p>
    <w:p w14:paraId="54F5DECB" w14:textId="77777777" w:rsidR="008F6915" w:rsidRPr="008634DA" w:rsidRDefault="008F6915" w:rsidP="008634DA">
      <w:pPr>
        <w:pStyle w:val="Bibliografa"/>
        <w:rPr>
          <w:lang w:val="en-US"/>
        </w:rPr>
      </w:pPr>
      <w:proofErr w:type="spellStart"/>
      <w:r w:rsidRPr="008634DA">
        <w:rPr>
          <w:lang w:val="en-US"/>
        </w:rPr>
        <w:t>Abrusci</w:t>
      </w:r>
      <w:proofErr w:type="spellEnd"/>
      <w:r w:rsidRPr="008634DA">
        <w:rPr>
          <w:lang w:val="en-US"/>
        </w:rPr>
        <w:t>, E., &amp; Mackenzie-Gray Scott, R. (2023). The questionable necessity of a new human right against being subject to automated decision-making.</w:t>
      </w:r>
      <w:r w:rsidRPr="008634DA">
        <w:rPr>
          <w:rStyle w:val="apple-converted-space"/>
          <w:color w:val="000000"/>
          <w:lang w:val="en-US"/>
        </w:rPr>
        <w:t> </w:t>
      </w:r>
      <w:r w:rsidRPr="008634DA">
        <w:rPr>
          <w:rStyle w:val="nfasis"/>
          <w:color w:val="000000"/>
          <w:lang w:val="en-US"/>
        </w:rPr>
        <w:t>International Journal of Law and Information Technology, 31</w:t>
      </w:r>
      <w:r w:rsidRPr="008634DA">
        <w:rPr>
          <w:lang w:val="en-US"/>
        </w:rPr>
        <w:t>(2), 114–143.</w:t>
      </w:r>
      <w:r w:rsidRPr="008634DA">
        <w:rPr>
          <w:rStyle w:val="apple-converted-space"/>
          <w:color w:val="000000"/>
          <w:lang w:val="en-US"/>
        </w:rPr>
        <w:t> </w:t>
      </w:r>
      <w:hyperlink r:id="rId9" w:history="1">
        <w:r w:rsidRPr="008634DA">
          <w:rPr>
            <w:rStyle w:val="Hipervnculo"/>
            <w:lang w:val="en-US"/>
          </w:rPr>
          <w:t>https://doi.org/10.1093/ijlit/eaad013</w:t>
        </w:r>
      </w:hyperlink>
    </w:p>
    <w:p w14:paraId="7770FCE4" w14:textId="77777777" w:rsidR="008F6915" w:rsidRDefault="008F6915" w:rsidP="008634DA">
      <w:pPr>
        <w:pStyle w:val="Bibliografa"/>
      </w:pPr>
      <w:r w:rsidRPr="008634DA">
        <w:rPr>
          <w:lang w:val="en-US"/>
        </w:rPr>
        <w:t>Adams-</w:t>
      </w:r>
      <w:proofErr w:type="spellStart"/>
      <w:r w:rsidRPr="008634DA">
        <w:rPr>
          <w:lang w:val="en-US"/>
        </w:rPr>
        <w:t>Prassl</w:t>
      </w:r>
      <w:proofErr w:type="spellEnd"/>
      <w:r w:rsidRPr="008634DA">
        <w:rPr>
          <w:lang w:val="en-US"/>
        </w:rPr>
        <w:t xml:space="preserve">, J., </w:t>
      </w:r>
      <w:proofErr w:type="spellStart"/>
      <w:r w:rsidRPr="008634DA">
        <w:rPr>
          <w:lang w:val="en-US"/>
        </w:rPr>
        <w:t>Binns</w:t>
      </w:r>
      <w:proofErr w:type="spellEnd"/>
      <w:r w:rsidRPr="008634DA">
        <w:rPr>
          <w:lang w:val="en-US"/>
        </w:rPr>
        <w:t>, R., &amp; Kelly-</w:t>
      </w:r>
      <w:proofErr w:type="spellStart"/>
      <w:r w:rsidRPr="008634DA">
        <w:rPr>
          <w:lang w:val="en-US"/>
        </w:rPr>
        <w:t>Lyth</w:t>
      </w:r>
      <w:proofErr w:type="spellEnd"/>
      <w:r w:rsidRPr="008634DA">
        <w:rPr>
          <w:lang w:val="en-US"/>
        </w:rPr>
        <w:t>, A. (2023). Directly discriminatory algorithms.</w:t>
      </w:r>
      <w:r w:rsidRPr="008634DA">
        <w:rPr>
          <w:rStyle w:val="apple-converted-space"/>
          <w:color w:val="000000"/>
          <w:lang w:val="en-US"/>
        </w:rPr>
        <w:t> </w:t>
      </w:r>
      <w:r w:rsidRPr="008634DA">
        <w:rPr>
          <w:rStyle w:val="nfasis"/>
          <w:color w:val="000000"/>
          <w:lang w:val="en-US"/>
        </w:rPr>
        <w:t>The Modern Law Review, 86</w:t>
      </w:r>
      <w:r w:rsidRPr="008634DA">
        <w:rPr>
          <w:lang w:val="en-US"/>
        </w:rPr>
        <w:t>(1), 144–175.</w:t>
      </w:r>
      <w:r w:rsidRPr="008634DA">
        <w:rPr>
          <w:rStyle w:val="apple-converted-space"/>
          <w:color w:val="000000"/>
          <w:lang w:val="en-US"/>
        </w:rPr>
        <w:t> </w:t>
      </w:r>
      <w:hyperlink r:id="rId10" w:history="1">
        <w:r>
          <w:rPr>
            <w:rStyle w:val="Hipervnculo"/>
          </w:rPr>
          <w:t>https://doi.org/10.1111/1468-2230.12759</w:t>
        </w:r>
      </w:hyperlink>
    </w:p>
    <w:p w14:paraId="44A2AD4A" w14:textId="77777777" w:rsidR="008F6915" w:rsidRDefault="008F6915" w:rsidP="008634DA">
      <w:pPr>
        <w:pStyle w:val="Bibliografa"/>
      </w:pPr>
      <w:r>
        <w:t>Bravo Bolado, A. (2023). Justicia algorítmica: un enfoque sociotécnico.</w:t>
      </w:r>
      <w:r>
        <w:rPr>
          <w:rStyle w:val="apple-converted-space"/>
          <w:color w:val="000000"/>
        </w:rPr>
        <w:t> </w:t>
      </w:r>
      <w:r>
        <w:rPr>
          <w:rStyle w:val="nfasis"/>
          <w:color w:val="000000"/>
        </w:rPr>
        <w:t>Estudios Penales y Criminológicos, 44</w:t>
      </w:r>
      <w:r>
        <w:t>(Ext.), 1–42.</w:t>
      </w:r>
      <w:r>
        <w:rPr>
          <w:rStyle w:val="apple-converted-space"/>
          <w:color w:val="000000"/>
        </w:rPr>
        <w:t> </w:t>
      </w:r>
      <w:hyperlink r:id="rId11" w:history="1">
        <w:r>
          <w:rPr>
            <w:rStyle w:val="Hipervnculo"/>
          </w:rPr>
          <w:t>https://doi.org/10.15304/epc.44.8838</w:t>
        </w:r>
      </w:hyperlink>
    </w:p>
    <w:p w14:paraId="2FDED077" w14:textId="77777777" w:rsidR="008F6915" w:rsidRPr="008634DA" w:rsidRDefault="008F6915" w:rsidP="008634DA">
      <w:pPr>
        <w:pStyle w:val="Bibliografa"/>
        <w:rPr>
          <w:lang w:val="en-US"/>
        </w:rPr>
      </w:pPr>
      <w:r>
        <w:t xml:space="preserve">Consejo de Europa. </w:t>
      </w:r>
      <w:r w:rsidRPr="008634DA">
        <w:rPr>
          <w:lang w:val="en-US"/>
        </w:rPr>
        <w:t>(2024).</w:t>
      </w:r>
      <w:r w:rsidRPr="008634DA">
        <w:rPr>
          <w:rStyle w:val="apple-converted-space"/>
          <w:color w:val="000000"/>
          <w:lang w:val="en-US"/>
        </w:rPr>
        <w:t> </w:t>
      </w:r>
      <w:r w:rsidRPr="008634DA">
        <w:rPr>
          <w:rStyle w:val="nfasis"/>
          <w:color w:val="000000"/>
          <w:lang w:val="en-US"/>
        </w:rPr>
        <w:t xml:space="preserve">Framework Convention on Artificial Intelligence and Human Rights, Democracy and the Rule of Law (CETS No. </w:t>
      </w:r>
      <w:bookmarkStart w:id="0" w:name="_GoBack"/>
      <w:bookmarkEnd w:id="0"/>
      <w:r w:rsidRPr="008634DA">
        <w:rPr>
          <w:rStyle w:val="nfasis"/>
          <w:color w:val="000000"/>
          <w:lang w:val="en-US"/>
        </w:rPr>
        <w:t>225).</w:t>
      </w:r>
      <w:r w:rsidRPr="008634DA">
        <w:rPr>
          <w:rStyle w:val="apple-converted-space"/>
          <w:color w:val="000000"/>
          <w:lang w:val="en-US"/>
        </w:rPr>
        <w:t> </w:t>
      </w:r>
      <w:r w:rsidRPr="008634DA">
        <w:rPr>
          <w:lang w:val="en-US"/>
        </w:rPr>
        <w:t>Council of Europe.</w:t>
      </w:r>
    </w:p>
    <w:p w14:paraId="11F0443E" w14:textId="77777777" w:rsidR="008F6915" w:rsidRPr="008634DA" w:rsidRDefault="008F6915" w:rsidP="008634DA">
      <w:pPr>
        <w:pStyle w:val="Bibliografa"/>
        <w:rPr>
          <w:lang w:val="en-US"/>
        </w:rPr>
      </w:pPr>
      <w:proofErr w:type="spellStart"/>
      <w:r w:rsidRPr="008634DA">
        <w:rPr>
          <w:lang w:val="en-US"/>
        </w:rPr>
        <w:t>Krupiy</w:t>
      </w:r>
      <w:proofErr w:type="spellEnd"/>
      <w:r w:rsidRPr="008634DA">
        <w:rPr>
          <w:lang w:val="en-US"/>
        </w:rPr>
        <w:t xml:space="preserve">, T., &amp; </w:t>
      </w:r>
      <w:proofErr w:type="spellStart"/>
      <w:r w:rsidRPr="008634DA">
        <w:rPr>
          <w:lang w:val="en-US"/>
        </w:rPr>
        <w:t>Scheinin</w:t>
      </w:r>
      <w:proofErr w:type="spellEnd"/>
      <w:r w:rsidRPr="008634DA">
        <w:rPr>
          <w:lang w:val="en-US"/>
        </w:rPr>
        <w:t>, M. (2023). Disability discrimination in the digital realm: How the ICRPD applies to artificial intelligence decision-making processes and helps in determining the state of international human rights law.</w:t>
      </w:r>
      <w:r w:rsidRPr="008634DA">
        <w:rPr>
          <w:rStyle w:val="apple-converted-space"/>
          <w:color w:val="000000"/>
          <w:lang w:val="en-US"/>
        </w:rPr>
        <w:t> </w:t>
      </w:r>
      <w:r w:rsidRPr="008634DA">
        <w:rPr>
          <w:rStyle w:val="nfasis"/>
          <w:color w:val="000000"/>
          <w:lang w:val="en-US"/>
        </w:rPr>
        <w:t>Human Rights Law Review, 23</w:t>
      </w:r>
      <w:r w:rsidRPr="008634DA">
        <w:rPr>
          <w:lang w:val="en-US"/>
        </w:rPr>
        <w:t>(3), ngad019.</w:t>
      </w:r>
      <w:r w:rsidRPr="008634DA">
        <w:rPr>
          <w:rStyle w:val="apple-converted-space"/>
          <w:color w:val="000000"/>
          <w:lang w:val="en-US"/>
        </w:rPr>
        <w:t> </w:t>
      </w:r>
      <w:hyperlink r:id="rId12" w:history="1">
        <w:r w:rsidRPr="008634DA">
          <w:rPr>
            <w:rStyle w:val="Hipervnculo"/>
            <w:lang w:val="en-US"/>
          </w:rPr>
          <w:t>https://doi.org/10.1093/hrlr/ngad019</w:t>
        </w:r>
      </w:hyperlink>
    </w:p>
    <w:p w14:paraId="4976BE4A" w14:textId="77777777" w:rsidR="008F6915" w:rsidRDefault="008F6915" w:rsidP="008634DA">
      <w:pPr>
        <w:pStyle w:val="Bibliografa"/>
      </w:pPr>
      <w:proofErr w:type="spellStart"/>
      <w:r w:rsidRPr="008634DA">
        <w:rPr>
          <w:lang w:val="en-US"/>
        </w:rPr>
        <w:t>Naciones</w:t>
      </w:r>
      <w:proofErr w:type="spellEnd"/>
      <w:r w:rsidRPr="008634DA">
        <w:rPr>
          <w:lang w:val="en-US"/>
        </w:rPr>
        <w:t xml:space="preserve"> </w:t>
      </w:r>
      <w:proofErr w:type="spellStart"/>
      <w:r w:rsidRPr="008634DA">
        <w:rPr>
          <w:lang w:val="en-US"/>
        </w:rPr>
        <w:t>Unidas</w:t>
      </w:r>
      <w:proofErr w:type="spellEnd"/>
      <w:r w:rsidRPr="008634DA">
        <w:rPr>
          <w:lang w:val="en-US"/>
        </w:rPr>
        <w:t xml:space="preserve">. </w:t>
      </w:r>
      <w:r>
        <w:t>(1948).</w:t>
      </w:r>
      <w:r>
        <w:rPr>
          <w:rStyle w:val="apple-converted-space"/>
          <w:color w:val="000000"/>
        </w:rPr>
        <w:t> </w:t>
      </w:r>
      <w:r>
        <w:rPr>
          <w:rStyle w:val="nfasis"/>
          <w:color w:val="000000"/>
        </w:rPr>
        <w:t>Declaración Universal de Derechos Humanos.</w:t>
      </w:r>
      <w:r>
        <w:rPr>
          <w:rStyle w:val="apple-converted-space"/>
          <w:color w:val="000000"/>
        </w:rPr>
        <w:t> </w:t>
      </w:r>
      <w:r>
        <w:t>Naciones Unidas.</w:t>
      </w:r>
    </w:p>
    <w:p w14:paraId="6B6EE676" w14:textId="77777777" w:rsidR="008F6915" w:rsidRDefault="008F6915" w:rsidP="008634DA">
      <w:pPr>
        <w:pStyle w:val="Bibliografa"/>
      </w:pPr>
      <w:r>
        <w:t>Parlamento Europeo y Consejo de la Unión Europea. (2016).</w:t>
      </w:r>
      <w:r>
        <w:rPr>
          <w:rStyle w:val="apple-converted-space"/>
          <w:color w:val="000000"/>
        </w:rPr>
        <w:t> </w:t>
      </w:r>
      <w:r>
        <w:rPr>
          <w:rStyle w:val="nfasis"/>
          <w:color w:val="000000"/>
        </w:rPr>
        <w:t>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Pr>
          <w:rStyle w:val="apple-converted-space"/>
          <w:color w:val="000000"/>
        </w:rPr>
        <w:t> </w:t>
      </w:r>
      <w:r>
        <w:t>Diario Oficial de la Unión Europea.</w:t>
      </w:r>
    </w:p>
    <w:p w14:paraId="188C24F2" w14:textId="77777777" w:rsidR="008F6915" w:rsidRDefault="008F6915" w:rsidP="008634DA">
      <w:pPr>
        <w:pStyle w:val="Bibliografa"/>
      </w:pPr>
      <w:r>
        <w:lastRenderedPageBreak/>
        <w:t>Parlamento Europeo y Consejo de la Unión Europea. (2024).</w:t>
      </w:r>
      <w:r>
        <w:rPr>
          <w:rStyle w:val="apple-converted-space"/>
          <w:color w:val="000000"/>
        </w:rPr>
        <w:t> </w:t>
      </w:r>
      <w:r>
        <w:rPr>
          <w:rStyle w:val="nfasis"/>
          <w:color w:val="000000"/>
        </w:rPr>
        <w:t>Reglamento (UE) 2024/1689 del Parlamento Europeo y del Consejo, de 13 de junio de 2024, por el que se establecen normas armonizadas en materia de inteligencia artificial (Reglamento de Inteligencia Artificial).</w:t>
      </w:r>
      <w:r>
        <w:rPr>
          <w:rStyle w:val="apple-converted-space"/>
          <w:color w:val="000000"/>
        </w:rPr>
        <w:t> </w:t>
      </w:r>
      <w:r>
        <w:t>Diario Oficial de la Unión Europea.</w:t>
      </w:r>
    </w:p>
    <w:p w14:paraId="537216EE" w14:textId="77777777" w:rsidR="008F6915" w:rsidRDefault="008F6915" w:rsidP="008634DA">
      <w:pPr>
        <w:pStyle w:val="Bibliografa"/>
      </w:pPr>
      <w:r>
        <w:t>UNESCO. (2021).</w:t>
      </w:r>
      <w:r>
        <w:rPr>
          <w:rStyle w:val="apple-converted-space"/>
          <w:color w:val="000000"/>
        </w:rPr>
        <w:t> </w:t>
      </w:r>
      <w:r>
        <w:rPr>
          <w:rStyle w:val="nfasis"/>
          <w:color w:val="000000"/>
        </w:rPr>
        <w:t>Recomendación sobre la Ética de la Inteligencia Artificial.</w:t>
      </w:r>
      <w:r>
        <w:rPr>
          <w:rStyle w:val="apple-converted-space"/>
          <w:color w:val="000000"/>
        </w:rPr>
        <w:t> </w:t>
      </w:r>
      <w:r>
        <w:t>Organización de las Naciones Unidas para la Educación, la Ciencia y la Cultura.</w:t>
      </w:r>
    </w:p>
    <w:p w14:paraId="1CED1DA4" w14:textId="77777777" w:rsidR="00CE0F4B" w:rsidRPr="00CE0F4B" w:rsidRDefault="00CE0F4B" w:rsidP="008634DA">
      <w:pPr>
        <w:pStyle w:val="Bibliografa"/>
      </w:pPr>
    </w:p>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C03ED" w14:textId="77777777" w:rsidR="00BF1569" w:rsidRPr="00411E44" w:rsidRDefault="00BF1569" w:rsidP="00EB0247">
      <w:pPr>
        <w:spacing w:after="0" w:line="240" w:lineRule="auto"/>
      </w:pPr>
      <w:r w:rsidRPr="00411E44">
        <w:separator/>
      </w:r>
    </w:p>
  </w:endnote>
  <w:endnote w:type="continuationSeparator" w:id="0">
    <w:p w14:paraId="3350692F" w14:textId="77777777" w:rsidR="00BF1569" w:rsidRPr="00411E44" w:rsidRDefault="00BF1569"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2326D" w14:textId="77777777" w:rsidR="00BF1569" w:rsidRPr="00411E44" w:rsidRDefault="00BF1569" w:rsidP="00EB0247">
      <w:pPr>
        <w:spacing w:after="0" w:line="240" w:lineRule="auto"/>
      </w:pPr>
      <w:r w:rsidRPr="00411E44">
        <w:separator/>
      </w:r>
    </w:p>
  </w:footnote>
  <w:footnote w:type="continuationSeparator" w:id="0">
    <w:p w14:paraId="6ECBF2A6" w14:textId="77777777" w:rsidR="00BF1569" w:rsidRPr="00411E44" w:rsidRDefault="00BF1569" w:rsidP="00EB0247">
      <w:pPr>
        <w:spacing w:after="0" w:line="240" w:lineRule="auto"/>
      </w:pPr>
      <w:r w:rsidRPr="00411E4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48F70042"/>
    <w:multiLevelType w:val="hybridMultilevel"/>
    <w:tmpl w:val="592085A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0"/>
  </w:num>
  <w:num w:numId="2">
    <w:abstractNumId w:val="1"/>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931"/>
    <w:rsid w:val="000068CF"/>
    <w:rsid w:val="00012517"/>
    <w:rsid w:val="0003338A"/>
    <w:rsid w:val="00033E3E"/>
    <w:rsid w:val="00041F61"/>
    <w:rsid w:val="00063421"/>
    <w:rsid w:val="00085C3B"/>
    <w:rsid w:val="00097EEF"/>
    <w:rsid w:val="000C5EDB"/>
    <w:rsid w:val="000E7A2C"/>
    <w:rsid w:val="000F093B"/>
    <w:rsid w:val="001348A0"/>
    <w:rsid w:val="00140844"/>
    <w:rsid w:val="001465AE"/>
    <w:rsid w:val="001468AC"/>
    <w:rsid w:val="0015066B"/>
    <w:rsid w:val="0015099A"/>
    <w:rsid w:val="00156F2B"/>
    <w:rsid w:val="0016205A"/>
    <w:rsid w:val="0017278B"/>
    <w:rsid w:val="00182667"/>
    <w:rsid w:val="00185A00"/>
    <w:rsid w:val="0018654D"/>
    <w:rsid w:val="001950D8"/>
    <w:rsid w:val="00197D57"/>
    <w:rsid w:val="001A3221"/>
    <w:rsid w:val="001A7AD8"/>
    <w:rsid w:val="001B556B"/>
    <w:rsid w:val="001C6AAC"/>
    <w:rsid w:val="001E7681"/>
    <w:rsid w:val="00242EFB"/>
    <w:rsid w:val="002433EC"/>
    <w:rsid w:val="002507A3"/>
    <w:rsid w:val="00254F0F"/>
    <w:rsid w:val="0026510A"/>
    <w:rsid w:val="002709B4"/>
    <w:rsid w:val="00280126"/>
    <w:rsid w:val="00281564"/>
    <w:rsid w:val="00285B53"/>
    <w:rsid w:val="002975E8"/>
    <w:rsid w:val="002A2544"/>
    <w:rsid w:val="002A43CD"/>
    <w:rsid w:val="002A457B"/>
    <w:rsid w:val="002B300C"/>
    <w:rsid w:val="002C5703"/>
    <w:rsid w:val="002D23FB"/>
    <w:rsid w:val="002D268C"/>
    <w:rsid w:val="002D7A71"/>
    <w:rsid w:val="002F3733"/>
    <w:rsid w:val="002F5B96"/>
    <w:rsid w:val="00321B5F"/>
    <w:rsid w:val="003512A0"/>
    <w:rsid w:val="00351A96"/>
    <w:rsid w:val="00375999"/>
    <w:rsid w:val="003813A6"/>
    <w:rsid w:val="00384FEF"/>
    <w:rsid w:val="0039591A"/>
    <w:rsid w:val="003C4D9F"/>
    <w:rsid w:val="003E66FB"/>
    <w:rsid w:val="003F134E"/>
    <w:rsid w:val="003F558E"/>
    <w:rsid w:val="00411E44"/>
    <w:rsid w:val="00422CDA"/>
    <w:rsid w:val="004307D4"/>
    <w:rsid w:val="00437ED3"/>
    <w:rsid w:val="0044345A"/>
    <w:rsid w:val="004527ED"/>
    <w:rsid w:val="0047121E"/>
    <w:rsid w:val="004718C0"/>
    <w:rsid w:val="00477173"/>
    <w:rsid w:val="004819D7"/>
    <w:rsid w:val="004842F0"/>
    <w:rsid w:val="00484413"/>
    <w:rsid w:val="00484F3C"/>
    <w:rsid w:val="00493A17"/>
    <w:rsid w:val="004950F5"/>
    <w:rsid w:val="004C0202"/>
    <w:rsid w:val="004C38FC"/>
    <w:rsid w:val="004D0180"/>
    <w:rsid w:val="004D1D1C"/>
    <w:rsid w:val="004D6012"/>
    <w:rsid w:val="004D7FA5"/>
    <w:rsid w:val="00504709"/>
    <w:rsid w:val="005335DF"/>
    <w:rsid w:val="005417EB"/>
    <w:rsid w:val="005430EA"/>
    <w:rsid w:val="00544E17"/>
    <w:rsid w:val="00584BB4"/>
    <w:rsid w:val="005A43E3"/>
    <w:rsid w:val="005A4AFE"/>
    <w:rsid w:val="005A6174"/>
    <w:rsid w:val="005B1ED0"/>
    <w:rsid w:val="005B3008"/>
    <w:rsid w:val="005C3F48"/>
    <w:rsid w:val="00607EE3"/>
    <w:rsid w:val="006131F7"/>
    <w:rsid w:val="00626B66"/>
    <w:rsid w:val="00641773"/>
    <w:rsid w:val="00645DA8"/>
    <w:rsid w:val="006460E7"/>
    <w:rsid w:val="0066570F"/>
    <w:rsid w:val="00675757"/>
    <w:rsid w:val="00680332"/>
    <w:rsid w:val="00681364"/>
    <w:rsid w:val="0068745E"/>
    <w:rsid w:val="006B136A"/>
    <w:rsid w:val="006B2417"/>
    <w:rsid w:val="006B7745"/>
    <w:rsid w:val="006F1629"/>
    <w:rsid w:val="006F3D25"/>
    <w:rsid w:val="00714CBD"/>
    <w:rsid w:val="00721EBE"/>
    <w:rsid w:val="00733DD2"/>
    <w:rsid w:val="00742AC5"/>
    <w:rsid w:val="00760440"/>
    <w:rsid w:val="007701F1"/>
    <w:rsid w:val="00792960"/>
    <w:rsid w:val="007A0F17"/>
    <w:rsid w:val="007E2021"/>
    <w:rsid w:val="007E4E94"/>
    <w:rsid w:val="007F0944"/>
    <w:rsid w:val="008051FB"/>
    <w:rsid w:val="00817C99"/>
    <w:rsid w:val="008238DE"/>
    <w:rsid w:val="00850874"/>
    <w:rsid w:val="00856B42"/>
    <w:rsid w:val="008634DA"/>
    <w:rsid w:val="00863A4D"/>
    <w:rsid w:val="00870310"/>
    <w:rsid w:val="008A4085"/>
    <w:rsid w:val="008A4745"/>
    <w:rsid w:val="008A483F"/>
    <w:rsid w:val="008B6A98"/>
    <w:rsid w:val="008C1056"/>
    <w:rsid w:val="008C2B2C"/>
    <w:rsid w:val="008F1330"/>
    <w:rsid w:val="008F3F8E"/>
    <w:rsid w:val="008F6915"/>
    <w:rsid w:val="0091337D"/>
    <w:rsid w:val="009171C1"/>
    <w:rsid w:val="00920563"/>
    <w:rsid w:val="00930D30"/>
    <w:rsid w:val="0093429F"/>
    <w:rsid w:val="009477E3"/>
    <w:rsid w:val="00962592"/>
    <w:rsid w:val="009847F6"/>
    <w:rsid w:val="00997B3C"/>
    <w:rsid w:val="009A0E20"/>
    <w:rsid w:val="009A2E9A"/>
    <w:rsid w:val="009A336B"/>
    <w:rsid w:val="009C0DFA"/>
    <w:rsid w:val="009C304F"/>
    <w:rsid w:val="009C657C"/>
    <w:rsid w:val="009D0814"/>
    <w:rsid w:val="009D4514"/>
    <w:rsid w:val="009E664A"/>
    <w:rsid w:val="009F5F74"/>
    <w:rsid w:val="00A0074F"/>
    <w:rsid w:val="00A206F1"/>
    <w:rsid w:val="00A60A80"/>
    <w:rsid w:val="00A8553F"/>
    <w:rsid w:val="00AB4624"/>
    <w:rsid w:val="00AC6ECD"/>
    <w:rsid w:val="00AD2E94"/>
    <w:rsid w:val="00AE03BB"/>
    <w:rsid w:val="00AE1445"/>
    <w:rsid w:val="00AE2655"/>
    <w:rsid w:val="00B06350"/>
    <w:rsid w:val="00B0717D"/>
    <w:rsid w:val="00B177CF"/>
    <w:rsid w:val="00B57A4E"/>
    <w:rsid w:val="00B60DF4"/>
    <w:rsid w:val="00B85785"/>
    <w:rsid w:val="00B95D74"/>
    <w:rsid w:val="00BA4EA8"/>
    <w:rsid w:val="00BA4FD5"/>
    <w:rsid w:val="00BB38AC"/>
    <w:rsid w:val="00BD7178"/>
    <w:rsid w:val="00BE3D2B"/>
    <w:rsid w:val="00BE5F2C"/>
    <w:rsid w:val="00BE6EE8"/>
    <w:rsid w:val="00BF1569"/>
    <w:rsid w:val="00BF45D1"/>
    <w:rsid w:val="00BF50C0"/>
    <w:rsid w:val="00C068BD"/>
    <w:rsid w:val="00C21F8C"/>
    <w:rsid w:val="00C302E3"/>
    <w:rsid w:val="00C3098A"/>
    <w:rsid w:val="00C30BA1"/>
    <w:rsid w:val="00C41865"/>
    <w:rsid w:val="00C45F7D"/>
    <w:rsid w:val="00C607B7"/>
    <w:rsid w:val="00C657A1"/>
    <w:rsid w:val="00C930F7"/>
    <w:rsid w:val="00CA0400"/>
    <w:rsid w:val="00CB71A7"/>
    <w:rsid w:val="00CC152D"/>
    <w:rsid w:val="00CC34ED"/>
    <w:rsid w:val="00CD0091"/>
    <w:rsid w:val="00CE0F4B"/>
    <w:rsid w:val="00CF6FAA"/>
    <w:rsid w:val="00D0381D"/>
    <w:rsid w:val="00D05D1F"/>
    <w:rsid w:val="00D22BD6"/>
    <w:rsid w:val="00D36F76"/>
    <w:rsid w:val="00D47BD3"/>
    <w:rsid w:val="00D8128A"/>
    <w:rsid w:val="00D86CAA"/>
    <w:rsid w:val="00D91D74"/>
    <w:rsid w:val="00D92D9C"/>
    <w:rsid w:val="00DA0BED"/>
    <w:rsid w:val="00DB0768"/>
    <w:rsid w:val="00DC12C0"/>
    <w:rsid w:val="00DC3839"/>
    <w:rsid w:val="00DC5E7D"/>
    <w:rsid w:val="00DE0B74"/>
    <w:rsid w:val="00DF1B76"/>
    <w:rsid w:val="00E04357"/>
    <w:rsid w:val="00E050FB"/>
    <w:rsid w:val="00E05E1A"/>
    <w:rsid w:val="00E06000"/>
    <w:rsid w:val="00E06521"/>
    <w:rsid w:val="00E13BCF"/>
    <w:rsid w:val="00E14800"/>
    <w:rsid w:val="00E3206F"/>
    <w:rsid w:val="00E45764"/>
    <w:rsid w:val="00E54A3F"/>
    <w:rsid w:val="00E60738"/>
    <w:rsid w:val="00E649D6"/>
    <w:rsid w:val="00EB0247"/>
    <w:rsid w:val="00EC01A5"/>
    <w:rsid w:val="00EC5EC4"/>
    <w:rsid w:val="00F43DE7"/>
    <w:rsid w:val="00F56856"/>
    <w:rsid w:val="00F60611"/>
    <w:rsid w:val="00F62911"/>
    <w:rsid w:val="00F6387D"/>
    <w:rsid w:val="00F63B01"/>
    <w:rsid w:val="00F64DF3"/>
    <w:rsid w:val="00F66726"/>
    <w:rsid w:val="00F82237"/>
    <w:rsid w:val="00F92DEB"/>
    <w:rsid w:val="00F95E61"/>
    <w:rsid w:val="00FA51E8"/>
    <w:rsid w:val="00FA7CDE"/>
    <w:rsid w:val="00FC482F"/>
    <w:rsid w:val="00FC5D6C"/>
    <w:rsid w:val="00FE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lang w:val="es-EC"/>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3"/>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lang w:val="es-EC"/>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lang w:val="es-EC"/>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 w:type="paragraph" w:customStyle="1" w:styleId="isselectedend">
    <w:name w:val="isselectedend"/>
    <w:basedOn w:val="Normal"/>
    <w:rsid w:val="00E54A3F"/>
    <w:pPr>
      <w:spacing w:before="100" w:beforeAutospacing="1" w:after="100" w:afterAutospacing="1" w:line="240" w:lineRule="auto"/>
      <w:jc w:val="left"/>
    </w:pPr>
    <w:rPr>
      <w:rFonts w:eastAsia="Times New Roman" w:cs="Times New Roman"/>
      <w:spacing w:val="0"/>
      <w:sz w:val="24"/>
      <w:szCs w:val="24"/>
      <w:lang w:eastAsia="es-ES_tradnl"/>
      <w14:numForm w14:val="default"/>
    </w:rPr>
  </w:style>
  <w:style w:type="character" w:customStyle="1" w:styleId="apple-converted-space">
    <w:name w:val="apple-converted-space"/>
    <w:basedOn w:val="Fuentedeprrafopredeter"/>
    <w:rsid w:val="00E54A3F"/>
  </w:style>
  <w:style w:type="character" w:styleId="nfasis">
    <w:name w:val="Emphasis"/>
    <w:basedOn w:val="Fuentedeprrafopredeter"/>
    <w:uiPriority w:val="20"/>
    <w:qFormat/>
    <w:locked/>
    <w:rsid w:val="00E54A3F"/>
    <w:rPr>
      <w:i/>
      <w:iCs/>
    </w:rPr>
  </w:style>
  <w:style w:type="paragraph" w:customStyle="1" w:styleId="pdq2pgselectionanchorcontainer">
    <w:name w:val="pdq2pg_selectionanchorcontainer"/>
    <w:basedOn w:val="Normal"/>
    <w:rsid w:val="00BE6EE8"/>
    <w:pPr>
      <w:spacing w:before="100" w:beforeAutospacing="1" w:after="100" w:afterAutospacing="1" w:line="240" w:lineRule="auto"/>
      <w:jc w:val="left"/>
    </w:pPr>
    <w:rPr>
      <w:rFonts w:eastAsia="Times New Roman" w:cs="Times New Roman"/>
      <w:spacing w:val="0"/>
      <w:sz w:val="24"/>
      <w:szCs w:val="24"/>
      <w:lang w:eastAsia="es-ES_tradnl"/>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093/hrlr/ngad019"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oi.org/10.15304/epc.44.8838" TargetMode="External"/><Relationship Id="rId5" Type="http://schemas.openxmlformats.org/officeDocument/2006/relationships/settings" Target="settings.xml"/><Relationship Id="rId10" Type="http://schemas.openxmlformats.org/officeDocument/2006/relationships/hyperlink" Target="https://doi.org/10.1111/1468-2230.12759" TargetMode="External"/><Relationship Id="rId4" Type="http://schemas.openxmlformats.org/officeDocument/2006/relationships/styles" Target="styles.xml"/><Relationship Id="rId9" Type="http://schemas.openxmlformats.org/officeDocument/2006/relationships/hyperlink" Target="https://doi.org/10.1093/ijlit/eaad013"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1CFCB-16E8-48C5-8565-0279FD333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TotalTime>
  <Pages>16</Pages>
  <Words>4560</Words>
  <Characters>25086</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Shirley Janeth Zurita Garzon</cp:lastModifiedBy>
  <cp:revision>2</cp:revision>
  <cp:lastPrinted>2026-09-03T01:37:00Z</cp:lastPrinted>
  <dcterms:created xsi:type="dcterms:W3CDTF">2026-09-08T03:10:00Z</dcterms:created>
  <dcterms:modified xsi:type="dcterms:W3CDTF">2026-09-08T03:10:00Z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8161f3c4-002f-4c3e-ab9c-9bb39d127e4e</vt:lpwstr>
  </property>
</Properties>
</file>