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310AC" w14:textId="77777777" w:rsidR="00EC19CA" w:rsidRDefault="00E75443">
      <w:pPr>
        <w:spacing w:before="66"/>
        <w:ind w:right="141"/>
        <w:jc w:val="right"/>
        <w:rPr>
          <w:sz w:val="20"/>
        </w:rPr>
      </w:pPr>
      <w:r>
        <w:rPr>
          <w:smallCaps/>
          <w:sz w:val="20"/>
        </w:rPr>
        <w:t>Capítulo</w:t>
      </w:r>
      <w:r>
        <w:rPr>
          <w:smallCaps/>
          <w:spacing w:val="3"/>
          <w:sz w:val="20"/>
        </w:rPr>
        <w:t xml:space="preserve"> </w:t>
      </w:r>
      <w:r>
        <w:rPr>
          <w:smallCaps/>
          <w:spacing w:val="-5"/>
          <w:sz w:val="20"/>
        </w:rPr>
        <w:t>XXX</w:t>
      </w:r>
    </w:p>
    <w:p w14:paraId="5EC38B4C" w14:textId="77777777" w:rsidR="00EC19CA" w:rsidRDefault="00EC19CA">
      <w:pPr>
        <w:pStyle w:val="Textoindependiente"/>
        <w:spacing w:before="0"/>
        <w:ind w:left="0"/>
        <w:jc w:val="left"/>
        <w:rPr>
          <w:sz w:val="16"/>
        </w:rPr>
      </w:pPr>
    </w:p>
    <w:p w14:paraId="0EC3C345" w14:textId="77777777" w:rsidR="00EC19CA" w:rsidRDefault="00EC19CA">
      <w:pPr>
        <w:pStyle w:val="Textoindependiente"/>
        <w:spacing w:before="153"/>
        <w:ind w:left="0"/>
        <w:jc w:val="left"/>
        <w:rPr>
          <w:sz w:val="16"/>
        </w:rPr>
      </w:pPr>
    </w:p>
    <w:p w14:paraId="0726EDAF" w14:textId="77777777" w:rsidR="00EC19CA" w:rsidRDefault="00E75443">
      <w:pPr>
        <w:pStyle w:val="Ttulo"/>
        <w:spacing w:line="276" w:lineRule="auto"/>
      </w:pPr>
      <w:r>
        <w:rPr>
          <w:spacing w:val="-2"/>
        </w:rPr>
        <w:t>INTELIGENCIA</w:t>
      </w:r>
      <w:r>
        <w:rPr>
          <w:spacing w:val="-10"/>
        </w:rPr>
        <w:t xml:space="preserve"> </w:t>
      </w:r>
      <w:r>
        <w:rPr>
          <w:spacing w:val="-2"/>
        </w:rPr>
        <w:t>ARTIFICIAL</w:t>
      </w:r>
      <w:r>
        <w:rPr>
          <w:spacing w:val="-10"/>
        </w:rPr>
        <w:t xml:space="preserve"> </w:t>
      </w:r>
      <w:r>
        <w:rPr>
          <w:spacing w:val="-2"/>
        </w:rPr>
        <w:t>Y</w:t>
      </w:r>
      <w:r>
        <w:rPr>
          <w:spacing w:val="-10"/>
        </w:rPr>
        <w:t xml:space="preserve"> </w:t>
      </w:r>
      <w:r>
        <w:rPr>
          <w:spacing w:val="-2"/>
        </w:rPr>
        <w:t>GOBERNANZA</w:t>
      </w:r>
      <w:r>
        <w:rPr>
          <w:spacing w:val="-10"/>
        </w:rPr>
        <w:t xml:space="preserve"> </w:t>
      </w:r>
      <w:r>
        <w:rPr>
          <w:spacing w:val="-2"/>
        </w:rPr>
        <w:t xml:space="preserve">GLOBAL: </w:t>
      </w:r>
      <w:r>
        <w:t>DESAFÍOS PARA LA CONSTRUCCIÓN DE UN MARCO JURÍDICO INTERNACIONAL DE REGULACIÓN</w:t>
      </w:r>
    </w:p>
    <w:p w14:paraId="7B790E37" w14:textId="77777777" w:rsidR="00EC19CA" w:rsidRDefault="00E75443">
      <w:pPr>
        <w:pStyle w:val="Textoindependiente"/>
        <w:spacing w:before="10"/>
        <w:ind w:left="0"/>
        <w:jc w:val="left"/>
        <w:rPr>
          <w:sz w:val="14"/>
        </w:rPr>
      </w:pPr>
      <w:r>
        <w:rPr>
          <w:noProof/>
          <w:sz w:val="14"/>
        </w:rPr>
        <mc:AlternateContent>
          <mc:Choice Requires="wps">
            <w:drawing>
              <wp:anchor distT="0" distB="0" distL="0" distR="0" simplePos="0" relativeHeight="487587840" behindDoc="1" locked="0" layoutInCell="1" allowOverlap="1" wp14:anchorId="0A1EE038" wp14:editId="5D8C744C">
                <wp:simplePos x="0" y="0"/>
                <wp:positionH relativeFrom="page">
                  <wp:posOffset>701040</wp:posOffset>
                </wp:positionH>
                <wp:positionV relativeFrom="paragraph">
                  <wp:posOffset>124071</wp:posOffset>
                </wp:positionV>
                <wp:extent cx="4212590"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12590" cy="6350"/>
                        </a:xfrm>
                        <a:custGeom>
                          <a:avLst/>
                          <a:gdLst/>
                          <a:ahLst/>
                          <a:cxnLst/>
                          <a:rect l="l" t="t" r="r" b="b"/>
                          <a:pathLst>
                            <a:path w="4212590" h="6350">
                              <a:moveTo>
                                <a:pt x="4212336" y="0"/>
                              </a:moveTo>
                              <a:lnTo>
                                <a:pt x="0" y="0"/>
                              </a:lnTo>
                              <a:lnTo>
                                <a:pt x="0" y="6096"/>
                              </a:lnTo>
                              <a:lnTo>
                                <a:pt x="4212336" y="6096"/>
                              </a:lnTo>
                              <a:lnTo>
                                <a:pt x="4212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oel="http://schemas.microsoft.com/office/2019/extlst">
            <w:pict>
              <v:shape w14:anchorId="795208F6" id="Graphic 1" o:spid="_x0000_s1026" style="position:absolute;margin-left:55.2pt;margin-top:9.75pt;width:331.7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42125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" path="m4212336,l,,,6096r4212336,l4212336,xe" fillcolor="black" stroked="f">
                <v:path arrowok="t"/>
                <w10:wrap type="topAndBottom" anchorx="page"/>
              </v:shape>
            </w:pict>
          </mc:Fallback>
        </mc:AlternateContent>
      </w:r>
    </w:p>
    <w:p w14:paraId="6E23444C" w14:textId="77777777" w:rsidR="00EC19CA" w:rsidRDefault="00EC19CA">
      <w:pPr>
        <w:pStyle w:val="Textoindependiente"/>
        <w:spacing w:before="53"/>
        <w:ind w:left="0"/>
        <w:jc w:val="left"/>
        <w:rPr>
          <w:sz w:val="20"/>
        </w:rPr>
      </w:pPr>
    </w:p>
    <w:p w14:paraId="59FFFC3D" w14:textId="77777777" w:rsidR="00EC19CA" w:rsidRDefault="00E75443">
      <w:pPr>
        <w:ind w:left="3795"/>
        <w:rPr>
          <w:sz w:val="20"/>
        </w:rPr>
      </w:pPr>
      <w:r>
        <w:rPr>
          <w:spacing w:val="-2"/>
          <w:sz w:val="20"/>
        </w:rPr>
        <w:t>MARÍA</w:t>
      </w:r>
      <w:r>
        <w:rPr>
          <w:spacing w:val="-3"/>
          <w:sz w:val="20"/>
        </w:rPr>
        <w:t xml:space="preserve"> </w:t>
      </w:r>
      <w:r>
        <w:rPr>
          <w:spacing w:val="-2"/>
          <w:sz w:val="20"/>
        </w:rPr>
        <w:t>PAULA RAMÍREZ</w:t>
      </w:r>
      <w:r>
        <w:rPr>
          <w:sz w:val="20"/>
        </w:rPr>
        <w:t xml:space="preserve"> </w:t>
      </w:r>
      <w:r>
        <w:rPr>
          <w:spacing w:val="-4"/>
          <w:sz w:val="20"/>
        </w:rPr>
        <w:t>VERA</w:t>
      </w:r>
    </w:p>
    <w:p w14:paraId="4C7C87E7" w14:textId="77777777" w:rsidR="00EC19CA" w:rsidRDefault="00E75443">
      <w:pPr>
        <w:spacing w:before="39"/>
        <w:ind w:left="2812"/>
        <w:rPr>
          <w:i/>
          <w:sz w:val="20"/>
        </w:rPr>
      </w:pPr>
      <w:r>
        <w:rPr>
          <w:i/>
          <w:sz w:val="20"/>
        </w:rPr>
        <w:t>Universidad Católica de</w:t>
      </w:r>
      <w:r>
        <w:rPr>
          <w:i/>
          <w:spacing w:val="1"/>
          <w:sz w:val="20"/>
        </w:rPr>
        <w:t xml:space="preserve"> </w:t>
      </w:r>
      <w:r>
        <w:rPr>
          <w:i/>
          <w:sz w:val="20"/>
        </w:rPr>
        <w:t>Santiago de</w:t>
      </w:r>
      <w:r>
        <w:rPr>
          <w:i/>
          <w:spacing w:val="1"/>
          <w:sz w:val="20"/>
        </w:rPr>
        <w:t xml:space="preserve"> </w:t>
      </w:r>
      <w:r>
        <w:rPr>
          <w:i/>
          <w:spacing w:val="-2"/>
          <w:sz w:val="20"/>
        </w:rPr>
        <w:t>Guayaquil</w:t>
      </w:r>
    </w:p>
    <w:p w14:paraId="6076774B" w14:textId="77777777" w:rsidR="00EC19CA" w:rsidRDefault="00EC19CA">
      <w:pPr>
        <w:pStyle w:val="Textoindependiente"/>
        <w:spacing w:before="0"/>
        <w:ind w:left="0"/>
        <w:jc w:val="left"/>
        <w:rPr>
          <w:i/>
          <w:sz w:val="20"/>
        </w:rPr>
      </w:pPr>
    </w:p>
    <w:p w14:paraId="3BCB51F0" w14:textId="77777777" w:rsidR="00EC19CA" w:rsidRDefault="00EC19CA">
      <w:pPr>
        <w:pStyle w:val="Textoindependiente"/>
        <w:spacing w:before="132"/>
        <w:ind w:left="0"/>
        <w:jc w:val="left"/>
        <w:rPr>
          <w:i/>
          <w:sz w:val="20"/>
        </w:rPr>
      </w:pPr>
    </w:p>
    <w:p w14:paraId="021327ED" w14:textId="77777777" w:rsidR="00EC19CA" w:rsidRDefault="00E75443">
      <w:pPr>
        <w:pStyle w:val="Ttulo1"/>
        <w:numPr>
          <w:ilvl w:val="0"/>
          <w:numId w:val="3"/>
        </w:numPr>
        <w:tabs>
          <w:tab w:val="left" w:pos="383"/>
        </w:tabs>
      </w:pPr>
      <w:r>
        <w:rPr>
          <w:spacing w:val="-2"/>
        </w:rPr>
        <w:t>INTRODUCCIÓN</w:t>
      </w:r>
    </w:p>
    <w:p w14:paraId="33EF6A5E" w14:textId="77777777" w:rsidR="00EC19CA" w:rsidRDefault="00E75443">
      <w:pPr>
        <w:pStyle w:val="Textoindependiente"/>
        <w:spacing w:before="242" w:line="276" w:lineRule="auto"/>
        <w:ind w:right="139"/>
      </w:pPr>
      <w:r>
        <w:t xml:space="preserve">La inteligencia artificial </w:t>
      </w:r>
      <w:r>
        <w:t>ha dejado de constituir exclusivamente una cuestión tecnológica para convertirse en un fenómeno con profundas implicaciones jurídicas, económicas, sociales y políticas. La expansión de sistemas capaces de procesar grandes cantidades de información, generar</w:t>
      </w:r>
      <w:r>
        <w:t xml:space="preserve"> contenidos, realizar predicciones, adoptar decisiones o interactuar con personas ha modificado progresivamente la relación entre tecnología, sociedad y poder. Esta transformación ha adquirido una dimensión internacional debido a que los sistemas de inteli</w:t>
      </w:r>
      <w:r>
        <w:t>gencia artificial pueden ser desarrollados en un Estado, entrenados mediante datos provenientes de múltiples jurisdicciones, comercializados por empresas transnacionales y utilizados simultáneamente por personas e instituciones ubicadas en diferentes paíse</w:t>
      </w:r>
      <w:r>
        <w:t>s.</w:t>
      </w:r>
    </w:p>
    <w:p w14:paraId="02D065A1" w14:textId="77777777" w:rsidR="00EC19CA" w:rsidRDefault="00E75443">
      <w:pPr>
        <w:pStyle w:val="Textoindependiente"/>
        <w:spacing w:before="119" w:line="276" w:lineRule="auto"/>
        <w:ind w:right="138"/>
      </w:pPr>
      <w:r>
        <w:t>La naturaleza transfronteriza de estos sistemas plantea una dificultad fundamental para los ordenamientos jurídicos nacionales: los efectos producidos por una determinada tecnología no necesariamente coinciden</w:t>
      </w:r>
      <w:r>
        <w:rPr>
          <w:spacing w:val="-4"/>
        </w:rPr>
        <w:t xml:space="preserve"> </w:t>
      </w:r>
      <w:r>
        <w:t>con</w:t>
      </w:r>
      <w:r>
        <w:rPr>
          <w:spacing w:val="-4"/>
        </w:rPr>
        <w:t xml:space="preserve"> </w:t>
      </w:r>
      <w:r>
        <w:t>el</w:t>
      </w:r>
      <w:r>
        <w:rPr>
          <w:spacing w:val="-4"/>
        </w:rPr>
        <w:t xml:space="preserve"> </w:t>
      </w:r>
      <w:r>
        <w:t>territorio</w:t>
      </w:r>
      <w:r>
        <w:rPr>
          <w:spacing w:val="-4"/>
        </w:rPr>
        <w:t xml:space="preserve"> </w:t>
      </w:r>
      <w:r>
        <w:t>en</w:t>
      </w:r>
      <w:r>
        <w:rPr>
          <w:spacing w:val="-4"/>
        </w:rPr>
        <w:t xml:space="preserve"> </w:t>
      </w:r>
      <w:r>
        <w:t>el</w:t>
      </w:r>
      <w:r>
        <w:rPr>
          <w:spacing w:val="-4"/>
        </w:rPr>
        <w:t xml:space="preserve"> </w:t>
      </w:r>
      <w:r>
        <w:t>que</w:t>
      </w:r>
      <w:r>
        <w:rPr>
          <w:spacing w:val="-4"/>
        </w:rPr>
        <w:t xml:space="preserve"> </w:t>
      </w:r>
      <w:r>
        <w:t>esta</w:t>
      </w:r>
      <w:r>
        <w:rPr>
          <w:spacing w:val="-4"/>
        </w:rPr>
        <w:t xml:space="preserve"> </w:t>
      </w:r>
      <w:r>
        <w:t>fue</w:t>
      </w:r>
      <w:r>
        <w:rPr>
          <w:spacing w:val="-4"/>
        </w:rPr>
        <w:t xml:space="preserve"> </w:t>
      </w:r>
      <w:r>
        <w:t>desarr</w:t>
      </w:r>
      <w:r>
        <w:t>ollada</w:t>
      </w:r>
      <w:r>
        <w:rPr>
          <w:spacing w:val="-4"/>
        </w:rPr>
        <w:t xml:space="preserve"> </w:t>
      </w:r>
      <w:r>
        <w:t>o</w:t>
      </w:r>
      <w:r>
        <w:rPr>
          <w:spacing w:val="-4"/>
        </w:rPr>
        <w:t xml:space="preserve"> </w:t>
      </w:r>
      <w:r>
        <w:t>se</w:t>
      </w:r>
      <w:r>
        <w:rPr>
          <w:spacing w:val="-4"/>
        </w:rPr>
        <w:t xml:space="preserve"> </w:t>
      </w:r>
      <w:r>
        <w:t>encuentra jurídicamente domiciliada la entidad responsable. Por ello, la regulación exclusivamente nacional puede resultar insuficiente frente a fenómenos que superan las fronteras estatales. Roberts et al. (FGFH) advierten que el panorama inte</w:t>
      </w:r>
      <w:r>
        <w:t>rnacional de gobernanza de la inteligencia artificial continúa caracterizándose por un déficit de gobernanza</w:t>
      </w:r>
      <w:r>
        <w:rPr>
          <w:spacing w:val="33"/>
        </w:rPr>
        <w:t xml:space="preserve"> </w:t>
      </w:r>
      <w:r>
        <w:t>derivado</w:t>
      </w:r>
      <w:r>
        <w:rPr>
          <w:spacing w:val="33"/>
        </w:rPr>
        <w:t xml:space="preserve"> </w:t>
      </w:r>
      <w:r>
        <w:t>de</w:t>
      </w:r>
      <w:r>
        <w:rPr>
          <w:spacing w:val="33"/>
        </w:rPr>
        <w:t xml:space="preserve"> </w:t>
      </w:r>
      <w:r>
        <w:t>la</w:t>
      </w:r>
      <w:r>
        <w:rPr>
          <w:spacing w:val="33"/>
        </w:rPr>
        <w:t xml:space="preserve"> </w:t>
      </w:r>
      <w:r>
        <w:t>existencia</w:t>
      </w:r>
      <w:r>
        <w:rPr>
          <w:spacing w:val="33"/>
        </w:rPr>
        <w:t xml:space="preserve"> </w:t>
      </w:r>
      <w:r>
        <w:t>de</w:t>
      </w:r>
      <w:r>
        <w:rPr>
          <w:spacing w:val="33"/>
        </w:rPr>
        <w:t xml:space="preserve"> </w:t>
      </w:r>
      <w:r>
        <w:t>iniciativas</w:t>
      </w:r>
      <w:r>
        <w:rPr>
          <w:spacing w:val="32"/>
        </w:rPr>
        <w:t xml:space="preserve"> </w:t>
      </w:r>
      <w:r>
        <w:t>dispersas,</w:t>
      </w:r>
      <w:r>
        <w:rPr>
          <w:spacing w:val="33"/>
        </w:rPr>
        <w:t xml:space="preserve"> </w:t>
      </w:r>
      <w:r>
        <w:t>vacíos</w:t>
      </w:r>
    </w:p>
    <w:p w14:paraId="0FD794ED" w14:textId="77777777" w:rsidR="00EC19CA" w:rsidRDefault="00EC19CA">
      <w:pPr>
        <w:pStyle w:val="Textoindependiente"/>
        <w:spacing w:line="276" w:lineRule="auto"/>
        <w:sectPr w:rsidR="00EC19CA">
          <w:type w:val="continuous"/>
          <w:pgSz w:w="8850" w:h="13250"/>
          <w:pgMar w:top="1100" w:right="992" w:bottom="280" w:left="992" w:header="720" w:footer="720" w:gutter="0"/>
          <w:cols w:space="720"/>
        </w:sectPr>
      </w:pPr>
    </w:p>
    <w:p w14:paraId="5C790DDB" w14:textId="77777777" w:rsidR="00EC19CA" w:rsidRDefault="00E75443">
      <w:pPr>
        <w:pStyle w:val="Textoindependiente"/>
        <w:spacing w:line="278" w:lineRule="auto"/>
        <w:ind w:right="140"/>
      </w:pPr>
      <w:r>
        <w:lastRenderedPageBreak/>
        <w:t xml:space="preserve">regulatorios y dificultades para alcanzar acuerdos sobre mecanismos </w:t>
      </w:r>
      <w:r>
        <w:t>internacionales adecuados.</w:t>
      </w:r>
    </w:p>
    <w:p w14:paraId="2B157F86" w14:textId="77777777" w:rsidR="00EC19CA" w:rsidRDefault="00E75443">
      <w:pPr>
        <w:pStyle w:val="Textoindependiente"/>
        <w:spacing w:before="116" w:line="276" w:lineRule="auto"/>
        <w:ind w:right="138"/>
      </w:pPr>
      <w:r>
        <w:t>La</w:t>
      </w:r>
      <w:r>
        <w:rPr>
          <w:spacing w:val="-7"/>
        </w:rPr>
        <w:t xml:space="preserve"> </w:t>
      </w:r>
      <w:r>
        <w:t>problemática</w:t>
      </w:r>
      <w:r>
        <w:rPr>
          <w:spacing w:val="-7"/>
        </w:rPr>
        <w:t xml:space="preserve"> </w:t>
      </w:r>
      <w:r>
        <w:t>no</w:t>
      </w:r>
      <w:r>
        <w:rPr>
          <w:spacing w:val="-7"/>
        </w:rPr>
        <w:t xml:space="preserve"> </w:t>
      </w:r>
      <w:r>
        <w:t>se</w:t>
      </w:r>
      <w:r>
        <w:rPr>
          <w:spacing w:val="-7"/>
        </w:rPr>
        <w:t xml:space="preserve"> </w:t>
      </w:r>
      <w:r>
        <w:t>limita</w:t>
      </w:r>
      <w:r>
        <w:rPr>
          <w:spacing w:val="-7"/>
        </w:rPr>
        <w:t xml:space="preserve"> </w:t>
      </w:r>
      <w:r>
        <w:t>a</w:t>
      </w:r>
      <w:r>
        <w:rPr>
          <w:spacing w:val="-7"/>
        </w:rPr>
        <w:t xml:space="preserve"> </w:t>
      </w:r>
      <w:r>
        <w:t>la</w:t>
      </w:r>
      <w:r>
        <w:rPr>
          <w:spacing w:val="-7"/>
        </w:rPr>
        <w:t xml:space="preserve"> </w:t>
      </w:r>
      <w:r>
        <w:t>inexistencia</w:t>
      </w:r>
      <w:r>
        <w:rPr>
          <w:spacing w:val="-7"/>
        </w:rPr>
        <w:t xml:space="preserve"> </w:t>
      </w:r>
      <w:r>
        <w:t>de</w:t>
      </w:r>
      <w:r>
        <w:rPr>
          <w:spacing w:val="-7"/>
        </w:rPr>
        <w:t xml:space="preserve"> </w:t>
      </w:r>
      <w:r>
        <w:t>normas.</w:t>
      </w:r>
      <w:r>
        <w:rPr>
          <w:spacing w:val="-6"/>
        </w:rPr>
        <w:t xml:space="preserve"> </w:t>
      </w:r>
      <w:r>
        <w:t>En</w:t>
      </w:r>
      <w:r>
        <w:rPr>
          <w:spacing w:val="-7"/>
        </w:rPr>
        <w:t xml:space="preserve"> </w:t>
      </w:r>
      <w:r>
        <w:t>los</w:t>
      </w:r>
      <w:r>
        <w:rPr>
          <w:spacing w:val="-6"/>
        </w:rPr>
        <w:t xml:space="preserve"> </w:t>
      </w:r>
      <w:r>
        <w:t>últimos años se ha producido una considerable expansión de instrumentos orientados a establecer principios y criterios para el desarrollo responsable de la intelige</w:t>
      </w:r>
      <w:r>
        <w:t>ncia artificial. UNESCO adoptó en FGFQ la Recomendación sobre la Ética de la Inteligencia Artificial, concebida como un estándar global basado en los derechos humanos, la dignidad humana, la transparencia, la equidad, la sostenibilidad y la supervisión hum</w:t>
      </w:r>
      <w:r>
        <w:t>ana (UNESCO, FGFQ). A ello se han sumado los principios de inteligencia artificial de la OCDE, diversos procesos de cooperación internacional y, posteriormente, iniciativas con mayor contenido jurídico,</w:t>
      </w:r>
      <w:r>
        <w:rPr>
          <w:spacing w:val="-7"/>
        </w:rPr>
        <w:t xml:space="preserve"> </w:t>
      </w:r>
      <w:r>
        <w:t>entre</w:t>
      </w:r>
      <w:r>
        <w:rPr>
          <w:spacing w:val="-7"/>
        </w:rPr>
        <w:t xml:space="preserve"> </w:t>
      </w:r>
      <w:r>
        <w:t>ellas</w:t>
      </w:r>
      <w:r>
        <w:rPr>
          <w:spacing w:val="-7"/>
        </w:rPr>
        <w:t xml:space="preserve"> </w:t>
      </w:r>
      <w:r>
        <w:t>el</w:t>
      </w:r>
      <w:r>
        <w:rPr>
          <w:spacing w:val="-7"/>
        </w:rPr>
        <w:t xml:space="preserve"> </w:t>
      </w:r>
      <w:r>
        <w:t>Reglamento</w:t>
      </w:r>
      <w:r>
        <w:rPr>
          <w:spacing w:val="-7"/>
        </w:rPr>
        <w:t xml:space="preserve"> </w:t>
      </w:r>
      <w:r>
        <w:t>de</w:t>
      </w:r>
      <w:r>
        <w:rPr>
          <w:spacing w:val="-7"/>
        </w:rPr>
        <w:t xml:space="preserve"> </w:t>
      </w:r>
      <w:r>
        <w:t>Inteligencia</w:t>
      </w:r>
      <w:r>
        <w:rPr>
          <w:spacing w:val="-7"/>
        </w:rPr>
        <w:t xml:space="preserve"> </w:t>
      </w:r>
      <w:r>
        <w:t>Artificial</w:t>
      </w:r>
      <w:r>
        <w:rPr>
          <w:spacing w:val="-7"/>
        </w:rPr>
        <w:t xml:space="preserve"> </w:t>
      </w:r>
      <w:r>
        <w:t>de</w:t>
      </w:r>
      <w:r>
        <w:rPr>
          <w:spacing w:val="-7"/>
        </w:rPr>
        <w:t xml:space="preserve"> </w:t>
      </w:r>
      <w:r>
        <w:t>la</w:t>
      </w:r>
      <w:r>
        <w:rPr>
          <w:spacing w:val="-7"/>
        </w:rPr>
        <w:t xml:space="preserve"> </w:t>
      </w:r>
      <w:r>
        <w:t>Unión Europea</w:t>
      </w:r>
      <w:r>
        <w:rPr>
          <w:spacing w:val="-8"/>
        </w:rPr>
        <w:t xml:space="preserve"> </w:t>
      </w:r>
      <w:r>
        <w:t>y</w:t>
      </w:r>
      <w:r>
        <w:rPr>
          <w:spacing w:val="-8"/>
        </w:rPr>
        <w:t xml:space="preserve"> </w:t>
      </w:r>
      <w:r>
        <w:t>el</w:t>
      </w:r>
      <w:r>
        <w:rPr>
          <w:spacing w:val="-7"/>
        </w:rPr>
        <w:t xml:space="preserve"> </w:t>
      </w:r>
      <w:r>
        <w:t>Convenio</w:t>
      </w:r>
      <w:r>
        <w:rPr>
          <w:spacing w:val="-7"/>
        </w:rPr>
        <w:t xml:space="preserve"> </w:t>
      </w:r>
      <w:r>
        <w:t>Marco</w:t>
      </w:r>
      <w:r>
        <w:rPr>
          <w:spacing w:val="-7"/>
        </w:rPr>
        <w:t xml:space="preserve"> </w:t>
      </w:r>
      <w:r>
        <w:t>del</w:t>
      </w:r>
      <w:r>
        <w:rPr>
          <w:spacing w:val="-7"/>
        </w:rPr>
        <w:t xml:space="preserve"> </w:t>
      </w:r>
      <w:r>
        <w:t>Consejo</w:t>
      </w:r>
      <w:r>
        <w:rPr>
          <w:spacing w:val="-7"/>
        </w:rPr>
        <w:t xml:space="preserve"> </w:t>
      </w:r>
      <w:r>
        <w:t>de</w:t>
      </w:r>
      <w:r>
        <w:rPr>
          <w:spacing w:val="-7"/>
        </w:rPr>
        <w:t xml:space="preserve"> </w:t>
      </w:r>
      <w:r>
        <w:t>Europa</w:t>
      </w:r>
      <w:r>
        <w:rPr>
          <w:spacing w:val="-7"/>
        </w:rPr>
        <w:t xml:space="preserve"> </w:t>
      </w:r>
      <w:r>
        <w:t>sobre</w:t>
      </w:r>
      <w:r>
        <w:rPr>
          <w:spacing w:val="-7"/>
        </w:rPr>
        <w:t xml:space="preserve"> </w:t>
      </w:r>
      <w:r>
        <w:t>Inteligencia Artificial, Derechos Humanos, Democracia y Estado de Derecho.</w:t>
      </w:r>
    </w:p>
    <w:p w14:paraId="72C9FFE8" w14:textId="77777777" w:rsidR="00EC19CA" w:rsidRDefault="00E75443">
      <w:pPr>
        <w:pStyle w:val="Textoindependiente"/>
        <w:spacing w:before="121" w:line="276" w:lineRule="auto"/>
        <w:ind w:right="138"/>
      </w:pPr>
      <w:r>
        <w:t>Este desarrollo demuestra que existe un proceso de construcción normativa internacional; sin embargo, también evi</w:t>
      </w:r>
      <w:r>
        <w:t>dencia su carácter fragmentado. No todos los instrumentos poseen la misma naturaleza jurídica, ámbito territorial, mecanismos de cumplimiento o nivel de exigibilidad. Mientras algunas iniciativas tienen carácter de recomendación o estándar, otras establece</w:t>
      </w:r>
      <w:r>
        <w:t>n obligaciones jurídicas para determinados Estados o actores. El resultado es un escenario en el que coexisten diferentes aproximaciones regulatorias sin que exista todavía un sistema internacional único capaz de articularlas.</w:t>
      </w:r>
    </w:p>
    <w:p w14:paraId="4A6B6B61" w14:textId="77777777" w:rsidR="00EC19CA" w:rsidRDefault="00E75443">
      <w:pPr>
        <w:pStyle w:val="Textoindependiente"/>
        <w:spacing w:before="119" w:line="276" w:lineRule="auto"/>
        <w:ind w:right="137"/>
      </w:pPr>
      <w:r>
        <w:t>El problema adquiere especial</w:t>
      </w:r>
      <w:r>
        <w:t xml:space="preserve"> relevancia cuando se consideran los derechos humanos. Los sistemas de IA pueden producir efectos sobre</w:t>
      </w:r>
      <w:r>
        <w:rPr>
          <w:spacing w:val="40"/>
        </w:rPr>
        <w:t xml:space="preserve"> </w:t>
      </w:r>
      <w:r>
        <w:t>la privacidad, la protección de datos personales, la igualdad y no discriminación, la libertad de expresión, el acceso a servicios, las condiciones labo</w:t>
      </w:r>
      <w:r>
        <w:t>rales y otros derechos fundamentales. UNESCO reconoce precisamente que la inteligencia artificial puede reproducir o intensificar sesgos, generar desigualdades y afectar derechos humanos, razón por la cual sitúa la dignidad humana y los derechos fundamenta</w:t>
      </w:r>
      <w:r>
        <w:t>les</w:t>
      </w:r>
      <w:r>
        <w:rPr>
          <w:spacing w:val="-2"/>
        </w:rPr>
        <w:t xml:space="preserve"> </w:t>
      </w:r>
      <w:r>
        <w:t>como</w:t>
      </w:r>
      <w:r>
        <w:rPr>
          <w:spacing w:val="-2"/>
        </w:rPr>
        <w:t xml:space="preserve"> </w:t>
      </w:r>
      <w:r>
        <w:t>elementos</w:t>
      </w:r>
      <w:r>
        <w:rPr>
          <w:spacing w:val="-2"/>
        </w:rPr>
        <w:t xml:space="preserve"> </w:t>
      </w:r>
      <w:r>
        <w:t>centrales</w:t>
      </w:r>
      <w:r>
        <w:rPr>
          <w:spacing w:val="-2"/>
        </w:rPr>
        <w:t xml:space="preserve"> </w:t>
      </w:r>
      <w:r>
        <w:t>de</w:t>
      </w:r>
      <w:r>
        <w:rPr>
          <w:spacing w:val="-2"/>
        </w:rPr>
        <w:t xml:space="preserve"> </w:t>
      </w:r>
      <w:r>
        <w:t>su</w:t>
      </w:r>
      <w:r>
        <w:rPr>
          <w:spacing w:val="-2"/>
        </w:rPr>
        <w:t xml:space="preserve"> </w:t>
      </w:r>
      <w:r>
        <w:t>marco</w:t>
      </w:r>
      <w:r>
        <w:rPr>
          <w:spacing w:val="-2"/>
        </w:rPr>
        <w:t xml:space="preserve"> </w:t>
      </w:r>
      <w:r>
        <w:t>ético</w:t>
      </w:r>
      <w:r>
        <w:rPr>
          <w:spacing w:val="-2"/>
        </w:rPr>
        <w:t xml:space="preserve"> </w:t>
      </w:r>
      <w:r>
        <w:t xml:space="preserve">(UNESCO, </w:t>
      </w:r>
      <w:r>
        <w:rPr>
          <w:spacing w:val="-2"/>
        </w:rPr>
        <w:t>FGFQ).</w:t>
      </w:r>
    </w:p>
    <w:p w14:paraId="16034B12" w14:textId="77777777" w:rsidR="00EC19CA" w:rsidRDefault="00EC19CA">
      <w:pPr>
        <w:pStyle w:val="Textoindependiente"/>
        <w:spacing w:line="276" w:lineRule="auto"/>
        <w:sectPr w:rsidR="00EC19CA">
          <w:pgSz w:w="8850" w:h="13250"/>
          <w:pgMar w:top="1060" w:right="992" w:bottom="280" w:left="992" w:header="720" w:footer="720" w:gutter="0"/>
          <w:cols w:space="720"/>
        </w:sectPr>
      </w:pPr>
    </w:p>
    <w:p w14:paraId="1763BB6C" w14:textId="77777777" w:rsidR="00EC19CA" w:rsidRDefault="00E75443">
      <w:pPr>
        <w:pStyle w:val="Textoindependiente"/>
        <w:spacing w:line="276" w:lineRule="auto"/>
        <w:ind w:right="138"/>
      </w:pPr>
      <w:r>
        <w:lastRenderedPageBreak/>
        <w:t xml:space="preserve">En este contexto, el debate jurídico contemporáneo ya no consiste únicamente en determinar si la inteligencia artificial debe ser regulada, sino en establecer cómo puede </w:t>
      </w:r>
      <w:r>
        <w:t>construirse una gobernanza internacional</w:t>
      </w:r>
      <w:r>
        <w:rPr>
          <w:spacing w:val="-10"/>
        </w:rPr>
        <w:t xml:space="preserve"> </w:t>
      </w:r>
      <w:r>
        <w:t>capaz</w:t>
      </w:r>
      <w:r>
        <w:rPr>
          <w:spacing w:val="-10"/>
        </w:rPr>
        <w:t xml:space="preserve"> </w:t>
      </w:r>
      <w:r>
        <w:t>de</w:t>
      </w:r>
      <w:r>
        <w:rPr>
          <w:spacing w:val="-10"/>
        </w:rPr>
        <w:t xml:space="preserve"> </w:t>
      </w:r>
      <w:r>
        <w:t>responder</w:t>
      </w:r>
      <w:r>
        <w:rPr>
          <w:spacing w:val="-10"/>
        </w:rPr>
        <w:t xml:space="preserve"> </w:t>
      </w:r>
      <w:r>
        <w:t>a</w:t>
      </w:r>
      <w:r>
        <w:rPr>
          <w:spacing w:val="-10"/>
        </w:rPr>
        <w:t xml:space="preserve"> </w:t>
      </w:r>
      <w:r>
        <w:t>sus</w:t>
      </w:r>
      <w:r>
        <w:rPr>
          <w:spacing w:val="-10"/>
        </w:rPr>
        <w:t xml:space="preserve"> </w:t>
      </w:r>
      <w:r>
        <w:t>riesgos</w:t>
      </w:r>
      <w:r>
        <w:rPr>
          <w:spacing w:val="-10"/>
        </w:rPr>
        <w:t xml:space="preserve"> </w:t>
      </w:r>
      <w:r>
        <w:t>sin</w:t>
      </w:r>
      <w:r>
        <w:rPr>
          <w:spacing w:val="-10"/>
        </w:rPr>
        <w:t xml:space="preserve"> </w:t>
      </w:r>
      <w:r>
        <w:t>impedir</w:t>
      </w:r>
      <w:r>
        <w:rPr>
          <w:spacing w:val="-10"/>
        </w:rPr>
        <w:t xml:space="preserve"> </w:t>
      </w:r>
      <w:r>
        <w:t>la</w:t>
      </w:r>
      <w:r>
        <w:rPr>
          <w:spacing w:val="-10"/>
        </w:rPr>
        <w:t xml:space="preserve"> </w:t>
      </w:r>
      <w:r>
        <w:t>innovación tecnológica ni profundizar las desigualdades existentes entre Estados.</w:t>
      </w:r>
    </w:p>
    <w:p w14:paraId="6819D574" w14:textId="77777777" w:rsidR="00EC19CA" w:rsidRDefault="00E75443">
      <w:pPr>
        <w:pStyle w:val="Textoindependiente"/>
        <w:spacing w:before="121" w:line="276" w:lineRule="auto"/>
        <w:ind w:right="137"/>
      </w:pPr>
      <w:r>
        <w:t>A partir de esta problemática, el presente artículo plantea como pregunta de investig</w:t>
      </w:r>
      <w:r>
        <w:t>ación: ¿cuáles son los principales obstáculos jurídicos para la construcción de un marco internacional común de regulación de la inteligencia artificial y qué elementos podrían permitir superar la actual fragmentación normativa?</w:t>
      </w:r>
    </w:p>
    <w:p w14:paraId="421EBE53" w14:textId="77777777" w:rsidR="00EC19CA" w:rsidRDefault="00E75443">
      <w:pPr>
        <w:pStyle w:val="Textoindependiente"/>
        <w:spacing w:before="120" w:line="276" w:lineRule="auto"/>
        <w:ind w:right="138"/>
      </w:pPr>
      <w:r>
        <w:t>La investigación sostiene c</w:t>
      </w:r>
      <w:r>
        <w:t>omo hipótesis que la construcción de un marco jurídico internacional para la inteligencia artificial enfrenta principalmente obstáculos relacionados con la fragmentación normativa, la soberanía y jurisdicción de los Estados, la protección de derechos human</w:t>
      </w:r>
      <w:r>
        <w:t>os, la determinación de responsabilidades y las diferencias tecnológicas y económicas entre países. Frente a estas dificultades, resulta más viable avanzar progresivamente hacia estándares internacionales mínimos e interoperables que intentar establecer, e</w:t>
      </w:r>
      <w:r>
        <w:t>n el corto plazo, una regulación uniforme y exhaustiva aplicable de manera idéntica a todos los Estados.</w:t>
      </w:r>
    </w:p>
    <w:p w14:paraId="3078414F" w14:textId="77777777" w:rsidR="00EC19CA" w:rsidRDefault="00E75443">
      <w:pPr>
        <w:pStyle w:val="Prrafodelista"/>
        <w:numPr>
          <w:ilvl w:val="1"/>
          <w:numId w:val="3"/>
        </w:numPr>
        <w:tabs>
          <w:tab w:val="left" w:pos="532"/>
        </w:tabs>
        <w:spacing w:before="242"/>
        <w:ind w:left="532" w:hanging="392"/>
        <w:rPr>
          <w:sz w:val="18"/>
        </w:rPr>
      </w:pPr>
      <w:r>
        <w:rPr>
          <w:sz w:val="18"/>
        </w:rPr>
        <w:t>JUSTIFICACIÓN</w:t>
      </w:r>
      <w:r>
        <w:rPr>
          <w:spacing w:val="2"/>
          <w:sz w:val="18"/>
        </w:rPr>
        <w:t xml:space="preserve"> </w:t>
      </w:r>
      <w:r>
        <w:rPr>
          <w:sz w:val="18"/>
        </w:rPr>
        <w:t>DE</w:t>
      </w:r>
      <w:r>
        <w:rPr>
          <w:spacing w:val="3"/>
          <w:sz w:val="18"/>
        </w:rPr>
        <w:t xml:space="preserve"> </w:t>
      </w:r>
      <w:r>
        <w:rPr>
          <w:sz w:val="18"/>
        </w:rPr>
        <w:t>LA</w:t>
      </w:r>
      <w:r>
        <w:rPr>
          <w:spacing w:val="3"/>
          <w:sz w:val="18"/>
        </w:rPr>
        <w:t xml:space="preserve"> </w:t>
      </w:r>
      <w:r>
        <w:rPr>
          <w:spacing w:val="-2"/>
          <w:sz w:val="18"/>
        </w:rPr>
        <w:t>INVESTIGACIÓN</w:t>
      </w:r>
    </w:p>
    <w:p w14:paraId="106E2E4C" w14:textId="77777777" w:rsidR="00EC19CA" w:rsidRDefault="00E75443">
      <w:pPr>
        <w:pStyle w:val="Textoindependiente"/>
        <w:spacing w:before="197" w:line="276" w:lineRule="auto"/>
        <w:ind w:right="140"/>
      </w:pPr>
      <w:r>
        <w:t>La presente investigación se justifica por la necesidad de examinar una problemática jurídica que ha adquirido una di</w:t>
      </w:r>
      <w:r>
        <w:t>mensión global y que no puede ser abordada exclusivamente desde la perspectiva de los ordenamientos nacionales. La inteligencia artificial presenta características que dificultan su sometimiento a esquemas regulatorios estrictamente territoriales, debido a</w:t>
      </w:r>
      <w:r>
        <w:t xml:space="preserve"> la naturaleza transfronteriza de su desarrollo, comercialización, prestación de servicios, utilización de datos y producción de efectos.</w:t>
      </w:r>
    </w:p>
    <w:p w14:paraId="6DF2CEBB" w14:textId="77777777" w:rsidR="00EC19CA" w:rsidRDefault="00E75443">
      <w:pPr>
        <w:pStyle w:val="Textoindependiente"/>
        <w:spacing w:before="120" w:line="276" w:lineRule="auto"/>
        <w:ind w:right="140"/>
      </w:pPr>
      <w:r>
        <w:t>Desde una perspectiva jurídica, resulta necesario determinar si los instrumentos actualmente existentes son suficiente</w:t>
      </w:r>
      <w:r>
        <w:t>s para responder a los riesgos derivados de la inteligencia artificial o si, por el contrario, resulta</w:t>
      </w:r>
      <w:r>
        <w:rPr>
          <w:spacing w:val="80"/>
          <w:w w:val="150"/>
        </w:rPr>
        <w:t xml:space="preserve"> </w:t>
      </w:r>
      <w:r>
        <w:t>necesario</w:t>
      </w:r>
      <w:r>
        <w:rPr>
          <w:spacing w:val="80"/>
          <w:w w:val="150"/>
        </w:rPr>
        <w:t xml:space="preserve"> </w:t>
      </w:r>
      <w:r>
        <w:t>fortalecer</w:t>
      </w:r>
      <w:r>
        <w:rPr>
          <w:spacing w:val="80"/>
          <w:w w:val="150"/>
        </w:rPr>
        <w:t xml:space="preserve"> </w:t>
      </w:r>
      <w:r>
        <w:t>los</w:t>
      </w:r>
      <w:r>
        <w:rPr>
          <w:spacing w:val="80"/>
          <w:w w:val="150"/>
        </w:rPr>
        <w:t xml:space="preserve"> </w:t>
      </w:r>
      <w:r>
        <w:t>mecanismos</w:t>
      </w:r>
      <w:r>
        <w:rPr>
          <w:spacing w:val="80"/>
          <w:w w:val="150"/>
        </w:rPr>
        <w:t xml:space="preserve"> </w:t>
      </w:r>
      <w:r>
        <w:t>internacionales</w:t>
      </w:r>
      <w:r>
        <w:rPr>
          <w:spacing w:val="80"/>
          <w:w w:val="150"/>
        </w:rPr>
        <w:t xml:space="preserve"> </w:t>
      </w:r>
      <w:r>
        <w:t>de</w:t>
      </w:r>
    </w:p>
    <w:p w14:paraId="16F1D3D2" w14:textId="77777777" w:rsidR="00EC19CA" w:rsidRDefault="00EC19CA">
      <w:pPr>
        <w:pStyle w:val="Textoindependiente"/>
        <w:spacing w:line="276" w:lineRule="auto"/>
        <w:sectPr w:rsidR="00EC19CA">
          <w:pgSz w:w="8850" w:h="13250"/>
          <w:pgMar w:top="1060" w:right="992" w:bottom="280" w:left="992" w:header="720" w:footer="720" w:gutter="0"/>
          <w:cols w:space="720"/>
        </w:sectPr>
      </w:pPr>
    </w:p>
    <w:p w14:paraId="5657EABE" w14:textId="77777777" w:rsidR="00EC19CA" w:rsidRDefault="00E75443">
      <w:pPr>
        <w:pStyle w:val="Textoindependiente"/>
        <w:spacing w:line="276" w:lineRule="auto"/>
        <w:ind w:right="139"/>
      </w:pPr>
      <w:r>
        <w:lastRenderedPageBreak/>
        <w:t>cooperación y armonización. Esta cuestión adquiere particular importancia debido a q</w:t>
      </w:r>
      <w:r>
        <w:t>ue actualmente coexisten diferentes modelos regulatorios y éticos. Roberts et al. (FGFH) describen este escenario como un complejo régimen internacional todavía débil, caracterizado por múltiples instituciones e iniciativas que no siempre presentan mecanis</w:t>
      </w:r>
      <w:r>
        <w:t>mos suficientes de coordinación.</w:t>
      </w:r>
    </w:p>
    <w:p w14:paraId="05D5517F" w14:textId="77777777" w:rsidR="00EC19CA" w:rsidRDefault="00E75443">
      <w:pPr>
        <w:pStyle w:val="Textoindependiente"/>
        <w:spacing w:before="119" w:line="276" w:lineRule="auto"/>
        <w:ind w:right="139"/>
      </w:pPr>
      <w:r>
        <w:t xml:space="preserve">La relevancia de este estudio también deriva de la progresiva incorporación de la inteligencia artificial en actividades relacionadas con la adopción de decisiones que pueden afectar directamente a las personas. En </w:t>
      </w:r>
      <w:r>
        <w:t>consecuencia, la ausencia de reglas suficientemente coordinadas puede generar diferencias significativas en la protección jurídica</w:t>
      </w:r>
      <w:r>
        <w:rPr>
          <w:spacing w:val="-7"/>
        </w:rPr>
        <w:t xml:space="preserve"> </w:t>
      </w:r>
      <w:r>
        <w:t>de</w:t>
      </w:r>
      <w:r>
        <w:rPr>
          <w:spacing w:val="-7"/>
        </w:rPr>
        <w:t xml:space="preserve"> </w:t>
      </w:r>
      <w:r>
        <w:t>los</w:t>
      </w:r>
      <w:r>
        <w:rPr>
          <w:spacing w:val="-7"/>
        </w:rPr>
        <w:t xml:space="preserve"> </w:t>
      </w:r>
      <w:r>
        <w:t>individuos</w:t>
      </w:r>
      <w:r>
        <w:rPr>
          <w:spacing w:val="-7"/>
        </w:rPr>
        <w:t xml:space="preserve"> </w:t>
      </w:r>
      <w:r>
        <w:t>dependiendo</w:t>
      </w:r>
      <w:r>
        <w:rPr>
          <w:spacing w:val="-7"/>
        </w:rPr>
        <w:t xml:space="preserve"> </w:t>
      </w:r>
      <w:r>
        <w:t>del</w:t>
      </w:r>
      <w:r>
        <w:rPr>
          <w:spacing w:val="-7"/>
        </w:rPr>
        <w:t xml:space="preserve"> </w:t>
      </w:r>
      <w:r>
        <w:t>Estado</w:t>
      </w:r>
      <w:r>
        <w:rPr>
          <w:spacing w:val="-7"/>
        </w:rPr>
        <w:t xml:space="preserve"> </w:t>
      </w:r>
      <w:r>
        <w:t>en</w:t>
      </w:r>
      <w:r>
        <w:rPr>
          <w:spacing w:val="-7"/>
        </w:rPr>
        <w:t xml:space="preserve"> </w:t>
      </w:r>
      <w:r>
        <w:t>el</w:t>
      </w:r>
      <w:r>
        <w:rPr>
          <w:spacing w:val="-7"/>
        </w:rPr>
        <w:t xml:space="preserve"> </w:t>
      </w:r>
      <w:r>
        <w:t>que</w:t>
      </w:r>
      <w:r>
        <w:rPr>
          <w:spacing w:val="-7"/>
        </w:rPr>
        <w:t xml:space="preserve"> </w:t>
      </w:r>
      <w:r>
        <w:t>se</w:t>
      </w:r>
      <w:r>
        <w:rPr>
          <w:spacing w:val="-7"/>
        </w:rPr>
        <w:t xml:space="preserve"> </w:t>
      </w:r>
      <w:r>
        <w:t>produzca o manifieste el efecto de una determinada tecnología.</w:t>
      </w:r>
    </w:p>
    <w:p w14:paraId="63A419C6" w14:textId="77777777" w:rsidR="00EC19CA" w:rsidRDefault="00E75443">
      <w:pPr>
        <w:pStyle w:val="Textoindependiente"/>
        <w:spacing w:before="122" w:line="276" w:lineRule="auto"/>
        <w:ind w:right="138"/>
      </w:pPr>
      <w:r>
        <w:t>Asimismo,</w:t>
      </w:r>
      <w:r>
        <w:rPr>
          <w:spacing w:val="-4"/>
        </w:rPr>
        <w:t xml:space="preserve"> </w:t>
      </w:r>
      <w:r>
        <w:t>la</w:t>
      </w:r>
      <w:r>
        <w:rPr>
          <w:spacing w:val="-5"/>
        </w:rPr>
        <w:t xml:space="preserve"> </w:t>
      </w:r>
      <w:r>
        <w:t>investigación</w:t>
      </w:r>
      <w:r>
        <w:rPr>
          <w:spacing w:val="-5"/>
        </w:rPr>
        <w:t xml:space="preserve"> </w:t>
      </w:r>
      <w:r>
        <w:t>posee</w:t>
      </w:r>
      <w:r>
        <w:rPr>
          <w:spacing w:val="-5"/>
        </w:rPr>
        <w:t xml:space="preserve"> </w:t>
      </w:r>
      <w:r>
        <w:t>relevancia</w:t>
      </w:r>
      <w:r>
        <w:rPr>
          <w:spacing w:val="-5"/>
        </w:rPr>
        <w:t xml:space="preserve"> </w:t>
      </w:r>
      <w:r>
        <w:t>internacional</w:t>
      </w:r>
      <w:r>
        <w:rPr>
          <w:spacing w:val="-5"/>
        </w:rPr>
        <w:t xml:space="preserve"> </w:t>
      </w:r>
      <w:r>
        <w:t>debido</w:t>
      </w:r>
      <w:r>
        <w:rPr>
          <w:spacing w:val="-5"/>
        </w:rPr>
        <w:t xml:space="preserve"> </w:t>
      </w:r>
      <w:r>
        <w:t>a</w:t>
      </w:r>
      <w:r>
        <w:rPr>
          <w:spacing w:val="-5"/>
        </w:rPr>
        <w:t xml:space="preserve"> </w:t>
      </w:r>
      <w:r>
        <w:t>que Naciones Unidas ha reconocido expresamente la necesidad de fortalecer la gobernanza mundial de la inteligencia artificial. El</w:t>
      </w:r>
      <w:r>
        <w:rPr>
          <w:spacing w:val="40"/>
        </w:rPr>
        <w:t xml:space="preserve"> </w:t>
      </w:r>
      <w:r>
        <w:t xml:space="preserve">informe </w:t>
      </w:r>
      <w:proofErr w:type="spellStart"/>
      <w:r>
        <w:t>Governing</w:t>
      </w:r>
      <w:proofErr w:type="spellEnd"/>
      <w:r>
        <w:t xml:space="preserve"> AI </w:t>
      </w:r>
      <w:proofErr w:type="spellStart"/>
      <w:r>
        <w:t>for</w:t>
      </w:r>
      <w:proofErr w:type="spellEnd"/>
      <w:r>
        <w:t xml:space="preserve"> </w:t>
      </w:r>
      <w:proofErr w:type="spellStart"/>
      <w:r>
        <w:t>Humanity</w:t>
      </w:r>
      <w:proofErr w:type="spellEnd"/>
      <w:r>
        <w:t xml:space="preserve">, elaborado por el Órgano </w:t>
      </w:r>
      <w:r>
        <w:t>Asesor de Alto Nivel sobre Inteligencia Artificial, identifica vacíos en los mecanismos actuales de gobernanza y propone avanzar hacia una arquitectura global inclusiva, distribuida, ágil y adaptable, basada en la cooperación internacional. Naciones Unidas</w:t>
      </w:r>
      <w:r>
        <w:t xml:space="preserve"> destaca, además, la necesidad</w:t>
      </w:r>
      <w:r>
        <w:rPr>
          <w:spacing w:val="-7"/>
        </w:rPr>
        <w:t xml:space="preserve"> </w:t>
      </w:r>
      <w:r>
        <w:t>de</w:t>
      </w:r>
      <w:r>
        <w:rPr>
          <w:spacing w:val="-6"/>
        </w:rPr>
        <w:t xml:space="preserve"> </w:t>
      </w:r>
      <w:r>
        <w:t>mejorar</w:t>
      </w:r>
      <w:r>
        <w:rPr>
          <w:spacing w:val="-7"/>
        </w:rPr>
        <w:t xml:space="preserve"> </w:t>
      </w:r>
      <w:r>
        <w:t>la</w:t>
      </w:r>
      <w:r>
        <w:rPr>
          <w:spacing w:val="-6"/>
        </w:rPr>
        <w:t xml:space="preserve"> </w:t>
      </w:r>
      <w:r>
        <w:t>representación,</w:t>
      </w:r>
      <w:r>
        <w:rPr>
          <w:spacing w:val="-7"/>
        </w:rPr>
        <w:t xml:space="preserve"> </w:t>
      </w:r>
      <w:r>
        <w:t>coordinación</w:t>
      </w:r>
      <w:r>
        <w:rPr>
          <w:spacing w:val="-7"/>
        </w:rPr>
        <w:t xml:space="preserve"> </w:t>
      </w:r>
      <w:r>
        <w:t>e</w:t>
      </w:r>
      <w:r>
        <w:rPr>
          <w:spacing w:val="-6"/>
        </w:rPr>
        <w:t xml:space="preserve"> </w:t>
      </w:r>
      <w:r>
        <w:t>implementación de las iniciativas existentes.</w:t>
      </w:r>
    </w:p>
    <w:p w14:paraId="297DBA51" w14:textId="77777777" w:rsidR="00EC19CA" w:rsidRDefault="00E75443">
      <w:pPr>
        <w:pStyle w:val="Textoindependiente"/>
        <w:spacing w:before="122" w:line="276" w:lineRule="auto"/>
        <w:ind w:right="138"/>
      </w:pPr>
      <w:r>
        <w:t>Desde el punto de vista práctico, analizar estos desafíos permite identificar elementos que podrían contribuir a una futura arquitectu</w:t>
      </w:r>
      <w:r>
        <w:t>ra jurídica internacional de la inteligencia artificial. En particular, el estudio busca aportar criterios para comprender la relación entre instrumentos vinculantes y no vinculantes, cooperación internacional, estándares comunes, derechos humanos e intero</w:t>
      </w:r>
      <w:r>
        <w:t>perabilidad normativa.</w:t>
      </w:r>
    </w:p>
    <w:p w14:paraId="576172CA" w14:textId="77777777" w:rsidR="00EC19CA" w:rsidRDefault="00E75443">
      <w:pPr>
        <w:pStyle w:val="Textoindependiente"/>
        <w:spacing w:before="119" w:line="276" w:lineRule="auto"/>
        <w:ind w:right="139"/>
      </w:pPr>
      <w:r>
        <w:t>Finalmente, la investigación se justifica por la necesidad de evitar que la regulación de la inteligencia artificial se desarrolle exclusivamente a partir de iniciativas aisladas de determinados Estados o regiones. La construcción de</w:t>
      </w:r>
      <w:r>
        <w:t xml:space="preserve"> estándares internacionales requiere considerar también las</w:t>
      </w:r>
      <w:r>
        <w:rPr>
          <w:spacing w:val="40"/>
        </w:rPr>
        <w:t xml:space="preserve"> </w:t>
      </w:r>
      <w:r>
        <w:t>diferencias</w:t>
      </w:r>
      <w:r>
        <w:rPr>
          <w:spacing w:val="40"/>
        </w:rPr>
        <w:t xml:space="preserve"> </w:t>
      </w:r>
      <w:r>
        <w:t>existentes</w:t>
      </w:r>
      <w:r>
        <w:rPr>
          <w:spacing w:val="40"/>
        </w:rPr>
        <w:t xml:space="preserve"> </w:t>
      </w:r>
      <w:r>
        <w:t>entre</w:t>
      </w:r>
      <w:r>
        <w:rPr>
          <w:spacing w:val="40"/>
        </w:rPr>
        <w:t xml:space="preserve"> </w:t>
      </w:r>
      <w:r>
        <w:t>países</w:t>
      </w:r>
      <w:r>
        <w:rPr>
          <w:spacing w:val="40"/>
        </w:rPr>
        <w:t xml:space="preserve"> </w:t>
      </w:r>
      <w:r>
        <w:t>desarrollados</w:t>
      </w:r>
      <w:r>
        <w:rPr>
          <w:spacing w:val="40"/>
        </w:rPr>
        <w:t xml:space="preserve"> </w:t>
      </w:r>
      <w:r>
        <w:t>y</w:t>
      </w:r>
      <w:r>
        <w:rPr>
          <w:spacing w:val="40"/>
        </w:rPr>
        <w:t xml:space="preserve"> </w:t>
      </w:r>
      <w:r>
        <w:t>en</w:t>
      </w:r>
      <w:r>
        <w:rPr>
          <w:spacing w:val="40"/>
        </w:rPr>
        <w:t xml:space="preserve"> </w:t>
      </w:r>
      <w:r>
        <w:t>desarrollo,</w:t>
      </w:r>
    </w:p>
    <w:p w14:paraId="507DA685" w14:textId="77777777" w:rsidR="00EC19CA" w:rsidRDefault="00EC19CA">
      <w:pPr>
        <w:pStyle w:val="Textoindependiente"/>
        <w:spacing w:line="276" w:lineRule="auto"/>
        <w:sectPr w:rsidR="00EC19CA">
          <w:pgSz w:w="8850" w:h="13250"/>
          <w:pgMar w:top="1060" w:right="992" w:bottom="280" w:left="992" w:header="720" w:footer="720" w:gutter="0"/>
          <w:cols w:space="720"/>
        </w:sectPr>
      </w:pPr>
    </w:p>
    <w:p w14:paraId="7F6A0ECF" w14:textId="77777777" w:rsidR="00EC19CA" w:rsidRDefault="00E75443">
      <w:pPr>
        <w:pStyle w:val="Textoindependiente"/>
        <w:spacing w:line="276" w:lineRule="auto"/>
        <w:ind w:right="141"/>
      </w:pPr>
      <w:r>
        <w:lastRenderedPageBreak/>
        <w:t>dado que la gobernanza tecnológica no puede desvincularse de las desigualdades en infraestructura, capacidad instit</w:t>
      </w:r>
      <w:r>
        <w:t>ucional, acceso a datos, conocimiento técnico y recursos económicos. UNESCO ha advertido que la IA puede profundizar las desigualdades existentes entre países y ha señalado la importancia de garantizar una participación inclusiva en los beneficios y mecani</w:t>
      </w:r>
      <w:r>
        <w:t>smos de protección relacionados</w:t>
      </w:r>
      <w:r>
        <w:rPr>
          <w:spacing w:val="-2"/>
        </w:rPr>
        <w:t xml:space="preserve"> </w:t>
      </w:r>
      <w:r>
        <w:t>con</w:t>
      </w:r>
      <w:r>
        <w:rPr>
          <w:spacing w:val="-2"/>
        </w:rPr>
        <w:t xml:space="preserve"> </w:t>
      </w:r>
      <w:r>
        <w:t>estas</w:t>
      </w:r>
      <w:r>
        <w:rPr>
          <w:spacing w:val="-2"/>
        </w:rPr>
        <w:t xml:space="preserve"> </w:t>
      </w:r>
      <w:r>
        <w:t>tecnologías</w:t>
      </w:r>
      <w:r>
        <w:rPr>
          <w:spacing w:val="-2"/>
        </w:rPr>
        <w:t xml:space="preserve"> </w:t>
      </w:r>
      <w:r>
        <w:t>(UNESCO,</w:t>
      </w:r>
      <w:r>
        <w:rPr>
          <w:spacing w:val="-2"/>
        </w:rPr>
        <w:t xml:space="preserve"> </w:t>
      </w:r>
      <w:r>
        <w:t>FGFQ).</w:t>
      </w:r>
    </w:p>
    <w:p w14:paraId="22C71AE1" w14:textId="77777777" w:rsidR="00EC19CA" w:rsidRDefault="00E75443">
      <w:pPr>
        <w:pStyle w:val="Prrafodelista"/>
        <w:numPr>
          <w:ilvl w:val="1"/>
          <w:numId w:val="2"/>
        </w:numPr>
        <w:tabs>
          <w:tab w:val="left" w:pos="532"/>
        </w:tabs>
        <w:spacing w:before="242"/>
        <w:ind w:left="532" w:hanging="392"/>
        <w:rPr>
          <w:sz w:val="18"/>
        </w:rPr>
      </w:pPr>
      <w:r>
        <w:rPr>
          <w:sz w:val="18"/>
        </w:rPr>
        <w:t>MARCO</w:t>
      </w:r>
      <w:r>
        <w:rPr>
          <w:spacing w:val="1"/>
          <w:sz w:val="18"/>
        </w:rPr>
        <w:t xml:space="preserve"> </w:t>
      </w:r>
      <w:r>
        <w:rPr>
          <w:spacing w:val="-2"/>
          <w:sz w:val="18"/>
        </w:rPr>
        <w:t>TEÓRICO</w:t>
      </w:r>
    </w:p>
    <w:p w14:paraId="4B5EF0FF" w14:textId="77777777" w:rsidR="00EC19CA" w:rsidRDefault="00E75443">
      <w:pPr>
        <w:pStyle w:val="Textoindependiente"/>
        <w:spacing w:before="201"/>
        <w:jc w:val="left"/>
      </w:pPr>
      <w:r>
        <w:rPr>
          <w:spacing w:val="-4"/>
        </w:rPr>
        <w:t>Q.F.Q.</w:t>
      </w:r>
      <w:r>
        <w:rPr>
          <w:spacing w:val="-6"/>
        </w:rPr>
        <w:t xml:space="preserve"> </w:t>
      </w:r>
      <w:r>
        <w:rPr>
          <w:spacing w:val="-4"/>
        </w:rPr>
        <w:t>Inteligencia</w:t>
      </w:r>
      <w:r>
        <w:rPr>
          <w:spacing w:val="-6"/>
        </w:rPr>
        <w:t xml:space="preserve"> </w:t>
      </w:r>
      <w:r>
        <w:rPr>
          <w:spacing w:val="-4"/>
        </w:rPr>
        <w:t>artificial</w:t>
      </w:r>
      <w:r>
        <w:rPr>
          <w:spacing w:val="-6"/>
        </w:rPr>
        <w:t xml:space="preserve"> </w:t>
      </w:r>
      <w:r>
        <w:rPr>
          <w:spacing w:val="-4"/>
        </w:rPr>
        <w:t>y</w:t>
      </w:r>
      <w:r>
        <w:rPr>
          <w:spacing w:val="-6"/>
        </w:rPr>
        <w:t xml:space="preserve"> </w:t>
      </w:r>
      <w:r>
        <w:rPr>
          <w:spacing w:val="-4"/>
        </w:rPr>
        <w:t>regulación</w:t>
      </w:r>
      <w:r>
        <w:rPr>
          <w:spacing w:val="-5"/>
        </w:rPr>
        <w:t xml:space="preserve"> </w:t>
      </w:r>
      <w:r>
        <w:rPr>
          <w:spacing w:val="-4"/>
        </w:rPr>
        <w:t>jurídica</w:t>
      </w:r>
    </w:p>
    <w:p w14:paraId="14503683" w14:textId="77777777" w:rsidR="00EC19CA" w:rsidRDefault="00E75443">
      <w:pPr>
        <w:pStyle w:val="Textoindependiente"/>
        <w:spacing w:before="196" w:line="276" w:lineRule="auto"/>
        <w:ind w:right="141"/>
      </w:pPr>
      <w:r>
        <w:t>La</w:t>
      </w:r>
      <w:r>
        <w:rPr>
          <w:spacing w:val="-1"/>
        </w:rPr>
        <w:t xml:space="preserve"> </w:t>
      </w:r>
      <w:r>
        <w:t>inteligencia</w:t>
      </w:r>
      <w:r>
        <w:rPr>
          <w:spacing w:val="-1"/>
        </w:rPr>
        <w:t xml:space="preserve"> </w:t>
      </w:r>
      <w:r>
        <w:t>artificial</w:t>
      </w:r>
      <w:r>
        <w:rPr>
          <w:spacing w:val="-1"/>
        </w:rPr>
        <w:t xml:space="preserve"> </w:t>
      </w:r>
      <w:r>
        <w:t>constituye</w:t>
      </w:r>
      <w:r>
        <w:rPr>
          <w:spacing w:val="-1"/>
        </w:rPr>
        <w:t xml:space="preserve"> </w:t>
      </w:r>
      <w:r>
        <w:t>un</w:t>
      </w:r>
      <w:r>
        <w:rPr>
          <w:spacing w:val="-1"/>
        </w:rPr>
        <w:t xml:space="preserve"> </w:t>
      </w:r>
      <w:r>
        <w:t>concepto</w:t>
      </w:r>
      <w:r>
        <w:rPr>
          <w:spacing w:val="-1"/>
        </w:rPr>
        <w:t xml:space="preserve"> </w:t>
      </w:r>
      <w:r>
        <w:t>amplio</w:t>
      </w:r>
      <w:r>
        <w:rPr>
          <w:spacing w:val="-1"/>
        </w:rPr>
        <w:t xml:space="preserve"> </w:t>
      </w:r>
      <w:r>
        <w:t>que</w:t>
      </w:r>
      <w:r>
        <w:rPr>
          <w:spacing w:val="-1"/>
        </w:rPr>
        <w:t xml:space="preserve"> </w:t>
      </w:r>
      <w:r>
        <w:t>comprende diferentes tecnologías y aplicaciones capaces de</w:t>
      </w:r>
      <w:r>
        <w:t xml:space="preserve"> procesar información</w:t>
      </w:r>
      <w:r>
        <w:rPr>
          <w:spacing w:val="40"/>
        </w:rPr>
        <w:t xml:space="preserve"> </w:t>
      </w:r>
      <w:r>
        <w:t>y producir resultados que pueden influir en procesos de predicción, recomendación, generación de contenidos o toma de decisiones. Su carácter dinámico dificulta establecer una definición jurídica completamente estática, razón por la c</w:t>
      </w:r>
      <w:r>
        <w:t xml:space="preserve">ual los instrumentos regulatorios contemporáneos tienden a adoptar aproximaciones suficientemente </w:t>
      </w:r>
      <w:r>
        <w:rPr>
          <w:spacing w:val="-2"/>
        </w:rPr>
        <w:t>flexibles.</w:t>
      </w:r>
    </w:p>
    <w:p w14:paraId="64480B31" w14:textId="77777777" w:rsidR="00EC19CA" w:rsidRDefault="00E75443">
      <w:pPr>
        <w:pStyle w:val="Textoindependiente"/>
        <w:spacing w:before="159" w:line="276" w:lineRule="auto"/>
        <w:ind w:right="138"/>
      </w:pPr>
      <w:r>
        <w:t>Desde el punto de vista jurídico, resulta relevante considerar no solamente las características técnicas del sistema, sino también su finalidad, co</w:t>
      </w:r>
      <w:r>
        <w:t>ntexto de utilización, nivel de riesgo y posibles efectos sobre las personas. Esta aproximación se encuentra presente en modelos regulatorios contemporáneos como el Reglamento de Inteligencia Artificial de la Unión Europea, que establece obligaciones difer</w:t>
      </w:r>
      <w:r>
        <w:t>enciadas</w:t>
      </w:r>
      <w:r>
        <w:rPr>
          <w:spacing w:val="-7"/>
        </w:rPr>
        <w:t xml:space="preserve"> </w:t>
      </w:r>
      <w:r>
        <w:t>según</w:t>
      </w:r>
      <w:r>
        <w:rPr>
          <w:spacing w:val="-7"/>
        </w:rPr>
        <w:t xml:space="preserve"> </w:t>
      </w:r>
      <w:r>
        <w:t>el</w:t>
      </w:r>
      <w:r>
        <w:rPr>
          <w:spacing w:val="-7"/>
        </w:rPr>
        <w:t xml:space="preserve"> </w:t>
      </w:r>
      <w:r>
        <w:t>nivel</w:t>
      </w:r>
      <w:r>
        <w:rPr>
          <w:spacing w:val="-7"/>
        </w:rPr>
        <w:t xml:space="preserve"> </w:t>
      </w:r>
      <w:r>
        <w:t>de</w:t>
      </w:r>
      <w:r>
        <w:rPr>
          <w:spacing w:val="-7"/>
        </w:rPr>
        <w:t xml:space="preserve"> </w:t>
      </w:r>
      <w:r>
        <w:t>riesgo</w:t>
      </w:r>
      <w:r>
        <w:rPr>
          <w:spacing w:val="-7"/>
        </w:rPr>
        <w:t xml:space="preserve"> </w:t>
      </w:r>
      <w:r>
        <w:t>asociado</w:t>
      </w:r>
      <w:r>
        <w:rPr>
          <w:spacing w:val="-7"/>
        </w:rPr>
        <w:t xml:space="preserve"> </w:t>
      </w:r>
      <w:r>
        <w:t>a</w:t>
      </w:r>
      <w:r>
        <w:rPr>
          <w:spacing w:val="-7"/>
        </w:rPr>
        <w:t xml:space="preserve"> </w:t>
      </w:r>
      <w:r>
        <w:t>determinados</w:t>
      </w:r>
      <w:r>
        <w:rPr>
          <w:spacing w:val="-7"/>
        </w:rPr>
        <w:t xml:space="preserve"> </w:t>
      </w:r>
      <w:r>
        <w:t>sistemas (Unión Europea, FGFH).</w:t>
      </w:r>
    </w:p>
    <w:p w14:paraId="3AE23B35" w14:textId="77777777" w:rsidR="00EC19CA" w:rsidRDefault="00E75443">
      <w:pPr>
        <w:pStyle w:val="Textoindependiente"/>
        <w:spacing w:before="164"/>
        <w:jc w:val="left"/>
      </w:pPr>
      <w:r>
        <w:rPr>
          <w:w w:val="90"/>
        </w:rPr>
        <w:t>Q.F.F.</w:t>
      </w:r>
      <w:r>
        <w:rPr>
          <w:spacing w:val="23"/>
        </w:rPr>
        <w:t xml:space="preserve"> </w:t>
      </w:r>
      <w:r>
        <w:rPr>
          <w:w w:val="90"/>
        </w:rPr>
        <w:t>Gobernanza</w:t>
      </w:r>
      <w:r>
        <w:rPr>
          <w:spacing w:val="24"/>
        </w:rPr>
        <w:t xml:space="preserve"> </w:t>
      </w:r>
      <w:r>
        <w:rPr>
          <w:spacing w:val="-2"/>
          <w:w w:val="90"/>
        </w:rPr>
        <w:t>global</w:t>
      </w:r>
    </w:p>
    <w:p w14:paraId="14062305" w14:textId="77777777" w:rsidR="00EC19CA" w:rsidRDefault="00E75443">
      <w:pPr>
        <w:pStyle w:val="Textoindependiente"/>
        <w:spacing w:before="196" w:line="276" w:lineRule="auto"/>
        <w:ind w:right="142"/>
      </w:pPr>
      <w:r>
        <w:t>La gobernanza global comprende los mecanismos mediante los cuales Estados, organizaciones internacionales, empresas, instituciones académicas</w:t>
      </w:r>
      <w:r>
        <w:t xml:space="preserve"> y otros actores participan en la elaboración y aplicación de reglas frente a problemas que exceden las fronteras nacionales.</w:t>
      </w:r>
    </w:p>
    <w:p w14:paraId="4A7A2439" w14:textId="77777777" w:rsidR="00EC19CA" w:rsidRDefault="00E75443">
      <w:pPr>
        <w:pStyle w:val="Textoindependiente"/>
        <w:spacing w:before="161" w:line="278" w:lineRule="auto"/>
        <w:ind w:right="141"/>
      </w:pPr>
      <w:r>
        <w:t>En materia de inteligencia artificial, este concepto resulta particularmente relevante porque no existe una autoridad internaciona</w:t>
      </w:r>
      <w:r>
        <w:t>l</w:t>
      </w:r>
    </w:p>
    <w:p w14:paraId="4ACC7B65" w14:textId="77777777" w:rsidR="00EC19CA" w:rsidRDefault="00EC19CA">
      <w:pPr>
        <w:pStyle w:val="Textoindependiente"/>
        <w:spacing w:line="278" w:lineRule="auto"/>
        <w:sectPr w:rsidR="00EC19CA">
          <w:pgSz w:w="8850" w:h="13250"/>
          <w:pgMar w:top="1060" w:right="992" w:bottom="280" w:left="992" w:header="720" w:footer="720" w:gutter="0"/>
          <w:cols w:space="720"/>
        </w:sectPr>
      </w:pPr>
    </w:p>
    <w:p w14:paraId="21A69F9E" w14:textId="77777777" w:rsidR="00EC19CA" w:rsidRDefault="00E75443">
      <w:pPr>
        <w:pStyle w:val="Textoindependiente"/>
        <w:spacing w:line="276" w:lineRule="auto"/>
        <w:ind w:right="142"/>
      </w:pPr>
      <w:r>
        <w:lastRenderedPageBreak/>
        <w:t xml:space="preserve">única con competencia general sobre la tecnología. Por el contrario, la gobernanza se encuentra distribuida entre múltiples instituciones e </w:t>
      </w:r>
      <w:r>
        <w:rPr>
          <w:spacing w:val="-2"/>
        </w:rPr>
        <w:t>instrumentos.</w:t>
      </w:r>
    </w:p>
    <w:p w14:paraId="104646A5" w14:textId="77777777" w:rsidR="00EC19CA" w:rsidRDefault="00E75443">
      <w:pPr>
        <w:pStyle w:val="Textoindependiente"/>
        <w:spacing w:before="163" w:line="276" w:lineRule="auto"/>
        <w:ind w:right="138"/>
      </w:pPr>
      <w:r>
        <w:t xml:space="preserve">Roberts et al. (FGFH) identifican precisamente la existencia de una arquitectura </w:t>
      </w:r>
      <w:r>
        <w:t>internacional fragmentada y policéntrica de gobernanza de la IA. En este contexto, la gobernanza global no necesariamente requiere la creación inmediata de una autoridad mundial, sino mecanismos de cooperación, coordinación, establecimiento de estándares y</w:t>
      </w:r>
      <w:r>
        <w:t xml:space="preserve"> supervisión compartida.</w:t>
      </w:r>
    </w:p>
    <w:p w14:paraId="7310DE09" w14:textId="77777777" w:rsidR="00EC19CA" w:rsidRDefault="00E75443">
      <w:pPr>
        <w:pStyle w:val="Textoindependiente"/>
        <w:spacing w:before="157"/>
      </w:pPr>
      <w:r>
        <w:t>Q.F.`.</w:t>
      </w:r>
      <w:r>
        <w:rPr>
          <w:spacing w:val="-6"/>
        </w:rPr>
        <w:t xml:space="preserve"> </w:t>
      </w:r>
      <w:proofErr w:type="spellStart"/>
      <w:r>
        <w:t>Soft</w:t>
      </w:r>
      <w:proofErr w:type="spellEnd"/>
      <w:r>
        <w:rPr>
          <w:spacing w:val="-6"/>
        </w:rPr>
        <w:t xml:space="preserve"> </w:t>
      </w:r>
      <w:proofErr w:type="spellStart"/>
      <w:r>
        <w:t>law</w:t>
      </w:r>
      <w:proofErr w:type="spellEnd"/>
      <w:r>
        <w:rPr>
          <w:spacing w:val="-6"/>
        </w:rPr>
        <w:t xml:space="preserve"> </w:t>
      </w:r>
      <w:r>
        <w:t>y</w:t>
      </w:r>
      <w:r>
        <w:rPr>
          <w:spacing w:val="-6"/>
        </w:rPr>
        <w:t xml:space="preserve"> </w:t>
      </w:r>
      <w:proofErr w:type="spellStart"/>
      <w:r>
        <w:t>hard</w:t>
      </w:r>
      <w:proofErr w:type="spellEnd"/>
      <w:r>
        <w:rPr>
          <w:spacing w:val="-6"/>
        </w:rPr>
        <w:t xml:space="preserve"> </w:t>
      </w:r>
      <w:proofErr w:type="spellStart"/>
      <w:r>
        <w:t>law</w:t>
      </w:r>
      <w:proofErr w:type="spellEnd"/>
      <w:r>
        <w:rPr>
          <w:spacing w:val="-6"/>
        </w:rPr>
        <w:t xml:space="preserve"> </w:t>
      </w:r>
      <w:r>
        <w:t>en</w:t>
      </w:r>
      <w:r>
        <w:rPr>
          <w:spacing w:val="-5"/>
        </w:rPr>
        <w:t xml:space="preserve"> </w:t>
      </w:r>
      <w:r>
        <w:t>la</w:t>
      </w:r>
      <w:r>
        <w:rPr>
          <w:spacing w:val="-6"/>
        </w:rPr>
        <w:t xml:space="preserve"> </w:t>
      </w:r>
      <w:r>
        <w:t>regulación</w:t>
      </w:r>
      <w:r>
        <w:rPr>
          <w:spacing w:val="-6"/>
        </w:rPr>
        <w:t xml:space="preserve"> </w:t>
      </w:r>
      <w:r>
        <w:t>de</w:t>
      </w:r>
      <w:r>
        <w:rPr>
          <w:spacing w:val="-6"/>
        </w:rPr>
        <w:t xml:space="preserve"> </w:t>
      </w:r>
      <w:r>
        <w:t>la</w:t>
      </w:r>
      <w:r>
        <w:rPr>
          <w:spacing w:val="-6"/>
        </w:rPr>
        <w:t xml:space="preserve"> </w:t>
      </w:r>
      <w:r>
        <w:t>inteligencia</w:t>
      </w:r>
      <w:r>
        <w:rPr>
          <w:spacing w:val="-6"/>
        </w:rPr>
        <w:t xml:space="preserve"> </w:t>
      </w:r>
      <w:r>
        <w:rPr>
          <w:spacing w:val="-2"/>
        </w:rPr>
        <w:t>artificial</w:t>
      </w:r>
    </w:p>
    <w:p w14:paraId="69230504" w14:textId="77777777" w:rsidR="00EC19CA" w:rsidRDefault="00E75443">
      <w:pPr>
        <w:pStyle w:val="Textoindependiente"/>
        <w:spacing w:before="201" w:line="276" w:lineRule="auto"/>
        <w:ind w:right="141"/>
      </w:pPr>
      <w:r>
        <w:t xml:space="preserve">La regulación internacional de la IA se caracteriza por la coexistencia de instrumentos de diferente fuerza jurídica. Las recomendaciones, principios y </w:t>
      </w:r>
      <w:r>
        <w:t>declaraciones internacionales pueden generar procesos de convergencia normativa sin producir necesariamente obligaciones jurídicas equivalentes a las derivadas de un tratado.</w:t>
      </w:r>
    </w:p>
    <w:p w14:paraId="7F844D21" w14:textId="77777777" w:rsidR="00EC19CA" w:rsidRDefault="00E75443">
      <w:pPr>
        <w:pStyle w:val="Textoindependiente"/>
        <w:spacing w:before="159" w:line="276" w:lineRule="auto"/>
        <w:ind w:right="140"/>
      </w:pPr>
      <w:r>
        <w:t>La</w:t>
      </w:r>
      <w:r>
        <w:rPr>
          <w:spacing w:val="-4"/>
        </w:rPr>
        <w:t xml:space="preserve"> </w:t>
      </w:r>
      <w:r>
        <w:t>Recomendación</w:t>
      </w:r>
      <w:r>
        <w:rPr>
          <w:spacing w:val="-4"/>
        </w:rPr>
        <w:t xml:space="preserve"> </w:t>
      </w:r>
      <w:r>
        <w:t>de</w:t>
      </w:r>
      <w:r>
        <w:rPr>
          <w:spacing w:val="-4"/>
        </w:rPr>
        <w:t xml:space="preserve"> </w:t>
      </w:r>
      <w:r>
        <w:t>UNESCO</w:t>
      </w:r>
      <w:r>
        <w:rPr>
          <w:spacing w:val="-4"/>
        </w:rPr>
        <w:t xml:space="preserve"> </w:t>
      </w:r>
      <w:r>
        <w:t>(FGFQ)</w:t>
      </w:r>
      <w:r>
        <w:rPr>
          <w:spacing w:val="-4"/>
        </w:rPr>
        <w:t xml:space="preserve"> </w:t>
      </w:r>
      <w:r>
        <w:t>constituye</w:t>
      </w:r>
      <w:r>
        <w:rPr>
          <w:spacing w:val="-4"/>
        </w:rPr>
        <w:t xml:space="preserve"> </w:t>
      </w:r>
      <w:r>
        <w:t>un</w:t>
      </w:r>
      <w:r>
        <w:rPr>
          <w:spacing w:val="-4"/>
        </w:rPr>
        <w:t xml:space="preserve"> </w:t>
      </w:r>
      <w:r>
        <w:t>ejemplo</w:t>
      </w:r>
      <w:r>
        <w:rPr>
          <w:spacing w:val="-4"/>
        </w:rPr>
        <w:t xml:space="preserve"> </w:t>
      </w:r>
      <w:r>
        <w:t>de</w:t>
      </w:r>
      <w:r>
        <w:rPr>
          <w:spacing w:val="-14"/>
        </w:rPr>
        <w:t xml:space="preserve"> </w:t>
      </w:r>
      <w:proofErr w:type="spellStart"/>
      <w:r>
        <w:rPr>
          <w:i/>
        </w:rPr>
        <w:t>soft</w:t>
      </w:r>
      <w:proofErr w:type="spellEnd"/>
      <w:r>
        <w:rPr>
          <w:i/>
        </w:rPr>
        <w:t xml:space="preserve"> </w:t>
      </w:r>
      <w:proofErr w:type="spellStart"/>
      <w:r>
        <w:rPr>
          <w:i/>
        </w:rPr>
        <w:t>law</w:t>
      </w:r>
      <w:proofErr w:type="spellEnd"/>
      <w:r>
        <w:rPr>
          <w:i/>
        </w:rPr>
        <w:t xml:space="preserve"> </w:t>
      </w:r>
      <w:r>
        <w:t>orientado a e</w:t>
      </w:r>
      <w:r>
        <w:t>stablecer principios globales sobre inteligencia artificial. En contraste, el Convenio Marco del Consejo de Europa constituye un instrumento jurídicamente vinculante para sus partes.</w:t>
      </w:r>
    </w:p>
    <w:p w14:paraId="118FF3A9" w14:textId="77777777" w:rsidR="00EC19CA" w:rsidRDefault="00E75443">
      <w:pPr>
        <w:pStyle w:val="Textoindependiente"/>
        <w:spacing w:before="161" w:line="276" w:lineRule="auto"/>
        <w:ind w:right="141"/>
      </w:pPr>
      <w:r>
        <w:t>La coexistencia de ambos modelos puede entenderse como parte de un proces</w:t>
      </w:r>
      <w:r>
        <w:t xml:space="preserve">o progresivo de construcción normativa. El </w:t>
      </w:r>
      <w:proofErr w:type="spellStart"/>
      <w:r>
        <w:rPr>
          <w:i/>
        </w:rPr>
        <w:t>soft</w:t>
      </w:r>
      <w:proofErr w:type="spellEnd"/>
      <w:r>
        <w:rPr>
          <w:i/>
        </w:rPr>
        <w:t xml:space="preserve"> </w:t>
      </w:r>
      <w:proofErr w:type="spellStart"/>
      <w:r>
        <w:rPr>
          <w:i/>
        </w:rPr>
        <w:t>law</w:t>
      </w:r>
      <w:proofErr w:type="spellEnd"/>
      <w:r>
        <w:rPr>
          <w:i/>
        </w:rPr>
        <w:t xml:space="preserve"> </w:t>
      </w:r>
      <w:r>
        <w:t>permite generar consensos iniciales, mientras que los instrumentos vinculantes pueden posteriormente consolidar determinadas obligaciones.</w:t>
      </w:r>
    </w:p>
    <w:p w14:paraId="5A8359DC" w14:textId="77777777" w:rsidR="00EC19CA" w:rsidRDefault="00E75443">
      <w:pPr>
        <w:pStyle w:val="Textoindependiente"/>
        <w:spacing w:before="161"/>
        <w:jc w:val="left"/>
      </w:pPr>
      <w:r>
        <w:rPr>
          <w:spacing w:val="-2"/>
        </w:rPr>
        <w:t>Q.F.H.</w:t>
      </w:r>
      <w:r>
        <w:rPr>
          <w:spacing w:val="-12"/>
        </w:rPr>
        <w:t xml:space="preserve"> </w:t>
      </w:r>
      <w:r>
        <w:rPr>
          <w:spacing w:val="-2"/>
        </w:rPr>
        <w:t>Derechos</w:t>
      </w:r>
      <w:r>
        <w:rPr>
          <w:spacing w:val="-12"/>
        </w:rPr>
        <w:t xml:space="preserve"> </w:t>
      </w:r>
      <w:r>
        <w:rPr>
          <w:spacing w:val="-2"/>
        </w:rPr>
        <w:t>humanos</w:t>
      </w:r>
      <w:r>
        <w:rPr>
          <w:spacing w:val="-12"/>
        </w:rPr>
        <w:t xml:space="preserve"> </w:t>
      </w:r>
      <w:r>
        <w:rPr>
          <w:spacing w:val="-2"/>
        </w:rPr>
        <w:t>y</w:t>
      </w:r>
      <w:r>
        <w:rPr>
          <w:spacing w:val="-11"/>
        </w:rPr>
        <w:t xml:space="preserve"> </w:t>
      </w:r>
      <w:r>
        <w:rPr>
          <w:spacing w:val="-2"/>
        </w:rPr>
        <w:t>gobernanza</w:t>
      </w:r>
      <w:r>
        <w:rPr>
          <w:spacing w:val="-12"/>
        </w:rPr>
        <w:t xml:space="preserve"> </w:t>
      </w:r>
      <w:r>
        <w:rPr>
          <w:spacing w:val="-2"/>
        </w:rPr>
        <w:t>de</w:t>
      </w:r>
      <w:r>
        <w:rPr>
          <w:spacing w:val="-12"/>
        </w:rPr>
        <w:t xml:space="preserve"> </w:t>
      </w:r>
      <w:r>
        <w:rPr>
          <w:spacing w:val="-2"/>
        </w:rPr>
        <w:t>la</w:t>
      </w:r>
      <w:r>
        <w:rPr>
          <w:spacing w:val="-12"/>
        </w:rPr>
        <w:t xml:space="preserve"> </w:t>
      </w:r>
      <w:r>
        <w:rPr>
          <w:spacing w:val="-5"/>
        </w:rPr>
        <w:t>IA</w:t>
      </w:r>
    </w:p>
    <w:p w14:paraId="7C1B20FD" w14:textId="77777777" w:rsidR="00EC19CA" w:rsidRDefault="00E75443">
      <w:pPr>
        <w:pStyle w:val="Textoindependiente"/>
        <w:spacing w:before="197" w:line="276" w:lineRule="auto"/>
        <w:ind w:right="139"/>
      </w:pPr>
      <w:r>
        <w:t>Los derechos humano</w:t>
      </w:r>
      <w:r>
        <w:t>s constituyen uno de los principales fundamentos jurídicos de la regulación internacional de la inteligencia artificial. La tecnología puede afectar derechos relacionados con privacidad, igualdad,</w:t>
      </w:r>
      <w:r>
        <w:rPr>
          <w:spacing w:val="-1"/>
        </w:rPr>
        <w:t xml:space="preserve"> </w:t>
      </w:r>
      <w:r>
        <w:t>no</w:t>
      </w:r>
      <w:r>
        <w:rPr>
          <w:spacing w:val="-1"/>
        </w:rPr>
        <w:t xml:space="preserve"> </w:t>
      </w:r>
      <w:r>
        <w:t>discriminación,</w:t>
      </w:r>
      <w:r>
        <w:rPr>
          <w:spacing w:val="-1"/>
        </w:rPr>
        <w:t xml:space="preserve"> </w:t>
      </w:r>
      <w:r>
        <w:t>libertad</w:t>
      </w:r>
      <w:r>
        <w:rPr>
          <w:spacing w:val="-1"/>
        </w:rPr>
        <w:t xml:space="preserve"> </w:t>
      </w:r>
      <w:r>
        <w:t>de</w:t>
      </w:r>
      <w:r>
        <w:rPr>
          <w:spacing w:val="-1"/>
        </w:rPr>
        <w:t xml:space="preserve"> </w:t>
      </w:r>
      <w:r>
        <w:t>expresión,</w:t>
      </w:r>
      <w:r>
        <w:rPr>
          <w:spacing w:val="-1"/>
        </w:rPr>
        <w:t xml:space="preserve"> </w:t>
      </w:r>
      <w:r>
        <w:t>autonomía</w:t>
      </w:r>
      <w:r>
        <w:rPr>
          <w:spacing w:val="-1"/>
        </w:rPr>
        <w:t xml:space="preserve"> </w:t>
      </w:r>
      <w:r>
        <w:t>y</w:t>
      </w:r>
      <w:r>
        <w:rPr>
          <w:spacing w:val="-1"/>
        </w:rPr>
        <w:t xml:space="preserve"> </w:t>
      </w:r>
      <w:r>
        <w:t>debid</w:t>
      </w:r>
      <w:r>
        <w:t xml:space="preserve">o </w:t>
      </w:r>
      <w:r>
        <w:rPr>
          <w:spacing w:val="-2"/>
        </w:rPr>
        <w:t>proceso.</w:t>
      </w:r>
    </w:p>
    <w:p w14:paraId="37CD8278" w14:textId="77777777" w:rsidR="00EC19CA" w:rsidRDefault="00E75443">
      <w:pPr>
        <w:pStyle w:val="Textoindependiente"/>
        <w:spacing w:before="159" w:line="276" w:lineRule="auto"/>
        <w:ind w:right="142"/>
      </w:pPr>
      <w:r>
        <w:t xml:space="preserve">La aproximación basada en derechos humanos permite establecer un núcleo jurídico común frente a la diversidad de modelos regulatorios </w:t>
      </w:r>
      <w:r>
        <w:rPr>
          <w:spacing w:val="-2"/>
        </w:rPr>
        <w:t>existentes.</w:t>
      </w:r>
      <w:r>
        <w:rPr>
          <w:spacing w:val="-5"/>
        </w:rPr>
        <w:t xml:space="preserve"> </w:t>
      </w:r>
      <w:r>
        <w:rPr>
          <w:spacing w:val="-2"/>
        </w:rPr>
        <w:t>UNESCO</w:t>
      </w:r>
      <w:r>
        <w:rPr>
          <w:spacing w:val="-5"/>
        </w:rPr>
        <w:t xml:space="preserve"> </w:t>
      </w:r>
      <w:r>
        <w:rPr>
          <w:spacing w:val="-2"/>
        </w:rPr>
        <w:t>(FGFQ)</w:t>
      </w:r>
      <w:r>
        <w:rPr>
          <w:spacing w:val="-5"/>
        </w:rPr>
        <w:t xml:space="preserve"> </w:t>
      </w:r>
      <w:r>
        <w:rPr>
          <w:spacing w:val="-2"/>
        </w:rPr>
        <w:t>y</w:t>
      </w:r>
      <w:r>
        <w:rPr>
          <w:spacing w:val="-5"/>
        </w:rPr>
        <w:t xml:space="preserve"> </w:t>
      </w:r>
      <w:r>
        <w:rPr>
          <w:spacing w:val="-2"/>
        </w:rPr>
        <w:t>el</w:t>
      </w:r>
      <w:r>
        <w:rPr>
          <w:spacing w:val="-5"/>
        </w:rPr>
        <w:t xml:space="preserve"> </w:t>
      </w:r>
      <w:r>
        <w:rPr>
          <w:spacing w:val="-2"/>
        </w:rPr>
        <w:t>Consejo</w:t>
      </w:r>
      <w:r>
        <w:rPr>
          <w:spacing w:val="-5"/>
        </w:rPr>
        <w:t xml:space="preserve"> </w:t>
      </w:r>
      <w:r>
        <w:rPr>
          <w:spacing w:val="-2"/>
        </w:rPr>
        <w:t>de</w:t>
      </w:r>
      <w:r>
        <w:rPr>
          <w:spacing w:val="-5"/>
        </w:rPr>
        <w:t xml:space="preserve"> </w:t>
      </w:r>
      <w:r>
        <w:rPr>
          <w:spacing w:val="-2"/>
        </w:rPr>
        <w:t>Europa</w:t>
      </w:r>
      <w:r>
        <w:rPr>
          <w:spacing w:val="-5"/>
        </w:rPr>
        <w:t xml:space="preserve"> </w:t>
      </w:r>
      <w:r>
        <w:rPr>
          <w:spacing w:val="-2"/>
        </w:rPr>
        <w:t>(FGFH)</w:t>
      </w:r>
      <w:r>
        <w:rPr>
          <w:spacing w:val="-5"/>
        </w:rPr>
        <w:t xml:space="preserve"> </w:t>
      </w:r>
      <w:r>
        <w:rPr>
          <w:spacing w:val="-2"/>
        </w:rPr>
        <w:t>coinciden</w:t>
      </w:r>
    </w:p>
    <w:p w14:paraId="62131979" w14:textId="77777777" w:rsidR="00EC19CA" w:rsidRDefault="00EC19CA">
      <w:pPr>
        <w:pStyle w:val="Textoindependiente"/>
        <w:spacing w:line="276" w:lineRule="auto"/>
        <w:sectPr w:rsidR="00EC19CA">
          <w:pgSz w:w="8850" w:h="13250"/>
          <w:pgMar w:top="1060" w:right="992" w:bottom="280" w:left="992" w:header="720" w:footer="720" w:gutter="0"/>
          <w:cols w:space="720"/>
        </w:sectPr>
      </w:pPr>
    </w:p>
    <w:p w14:paraId="11C515AB" w14:textId="77777777" w:rsidR="00EC19CA" w:rsidRDefault="00E75443">
      <w:pPr>
        <w:pStyle w:val="Textoindependiente"/>
        <w:spacing w:line="278" w:lineRule="auto"/>
        <w:ind w:right="144"/>
      </w:pPr>
      <w:r>
        <w:lastRenderedPageBreak/>
        <w:t>en colocar la dignidad, los der</w:t>
      </w:r>
      <w:r>
        <w:t>echos humanos y el Estado de Derecho en el centro de la gobernanza de la IA.</w:t>
      </w:r>
    </w:p>
    <w:p w14:paraId="50DD0B60" w14:textId="77777777" w:rsidR="00EC19CA" w:rsidRDefault="00EC19CA">
      <w:pPr>
        <w:pStyle w:val="Textoindependiente"/>
        <w:spacing w:before="91"/>
        <w:ind w:left="0"/>
        <w:jc w:val="left"/>
      </w:pPr>
    </w:p>
    <w:p w14:paraId="4B0A3BF0" w14:textId="77777777" w:rsidR="00EC19CA" w:rsidRDefault="00E75443">
      <w:pPr>
        <w:pStyle w:val="Ttulo1"/>
        <w:numPr>
          <w:ilvl w:val="0"/>
          <w:numId w:val="3"/>
        </w:numPr>
        <w:tabs>
          <w:tab w:val="left" w:pos="383"/>
        </w:tabs>
        <w:spacing w:before="1"/>
      </w:pPr>
      <w:bookmarkStart w:id="0" w:name="_GoBack"/>
      <w:r>
        <w:rPr>
          <w:spacing w:val="-2"/>
        </w:rPr>
        <w:t>OBJETIVOS</w:t>
      </w:r>
    </w:p>
    <w:bookmarkEnd w:id="0"/>
    <w:p w14:paraId="62AA4CC3" w14:textId="77777777" w:rsidR="00EC19CA" w:rsidRDefault="00EC19CA">
      <w:pPr>
        <w:pStyle w:val="Textoindependiente"/>
        <w:spacing w:before="4"/>
        <w:ind w:left="0"/>
        <w:jc w:val="left"/>
        <w:rPr>
          <w:sz w:val="24"/>
        </w:rPr>
      </w:pPr>
    </w:p>
    <w:p w14:paraId="3A4FC83B" w14:textId="77777777" w:rsidR="00EC19CA" w:rsidRDefault="00E75443">
      <w:pPr>
        <w:pStyle w:val="Prrafodelista"/>
        <w:numPr>
          <w:ilvl w:val="1"/>
          <w:numId w:val="3"/>
        </w:numPr>
        <w:tabs>
          <w:tab w:val="left" w:pos="532"/>
        </w:tabs>
        <w:ind w:left="532" w:hanging="392"/>
        <w:rPr>
          <w:sz w:val="18"/>
        </w:rPr>
      </w:pPr>
      <w:r>
        <w:rPr>
          <w:sz w:val="18"/>
        </w:rPr>
        <w:t>OBJETIVO</w:t>
      </w:r>
      <w:r>
        <w:rPr>
          <w:spacing w:val="3"/>
          <w:sz w:val="18"/>
        </w:rPr>
        <w:t xml:space="preserve"> </w:t>
      </w:r>
      <w:r>
        <w:rPr>
          <w:spacing w:val="-2"/>
          <w:sz w:val="18"/>
        </w:rPr>
        <w:t>GENERAL</w:t>
      </w:r>
    </w:p>
    <w:p w14:paraId="21C14EC9" w14:textId="77777777" w:rsidR="00EC19CA" w:rsidRDefault="00EC19CA">
      <w:pPr>
        <w:pStyle w:val="Textoindependiente"/>
        <w:spacing w:before="76"/>
        <w:ind w:left="0"/>
        <w:jc w:val="left"/>
        <w:rPr>
          <w:sz w:val="18"/>
        </w:rPr>
      </w:pPr>
    </w:p>
    <w:p w14:paraId="0FF83636" w14:textId="77777777" w:rsidR="00EC19CA" w:rsidRDefault="00E75443">
      <w:pPr>
        <w:pStyle w:val="Textoindependiente"/>
        <w:spacing w:before="0" w:line="276" w:lineRule="auto"/>
        <w:ind w:right="141"/>
        <w:rPr>
          <w:rFonts w:ascii="Cambria" w:hAnsi="Cambria"/>
          <w:sz w:val="27"/>
        </w:rPr>
      </w:pPr>
      <w:r>
        <w:t xml:space="preserve">Analizar los principales desafíos jurídicos que enfrenta la construcción de un marco internacional de regulación de la inteligencia artificial, </w:t>
      </w:r>
      <w:r>
        <w:t>identificando los elementos normativos e institucionales que podrían contribuir a superar la actual fragmentación regulatoria</w:t>
      </w:r>
      <w:r>
        <w:rPr>
          <w:rFonts w:ascii="Cambria" w:hAnsi="Cambria"/>
          <w:sz w:val="27"/>
        </w:rPr>
        <w:t>.</w:t>
      </w:r>
    </w:p>
    <w:p w14:paraId="40446A24" w14:textId="77777777" w:rsidR="00EC19CA" w:rsidRDefault="00E75443">
      <w:pPr>
        <w:pStyle w:val="Prrafodelista"/>
        <w:numPr>
          <w:ilvl w:val="1"/>
          <w:numId w:val="3"/>
        </w:numPr>
        <w:tabs>
          <w:tab w:val="left" w:pos="532"/>
        </w:tabs>
        <w:spacing w:before="240"/>
        <w:ind w:left="532" w:hanging="392"/>
        <w:rPr>
          <w:sz w:val="18"/>
        </w:rPr>
      </w:pPr>
      <w:r>
        <w:rPr>
          <w:sz w:val="18"/>
        </w:rPr>
        <w:t>OBJETIVOS</w:t>
      </w:r>
      <w:r>
        <w:rPr>
          <w:spacing w:val="3"/>
          <w:sz w:val="18"/>
        </w:rPr>
        <w:t xml:space="preserve"> </w:t>
      </w:r>
      <w:r>
        <w:rPr>
          <w:spacing w:val="-2"/>
          <w:sz w:val="18"/>
        </w:rPr>
        <w:t>ESPECÍFICOS</w:t>
      </w:r>
    </w:p>
    <w:p w14:paraId="1BA8CD95" w14:textId="77777777" w:rsidR="00EC19CA" w:rsidRDefault="00E75443">
      <w:pPr>
        <w:pStyle w:val="Prrafodelista"/>
        <w:numPr>
          <w:ilvl w:val="2"/>
          <w:numId w:val="3"/>
        </w:numPr>
        <w:tabs>
          <w:tab w:val="left" w:pos="991"/>
        </w:tabs>
        <w:spacing w:before="197" w:line="276" w:lineRule="auto"/>
        <w:ind w:right="139"/>
        <w:jc w:val="both"/>
        <w:rPr>
          <w:sz w:val="23"/>
        </w:rPr>
      </w:pPr>
      <w:r>
        <w:rPr>
          <w:sz w:val="23"/>
        </w:rPr>
        <w:t>Identificar los principales instrumentos internacionales y regionales relacionados con la gobernanza y regu</w:t>
      </w:r>
      <w:r>
        <w:rPr>
          <w:sz w:val="23"/>
        </w:rPr>
        <w:t>lación de la inteligencia artificial.</w:t>
      </w:r>
    </w:p>
    <w:p w14:paraId="35E39330" w14:textId="77777777" w:rsidR="00EC19CA" w:rsidRDefault="00E75443">
      <w:pPr>
        <w:pStyle w:val="Prrafodelista"/>
        <w:numPr>
          <w:ilvl w:val="2"/>
          <w:numId w:val="3"/>
        </w:numPr>
        <w:tabs>
          <w:tab w:val="left" w:pos="991"/>
        </w:tabs>
        <w:spacing w:line="276" w:lineRule="auto"/>
        <w:ind w:right="138"/>
        <w:jc w:val="both"/>
        <w:rPr>
          <w:sz w:val="23"/>
        </w:rPr>
      </w:pPr>
      <w:r>
        <w:rPr>
          <w:sz w:val="23"/>
        </w:rPr>
        <w:t>Examinar los desafíos jurídicos derivados de la soberanía estatal,</w:t>
      </w:r>
      <w:r>
        <w:rPr>
          <w:spacing w:val="-6"/>
          <w:sz w:val="23"/>
        </w:rPr>
        <w:t xml:space="preserve"> </w:t>
      </w:r>
      <w:r>
        <w:rPr>
          <w:sz w:val="23"/>
        </w:rPr>
        <w:t>la</w:t>
      </w:r>
      <w:r>
        <w:rPr>
          <w:spacing w:val="-6"/>
          <w:sz w:val="23"/>
        </w:rPr>
        <w:t xml:space="preserve"> </w:t>
      </w:r>
      <w:r>
        <w:rPr>
          <w:sz w:val="23"/>
        </w:rPr>
        <w:t>jurisdicción,</w:t>
      </w:r>
      <w:r>
        <w:rPr>
          <w:spacing w:val="-6"/>
          <w:sz w:val="23"/>
        </w:rPr>
        <w:t xml:space="preserve"> </w:t>
      </w:r>
      <w:r>
        <w:rPr>
          <w:sz w:val="23"/>
        </w:rPr>
        <w:t>la</w:t>
      </w:r>
      <w:r>
        <w:rPr>
          <w:spacing w:val="-6"/>
          <w:sz w:val="23"/>
        </w:rPr>
        <w:t xml:space="preserve"> </w:t>
      </w:r>
      <w:r>
        <w:rPr>
          <w:sz w:val="23"/>
        </w:rPr>
        <w:t>protección</w:t>
      </w:r>
      <w:r>
        <w:rPr>
          <w:spacing w:val="-6"/>
          <w:sz w:val="23"/>
        </w:rPr>
        <w:t xml:space="preserve"> </w:t>
      </w:r>
      <w:r>
        <w:rPr>
          <w:sz w:val="23"/>
        </w:rPr>
        <w:t>de</w:t>
      </w:r>
      <w:r>
        <w:rPr>
          <w:spacing w:val="-6"/>
          <w:sz w:val="23"/>
        </w:rPr>
        <w:t xml:space="preserve"> </w:t>
      </w:r>
      <w:r>
        <w:rPr>
          <w:sz w:val="23"/>
        </w:rPr>
        <w:t>los</w:t>
      </w:r>
      <w:r>
        <w:rPr>
          <w:spacing w:val="-6"/>
          <w:sz w:val="23"/>
        </w:rPr>
        <w:t xml:space="preserve"> </w:t>
      </w:r>
      <w:r>
        <w:rPr>
          <w:sz w:val="23"/>
        </w:rPr>
        <w:t>derechos</w:t>
      </w:r>
      <w:r>
        <w:rPr>
          <w:spacing w:val="-6"/>
          <w:sz w:val="23"/>
        </w:rPr>
        <w:t xml:space="preserve"> </w:t>
      </w:r>
      <w:r>
        <w:rPr>
          <w:sz w:val="23"/>
        </w:rPr>
        <w:t>humanos, la privacidad, la responsabilidad y la transparencia en el uso de sistemas de inteligencia arti</w:t>
      </w:r>
      <w:r>
        <w:rPr>
          <w:sz w:val="23"/>
        </w:rPr>
        <w:t>ficial.</w:t>
      </w:r>
    </w:p>
    <w:p w14:paraId="76926BE8" w14:textId="77777777" w:rsidR="00EC19CA" w:rsidRDefault="00E75443">
      <w:pPr>
        <w:pStyle w:val="Prrafodelista"/>
        <w:numPr>
          <w:ilvl w:val="2"/>
          <w:numId w:val="3"/>
        </w:numPr>
        <w:tabs>
          <w:tab w:val="left" w:pos="991"/>
        </w:tabs>
        <w:spacing w:before="2" w:line="273" w:lineRule="auto"/>
        <w:ind w:right="140"/>
        <w:jc w:val="both"/>
        <w:rPr>
          <w:sz w:val="23"/>
        </w:rPr>
      </w:pPr>
      <w:r>
        <w:rPr>
          <w:sz w:val="23"/>
        </w:rPr>
        <w:t>Comparar los principales enfoques regulatorios desarrollados por Naciones Unidas, UNESCO, la OCDE, la Unión Europea y el Consejo de Europa.</w:t>
      </w:r>
    </w:p>
    <w:p w14:paraId="6A428A75" w14:textId="77777777" w:rsidR="00EC19CA" w:rsidRDefault="00E75443">
      <w:pPr>
        <w:pStyle w:val="Prrafodelista"/>
        <w:numPr>
          <w:ilvl w:val="2"/>
          <w:numId w:val="3"/>
        </w:numPr>
        <w:tabs>
          <w:tab w:val="left" w:pos="991"/>
        </w:tabs>
        <w:spacing w:before="7" w:line="276" w:lineRule="auto"/>
        <w:ind w:right="138"/>
        <w:jc w:val="both"/>
        <w:rPr>
          <w:sz w:val="23"/>
        </w:rPr>
      </w:pPr>
      <w:r>
        <w:rPr>
          <w:sz w:val="23"/>
        </w:rPr>
        <w:t>Determinar los elementos que podrían constituir una base común para la construcción progresiva de un marco i</w:t>
      </w:r>
      <w:r>
        <w:rPr>
          <w:sz w:val="23"/>
        </w:rPr>
        <w:t xml:space="preserve">nternacional interoperable de regulación de la inteligencia </w:t>
      </w:r>
      <w:r>
        <w:rPr>
          <w:spacing w:val="-2"/>
          <w:sz w:val="23"/>
        </w:rPr>
        <w:t>artificial.</w:t>
      </w:r>
    </w:p>
    <w:p w14:paraId="15C688FE" w14:textId="77777777" w:rsidR="00EC19CA" w:rsidRDefault="00EC19CA">
      <w:pPr>
        <w:pStyle w:val="Textoindependiente"/>
        <w:spacing w:before="98"/>
        <w:ind w:left="0"/>
        <w:jc w:val="left"/>
      </w:pPr>
    </w:p>
    <w:p w14:paraId="7C822D9E" w14:textId="77777777" w:rsidR="00EC19CA" w:rsidRDefault="00E75443">
      <w:pPr>
        <w:pStyle w:val="Ttulo1"/>
        <w:numPr>
          <w:ilvl w:val="0"/>
          <w:numId w:val="3"/>
        </w:numPr>
        <w:tabs>
          <w:tab w:val="left" w:pos="383"/>
        </w:tabs>
        <w:spacing w:before="1"/>
      </w:pPr>
      <w:r>
        <w:rPr>
          <w:spacing w:val="-2"/>
        </w:rPr>
        <w:t>METODOLOGÍA</w:t>
      </w:r>
    </w:p>
    <w:p w14:paraId="291D1331" w14:textId="77777777" w:rsidR="00EC19CA" w:rsidRDefault="00E75443">
      <w:pPr>
        <w:pStyle w:val="Prrafodelista"/>
        <w:numPr>
          <w:ilvl w:val="1"/>
          <w:numId w:val="3"/>
        </w:numPr>
        <w:tabs>
          <w:tab w:val="left" w:pos="532"/>
        </w:tabs>
        <w:spacing w:before="275"/>
        <w:ind w:left="532" w:hanging="392"/>
        <w:rPr>
          <w:sz w:val="18"/>
        </w:rPr>
      </w:pPr>
      <w:r>
        <w:rPr>
          <w:sz w:val="18"/>
        </w:rPr>
        <w:t>TIPO</w:t>
      </w:r>
      <w:r>
        <w:rPr>
          <w:spacing w:val="1"/>
          <w:sz w:val="18"/>
        </w:rPr>
        <w:t xml:space="preserve"> </w:t>
      </w:r>
      <w:r>
        <w:rPr>
          <w:sz w:val="18"/>
        </w:rPr>
        <w:t>Y</w:t>
      </w:r>
      <w:r>
        <w:rPr>
          <w:spacing w:val="2"/>
          <w:sz w:val="18"/>
        </w:rPr>
        <w:t xml:space="preserve"> </w:t>
      </w:r>
      <w:r>
        <w:rPr>
          <w:sz w:val="18"/>
        </w:rPr>
        <w:t>ENFOQUE</w:t>
      </w:r>
      <w:r>
        <w:rPr>
          <w:spacing w:val="2"/>
          <w:sz w:val="18"/>
        </w:rPr>
        <w:t xml:space="preserve"> </w:t>
      </w:r>
      <w:r>
        <w:rPr>
          <w:sz w:val="18"/>
        </w:rPr>
        <w:t>DE</w:t>
      </w:r>
      <w:r>
        <w:rPr>
          <w:spacing w:val="2"/>
          <w:sz w:val="18"/>
        </w:rPr>
        <w:t xml:space="preserve"> </w:t>
      </w:r>
      <w:r>
        <w:rPr>
          <w:spacing w:val="-2"/>
          <w:sz w:val="18"/>
        </w:rPr>
        <w:t>INVESTIGACIÓN</w:t>
      </w:r>
    </w:p>
    <w:p w14:paraId="5B75FDF7" w14:textId="77777777" w:rsidR="00EC19CA" w:rsidRDefault="00E75443">
      <w:pPr>
        <w:pStyle w:val="Textoindependiente"/>
        <w:spacing w:before="201" w:line="276" w:lineRule="auto"/>
        <w:ind w:right="140"/>
      </w:pPr>
      <w:r>
        <w:t xml:space="preserve">La investigación es de carácter jurídico-documental, con enfoque cualitativo y alcance descriptivo-analítico. Se orienta al estudio de </w:t>
      </w:r>
      <w:r>
        <w:t>normas,</w:t>
      </w:r>
      <w:r>
        <w:rPr>
          <w:spacing w:val="40"/>
        </w:rPr>
        <w:t xml:space="preserve"> </w:t>
      </w:r>
      <w:r>
        <w:t>instrumentos</w:t>
      </w:r>
      <w:r>
        <w:rPr>
          <w:spacing w:val="40"/>
        </w:rPr>
        <w:t xml:space="preserve"> </w:t>
      </w:r>
      <w:r>
        <w:t>internacionales,</w:t>
      </w:r>
      <w:r>
        <w:rPr>
          <w:spacing w:val="40"/>
        </w:rPr>
        <w:t xml:space="preserve"> </w:t>
      </w:r>
      <w:r>
        <w:t>documentos</w:t>
      </w:r>
      <w:r>
        <w:rPr>
          <w:spacing w:val="40"/>
        </w:rPr>
        <w:t xml:space="preserve"> </w:t>
      </w:r>
      <w:r>
        <w:t>institucionales</w:t>
      </w:r>
      <w:r>
        <w:rPr>
          <w:spacing w:val="40"/>
        </w:rPr>
        <w:t xml:space="preserve"> </w:t>
      </w:r>
      <w:r>
        <w:t>y</w:t>
      </w:r>
    </w:p>
    <w:p w14:paraId="589CCB4A" w14:textId="77777777" w:rsidR="00EC19CA" w:rsidRDefault="00EC19CA">
      <w:pPr>
        <w:pStyle w:val="Textoindependiente"/>
        <w:spacing w:line="276" w:lineRule="auto"/>
        <w:sectPr w:rsidR="00EC19CA">
          <w:pgSz w:w="8850" w:h="13250"/>
          <w:pgMar w:top="1060" w:right="992" w:bottom="280" w:left="992" w:header="720" w:footer="720" w:gutter="0"/>
          <w:cols w:space="720"/>
        </w:sectPr>
      </w:pPr>
    </w:p>
    <w:p w14:paraId="122FB891" w14:textId="77777777" w:rsidR="00EC19CA" w:rsidRDefault="00E75443">
      <w:pPr>
        <w:pStyle w:val="Textoindependiente"/>
        <w:spacing w:line="278" w:lineRule="auto"/>
        <w:ind w:right="138"/>
      </w:pPr>
      <w:r>
        <w:lastRenderedPageBreak/>
        <w:t>literatura académica relacionada con la gobernanza y regulación de la inteligencia artificial.</w:t>
      </w:r>
    </w:p>
    <w:p w14:paraId="4BC84E9E" w14:textId="77777777" w:rsidR="00EC19CA" w:rsidRDefault="00E75443">
      <w:pPr>
        <w:pStyle w:val="Textoindependiente"/>
        <w:spacing w:before="116" w:line="276" w:lineRule="auto"/>
        <w:ind w:right="142"/>
      </w:pPr>
      <w:r>
        <w:t xml:space="preserve">El enfoque cualitativo permite interpretar el contenido jurídico y doctrinal de </w:t>
      </w:r>
      <w:r>
        <w:t>las fuentes seleccionadas, mientras que el componente analítico busca identificar coincidencias, diferencias, vacíos y desafíos presentes en los actuales modelos regulatorios.</w:t>
      </w:r>
    </w:p>
    <w:p w14:paraId="5E7CE939" w14:textId="77777777" w:rsidR="00EC19CA" w:rsidRDefault="00E75443">
      <w:pPr>
        <w:pStyle w:val="Textoindependiente"/>
        <w:spacing w:before="118" w:line="276" w:lineRule="auto"/>
        <w:ind w:right="139"/>
      </w:pPr>
      <w:r>
        <w:t>La investigación no pretende medir estadísticamente la utilización de inteligenc</w:t>
      </w:r>
      <w:r>
        <w:t>ia artificial ni recoger percepciones de una población determinada. Su objeto consiste en analizar el desarrollo normativo existente y, a partir de este, formular una propuesta de orientación jurídica para fortalecer la gobernanza internacional de la IA.</w:t>
      </w:r>
    </w:p>
    <w:p w14:paraId="790C2A23" w14:textId="77777777" w:rsidR="00EC19CA" w:rsidRDefault="00E75443">
      <w:pPr>
        <w:pStyle w:val="Prrafodelista"/>
        <w:numPr>
          <w:ilvl w:val="1"/>
          <w:numId w:val="3"/>
        </w:numPr>
        <w:tabs>
          <w:tab w:val="left" w:pos="532"/>
        </w:tabs>
        <w:spacing w:before="240"/>
        <w:ind w:left="532" w:hanging="392"/>
        <w:rPr>
          <w:sz w:val="18"/>
        </w:rPr>
      </w:pPr>
      <w:r>
        <w:rPr>
          <w:sz w:val="18"/>
        </w:rPr>
        <w:t>U</w:t>
      </w:r>
      <w:r>
        <w:rPr>
          <w:sz w:val="18"/>
        </w:rPr>
        <w:t>NIDAD DE</w:t>
      </w:r>
      <w:r>
        <w:rPr>
          <w:spacing w:val="2"/>
          <w:sz w:val="18"/>
        </w:rPr>
        <w:t xml:space="preserve"> </w:t>
      </w:r>
      <w:r>
        <w:rPr>
          <w:sz w:val="18"/>
        </w:rPr>
        <w:t>ANÁLISIS</w:t>
      </w:r>
      <w:r>
        <w:rPr>
          <w:spacing w:val="2"/>
          <w:sz w:val="18"/>
        </w:rPr>
        <w:t xml:space="preserve"> </w:t>
      </w:r>
      <w:r>
        <w:rPr>
          <w:sz w:val="18"/>
        </w:rPr>
        <w:t>Y</w:t>
      </w:r>
      <w:r>
        <w:rPr>
          <w:spacing w:val="3"/>
          <w:sz w:val="18"/>
        </w:rPr>
        <w:t xml:space="preserve"> </w:t>
      </w:r>
      <w:r>
        <w:rPr>
          <w:spacing w:val="-2"/>
          <w:sz w:val="18"/>
        </w:rPr>
        <w:t>MUESTRA</w:t>
      </w:r>
    </w:p>
    <w:p w14:paraId="62B97946" w14:textId="77777777" w:rsidR="00EC19CA" w:rsidRDefault="00E75443">
      <w:pPr>
        <w:pStyle w:val="Textoindependiente"/>
        <w:spacing w:before="202" w:line="276" w:lineRule="auto"/>
        <w:ind w:right="139"/>
      </w:pPr>
      <w:r>
        <w:t>La unidad de análisis está constituida por los principales instrumentos internacionales y regionales relacionados con la gobernanza de la inteligencia artificial, particularmente:</w:t>
      </w:r>
    </w:p>
    <w:p w14:paraId="006E5650" w14:textId="77777777" w:rsidR="00EC19CA" w:rsidRDefault="00E75443">
      <w:pPr>
        <w:pStyle w:val="Prrafodelista"/>
        <w:numPr>
          <w:ilvl w:val="2"/>
          <w:numId w:val="3"/>
        </w:numPr>
        <w:tabs>
          <w:tab w:val="left" w:pos="991"/>
        </w:tabs>
        <w:spacing w:before="119" w:line="273" w:lineRule="auto"/>
        <w:ind w:right="141"/>
        <w:rPr>
          <w:sz w:val="23"/>
        </w:rPr>
      </w:pPr>
      <w:r>
        <w:rPr>
          <w:sz w:val="23"/>
        </w:rPr>
        <w:t>Resolución</w:t>
      </w:r>
      <w:r>
        <w:rPr>
          <w:spacing w:val="80"/>
          <w:w w:val="150"/>
          <w:sz w:val="23"/>
        </w:rPr>
        <w:t xml:space="preserve"> </w:t>
      </w:r>
      <w:r>
        <w:rPr>
          <w:sz w:val="23"/>
        </w:rPr>
        <w:t>A/RES/</w:t>
      </w:r>
      <w:proofErr w:type="spellStart"/>
      <w:r>
        <w:rPr>
          <w:sz w:val="23"/>
        </w:rPr>
        <w:t>fg</w:t>
      </w:r>
      <w:proofErr w:type="spellEnd"/>
      <w:r>
        <w:rPr>
          <w:sz w:val="23"/>
        </w:rPr>
        <w:t>/</w:t>
      </w:r>
      <w:proofErr w:type="spellStart"/>
      <w:r>
        <w:rPr>
          <w:sz w:val="23"/>
        </w:rPr>
        <w:t>Fhi</w:t>
      </w:r>
      <w:proofErr w:type="spellEnd"/>
      <w:r>
        <w:rPr>
          <w:spacing w:val="80"/>
          <w:w w:val="150"/>
          <w:sz w:val="23"/>
        </w:rPr>
        <w:t xml:space="preserve"> </w:t>
      </w:r>
      <w:r>
        <w:rPr>
          <w:sz w:val="23"/>
        </w:rPr>
        <w:t>de</w:t>
      </w:r>
      <w:r>
        <w:rPr>
          <w:spacing w:val="80"/>
          <w:w w:val="150"/>
          <w:sz w:val="23"/>
        </w:rPr>
        <w:t xml:space="preserve"> </w:t>
      </w:r>
      <w:r>
        <w:rPr>
          <w:sz w:val="23"/>
        </w:rPr>
        <w:t>la</w:t>
      </w:r>
      <w:r>
        <w:rPr>
          <w:spacing w:val="80"/>
          <w:w w:val="150"/>
          <w:sz w:val="23"/>
        </w:rPr>
        <w:t xml:space="preserve"> </w:t>
      </w:r>
      <w:r>
        <w:rPr>
          <w:sz w:val="23"/>
        </w:rPr>
        <w:t>Asamblea</w:t>
      </w:r>
      <w:r>
        <w:rPr>
          <w:spacing w:val="80"/>
          <w:w w:val="150"/>
          <w:sz w:val="23"/>
        </w:rPr>
        <w:t xml:space="preserve"> </w:t>
      </w:r>
      <w:r>
        <w:rPr>
          <w:sz w:val="23"/>
        </w:rPr>
        <w:t>General</w:t>
      </w:r>
      <w:r>
        <w:rPr>
          <w:spacing w:val="80"/>
          <w:w w:val="150"/>
          <w:sz w:val="23"/>
        </w:rPr>
        <w:t xml:space="preserve"> </w:t>
      </w:r>
      <w:r>
        <w:rPr>
          <w:sz w:val="23"/>
        </w:rPr>
        <w:t>de Naciones Unidas.</w:t>
      </w:r>
    </w:p>
    <w:p w14:paraId="23F1F369" w14:textId="77777777" w:rsidR="00EC19CA" w:rsidRDefault="00E75443">
      <w:pPr>
        <w:pStyle w:val="Prrafodelista"/>
        <w:numPr>
          <w:ilvl w:val="2"/>
          <w:numId w:val="3"/>
        </w:numPr>
        <w:tabs>
          <w:tab w:val="left" w:pos="990"/>
        </w:tabs>
        <w:spacing w:before="7"/>
        <w:ind w:left="990" w:hanging="283"/>
        <w:rPr>
          <w:sz w:val="23"/>
        </w:rPr>
      </w:pPr>
      <w:r>
        <w:rPr>
          <w:sz w:val="23"/>
        </w:rPr>
        <w:t>Global</w:t>
      </w:r>
      <w:r>
        <w:rPr>
          <w:spacing w:val="1"/>
          <w:sz w:val="23"/>
        </w:rPr>
        <w:t xml:space="preserve"> </w:t>
      </w:r>
      <w:r>
        <w:rPr>
          <w:sz w:val="23"/>
        </w:rPr>
        <w:t>Digital</w:t>
      </w:r>
      <w:r>
        <w:rPr>
          <w:spacing w:val="1"/>
          <w:sz w:val="23"/>
        </w:rPr>
        <w:t xml:space="preserve"> </w:t>
      </w:r>
      <w:r>
        <w:rPr>
          <w:spacing w:val="-2"/>
          <w:sz w:val="23"/>
        </w:rPr>
        <w:t>Compact.</w:t>
      </w:r>
    </w:p>
    <w:p w14:paraId="1413CD67" w14:textId="77777777" w:rsidR="00EC19CA" w:rsidRPr="00E75443" w:rsidRDefault="00E75443">
      <w:pPr>
        <w:pStyle w:val="Prrafodelista"/>
        <w:numPr>
          <w:ilvl w:val="2"/>
          <w:numId w:val="3"/>
        </w:numPr>
        <w:tabs>
          <w:tab w:val="left" w:pos="990"/>
        </w:tabs>
        <w:spacing w:before="38"/>
        <w:ind w:left="990" w:hanging="283"/>
        <w:rPr>
          <w:sz w:val="23"/>
          <w:lang w:val="en-US"/>
        </w:rPr>
      </w:pPr>
      <w:r w:rsidRPr="00E75443">
        <w:rPr>
          <w:sz w:val="23"/>
          <w:lang w:val="en-US"/>
        </w:rPr>
        <w:t>Informe</w:t>
      </w:r>
      <w:r w:rsidRPr="00E75443">
        <w:rPr>
          <w:spacing w:val="1"/>
          <w:sz w:val="23"/>
          <w:lang w:val="en-US"/>
        </w:rPr>
        <w:t xml:space="preserve"> </w:t>
      </w:r>
      <w:r w:rsidRPr="00E75443">
        <w:rPr>
          <w:sz w:val="23"/>
          <w:lang w:val="en-US"/>
        </w:rPr>
        <w:t>Governing</w:t>
      </w:r>
      <w:r w:rsidRPr="00E75443">
        <w:rPr>
          <w:spacing w:val="1"/>
          <w:sz w:val="23"/>
          <w:lang w:val="en-US"/>
        </w:rPr>
        <w:t xml:space="preserve"> </w:t>
      </w:r>
      <w:r w:rsidRPr="00E75443">
        <w:rPr>
          <w:sz w:val="23"/>
          <w:lang w:val="en-US"/>
        </w:rPr>
        <w:t>AI</w:t>
      </w:r>
      <w:r w:rsidRPr="00E75443">
        <w:rPr>
          <w:spacing w:val="2"/>
          <w:sz w:val="23"/>
          <w:lang w:val="en-US"/>
        </w:rPr>
        <w:t xml:space="preserve"> </w:t>
      </w:r>
      <w:r w:rsidRPr="00E75443">
        <w:rPr>
          <w:sz w:val="23"/>
          <w:lang w:val="en-US"/>
        </w:rPr>
        <w:t>for</w:t>
      </w:r>
      <w:r w:rsidRPr="00E75443">
        <w:rPr>
          <w:spacing w:val="2"/>
          <w:sz w:val="23"/>
          <w:lang w:val="en-US"/>
        </w:rPr>
        <w:t xml:space="preserve"> </w:t>
      </w:r>
      <w:r w:rsidRPr="00E75443">
        <w:rPr>
          <w:spacing w:val="-2"/>
          <w:sz w:val="23"/>
          <w:lang w:val="en-US"/>
        </w:rPr>
        <w:t>Humanity.</w:t>
      </w:r>
    </w:p>
    <w:p w14:paraId="56BBA79E" w14:textId="77777777" w:rsidR="00EC19CA" w:rsidRDefault="00E75443">
      <w:pPr>
        <w:pStyle w:val="Prrafodelista"/>
        <w:numPr>
          <w:ilvl w:val="2"/>
          <w:numId w:val="3"/>
        </w:numPr>
        <w:tabs>
          <w:tab w:val="left" w:pos="991"/>
        </w:tabs>
        <w:spacing w:before="42" w:line="273" w:lineRule="auto"/>
        <w:ind w:right="142"/>
        <w:rPr>
          <w:sz w:val="23"/>
        </w:rPr>
      </w:pPr>
      <w:r>
        <w:rPr>
          <w:sz w:val="23"/>
        </w:rPr>
        <w:t xml:space="preserve">Recomendación de UNESCO sobre la Ética de la Inteligencia </w:t>
      </w:r>
      <w:r>
        <w:rPr>
          <w:spacing w:val="-2"/>
          <w:sz w:val="23"/>
        </w:rPr>
        <w:t>Artificial.</w:t>
      </w:r>
    </w:p>
    <w:p w14:paraId="781A4D9F" w14:textId="77777777" w:rsidR="00EC19CA" w:rsidRDefault="00E75443">
      <w:pPr>
        <w:pStyle w:val="Prrafodelista"/>
        <w:numPr>
          <w:ilvl w:val="2"/>
          <w:numId w:val="3"/>
        </w:numPr>
        <w:tabs>
          <w:tab w:val="left" w:pos="990"/>
        </w:tabs>
        <w:spacing w:before="2"/>
        <w:ind w:left="990" w:hanging="283"/>
        <w:rPr>
          <w:sz w:val="23"/>
        </w:rPr>
      </w:pPr>
      <w:r>
        <w:rPr>
          <w:sz w:val="23"/>
        </w:rPr>
        <w:t>Principios</w:t>
      </w:r>
      <w:r>
        <w:rPr>
          <w:spacing w:val="1"/>
          <w:sz w:val="23"/>
        </w:rPr>
        <w:t xml:space="preserve"> </w:t>
      </w:r>
      <w:r>
        <w:rPr>
          <w:sz w:val="23"/>
        </w:rPr>
        <w:t>de</w:t>
      </w:r>
      <w:r>
        <w:rPr>
          <w:spacing w:val="1"/>
          <w:sz w:val="23"/>
        </w:rPr>
        <w:t xml:space="preserve"> </w:t>
      </w:r>
      <w:r>
        <w:rPr>
          <w:sz w:val="23"/>
        </w:rPr>
        <w:t>Inteligencia</w:t>
      </w:r>
      <w:r>
        <w:rPr>
          <w:spacing w:val="1"/>
          <w:sz w:val="23"/>
        </w:rPr>
        <w:t xml:space="preserve"> </w:t>
      </w:r>
      <w:r>
        <w:rPr>
          <w:sz w:val="23"/>
        </w:rPr>
        <w:t>Artificial</w:t>
      </w:r>
      <w:r>
        <w:rPr>
          <w:spacing w:val="1"/>
          <w:sz w:val="23"/>
        </w:rPr>
        <w:t xml:space="preserve"> </w:t>
      </w:r>
      <w:r>
        <w:rPr>
          <w:sz w:val="23"/>
        </w:rPr>
        <w:t>de</w:t>
      </w:r>
      <w:r>
        <w:rPr>
          <w:spacing w:val="1"/>
          <w:sz w:val="23"/>
        </w:rPr>
        <w:t xml:space="preserve"> </w:t>
      </w:r>
      <w:r>
        <w:rPr>
          <w:sz w:val="23"/>
        </w:rPr>
        <w:t>la</w:t>
      </w:r>
      <w:r>
        <w:rPr>
          <w:spacing w:val="1"/>
          <w:sz w:val="23"/>
        </w:rPr>
        <w:t xml:space="preserve"> </w:t>
      </w:r>
      <w:r>
        <w:rPr>
          <w:spacing w:val="-2"/>
          <w:sz w:val="23"/>
        </w:rPr>
        <w:t>OCDE.</w:t>
      </w:r>
    </w:p>
    <w:p w14:paraId="2420C09A" w14:textId="77777777" w:rsidR="00EC19CA" w:rsidRDefault="00E75443">
      <w:pPr>
        <w:pStyle w:val="Prrafodelista"/>
        <w:numPr>
          <w:ilvl w:val="2"/>
          <w:numId w:val="3"/>
        </w:numPr>
        <w:tabs>
          <w:tab w:val="left" w:pos="990"/>
        </w:tabs>
        <w:spacing w:before="43"/>
        <w:ind w:left="990" w:hanging="283"/>
        <w:rPr>
          <w:sz w:val="23"/>
        </w:rPr>
      </w:pPr>
      <w:r>
        <w:rPr>
          <w:spacing w:val="-4"/>
          <w:sz w:val="23"/>
        </w:rPr>
        <w:t>Reglamento</w:t>
      </w:r>
      <w:r>
        <w:rPr>
          <w:spacing w:val="-9"/>
          <w:sz w:val="23"/>
        </w:rPr>
        <w:t xml:space="preserve"> </w:t>
      </w:r>
      <w:r>
        <w:rPr>
          <w:spacing w:val="-4"/>
          <w:sz w:val="23"/>
        </w:rPr>
        <w:t>(UE)</w:t>
      </w:r>
      <w:r>
        <w:rPr>
          <w:spacing w:val="-7"/>
          <w:sz w:val="23"/>
        </w:rPr>
        <w:t xml:space="preserve"> </w:t>
      </w:r>
      <w:r>
        <w:rPr>
          <w:spacing w:val="-4"/>
          <w:sz w:val="23"/>
        </w:rPr>
        <w:t>FGFH/</w:t>
      </w:r>
      <w:proofErr w:type="spellStart"/>
      <w:r>
        <w:rPr>
          <w:spacing w:val="-4"/>
          <w:sz w:val="23"/>
        </w:rPr>
        <w:t>Qhgj</w:t>
      </w:r>
      <w:proofErr w:type="spellEnd"/>
      <w:r>
        <w:rPr>
          <w:spacing w:val="-8"/>
          <w:sz w:val="23"/>
        </w:rPr>
        <w:t xml:space="preserve"> </w:t>
      </w:r>
      <w:r>
        <w:rPr>
          <w:spacing w:val="-4"/>
          <w:sz w:val="23"/>
        </w:rPr>
        <w:t>de</w:t>
      </w:r>
      <w:r>
        <w:rPr>
          <w:spacing w:val="-8"/>
          <w:sz w:val="23"/>
        </w:rPr>
        <w:t xml:space="preserve"> </w:t>
      </w:r>
      <w:r>
        <w:rPr>
          <w:spacing w:val="-4"/>
          <w:sz w:val="23"/>
        </w:rPr>
        <w:t>la</w:t>
      </w:r>
      <w:r>
        <w:rPr>
          <w:spacing w:val="-8"/>
          <w:sz w:val="23"/>
        </w:rPr>
        <w:t xml:space="preserve"> </w:t>
      </w:r>
      <w:r>
        <w:rPr>
          <w:spacing w:val="-4"/>
          <w:sz w:val="23"/>
        </w:rPr>
        <w:t>Unión</w:t>
      </w:r>
      <w:r>
        <w:rPr>
          <w:spacing w:val="-8"/>
          <w:sz w:val="23"/>
        </w:rPr>
        <w:t xml:space="preserve"> </w:t>
      </w:r>
      <w:r>
        <w:rPr>
          <w:spacing w:val="-4"/>
          <w:sz w:val="23"/>
        </w:rPr>
        <w:t>Europea.</w:t>
      </w:r>
    </w:p>
    <w:p w14:paraId="1789A6BE" w14:textId="77777777" w:rsidR="00EC19CA" w:rsidRDefault="00E75443">
      <w:pPr>
        <w:pStyle w:val="Prrafodelista"/>
        <w:numPr>
          <w:ilvl w:val="2"/>
          <w:numId w:val="3"/>
        </w:numPr>
        <w:tabs>
          <w:tab w:val="left" w:pos="991"/>
        </w:tabs>
        <w:spacing w:before="38" w:line="276" w:lineRule="auto"/>
        <w:ind w:right="141"/>
        <w:jc w:val="both"/>
        <w:rPr>
          <w:sz w:val="23"/>
        </w:rPr>
      </w:pPr>
      <w:r>
        <w:rPr>
          <w:sz w:val="23"/>
        </w:rPr>
        <w:t xml:space="preserve">Convenio Marco del Consejo de Europa sobre Inteligencia Artificial, Derechos Humanos, Democracia y Estado de </w:t>
      </w:r>
      <w:r>
        <w:rPr>
          <w:spacing w:val="-2"/>
          <w:sz w:val="23"/>
        </w:rPr>
        <w:t>Derecho.</w:t>
      </w:r>
    </w:p>
    <w:p w14:paraId="16CE95DA" w14:textId="77777777" w:rsidR="00EC19CA" w:rsidRDefault="00E75443">
      <w:pPr>
        <w:pStyle w:val="Textoindependiente"/>
        <w:spacing w:before="158" w:line="276" w:lineRule="auto"/>
        <w:ind w:right="137"/>
      </w:pPr>
      <w:r>
        <w:t>Asimismo, se consideran aportes doctrinales y académicos</w:t>
      </w:r>
      <w:r>
        <w:rPr>
          <w:spacing w:val="40"/>
        </w:rPr>
        <w:t xml:space="preserve"> </w:t>
      </w:r>
      <w:r>
        <w:t xml:space="preserve">relacionados con la gobernanza internacional de la inteligencia </w:t>
      </w:r>
      <w:r>
        <w:rPr>
          <w:spacing w:val="-2"/>
        </w:rPr>
        <w:t>artificial.</w:t>
      </w:r>
    </w:p>
    <w:p w14:paraId="0E5782F9" w14:textId="77777777" w:rsidR="00EC19CA" w:rsidRDefault="00E75443">
      <w:pPr>
        <w:pStyle w:val="Prrafodelista"/>
        <w:numPr>
          <w:ilvl w:val="1"/>
          <w:numId w:val="3"/>
        </w:numPr>
        <w:tabs>
          <w:tab w:val="left" w:pos="532"/>
        </w:tabs>
        <w:spacing w:before="239"/>
        <w:ind w:left="532" w:hanging="392"/>
        <w:rPr>
          <w:sz w:val="18"/>
        </w:rPr>
      </w:pPr>
      <w:r>
        <w:rPr>
          <w:sz w:val="18"/>
        </w:rPr>
        <w:t>TÉCNICAS</w:t>
      </w:r>
      <w:r>
        <w:rPr>
          <w:spacing w:val="2"/>
          <w:sz w:val="18"/>
        </w:rPr>
        <w:t xml:space="preserve"> </w:t>
      </w:r>
      <w:r>
        <w:rPr>
          <w:sz w:val="18"/>
        </w:rPr>
        <w:t>E</w:t>
      </w:r>
      <w:r>
        <w:rPr>
          <w:spacing w:val="2"/>
          <w:sz w:val="18"/>
        </w:rPr>
        <w:t xml:space="preserve"> </w:t>
      </w:r>
      <w:r>
        <w:rPr>
          <w:sz w:val="18"/>
        </w:rPr>
        <w:t>INSTRUMENTOS</w:t>
      </w:r>
      <w:r>
        <w:rPr>
          <w:spacing w:val="2"/>
          <w:sz w:val="18"/>
        </w:rPr>
        <w:t xml:space="preserve"> </w:t>
      </w:r>
      <w:r>
        <w:rPr>
          <w:sz w:val="18"/>
        </w:rPr>
        <w:t>DE</w:t>
      </w:r>
      <w:r>
        <w:rPr>
          <w:spacing w:val="2"/>
          <w:sz w:val="18"/>
        </w:rPr>
        <w:t xml:space="preserve"> </w:t>
      </w:r>
      <w:r>
        <w:rPr>
          <w:sz w:val="18"/>
        </w:rPr>
        <w:t>RECOLECCIÓN</w:t>
      </w:r>
      <w:r>
        <w:rPr>
          <w:spacing w:val="3"/>
          <w:sz w:val="18"/>
        </w:rPr>
        <w:t xml:space="preserve"> </w:t>
      </w:r>
      <w:r>
        <w:rPr>
          <w:sz w:val="18"/>
        </w:rPr>
        <w:t>DE</w:t>
      </w:r>
      <w:r>
        <w:rPr>
          <w:spacing w:val="2"/>
          <w:sz w:val="18"/>
        </w:rPr>
        <w:t xml:space="preserve"> </w:t>
      </w:r>
      <w:r>
        <w:rPr>
          <w:spacing w:val="-2"/>
          <w:sz w:val="18"/>
        </w:rPr>
        <w:t>DATOS</w:t>
      </w:r>
    </w:p>
    <w:p w14:paraId="4E483577" w14:textId="77777777" w:rsidR="00EC19CA" w:rsidRDefault="00EC19CA">
      <w:pPr>
        <w:pStyle w:val="Prrafodelista"/>
        <w:rPr>
          <w:sz w:val="18"/>
        </w:rPr>
        <w:sectPr w:rsidR="00EC19CA">
          <w:pgSz w:w="8850" w:h="13250"/>
          <w:pgMar w:top="1060" w:right="992" w:bottom="280" w:left="992" w:header="720" w:footer="720" w:gutter="0"/>
          <w:cols w:space="720"/>
        </w:sectPr>
      </w:pPr>
    </w:p>
    <w:p w14:paraId="4337FA1C" w14:textId="77777777" w:rsidR="00EC19CA" w:rsidRDefault="00E75443">
      <w:pPr>
        <w:pStyle w:val="Textoindependiente"/>
        <w:spacing w:line="276" w:lineRule="auto"/>
        <w:ind w:right="140"/>
      </w:pPr>
      <w:r>
        <w:lastRenderedPageBreak/>
        <w:t>Se empleó la revisión bibliográfica y documental, mediante la identificación y selección de fuentes académicas, jurídicas e institucionales pertinentes.</w:t>
      </w:r>
    </w:p>
    <w:p w14:paraId="5582E2E1" w14:textId="77777777" w:rsidR="00EC19CA" w:rsidRDefault="00E75443">
      <w:pPr>
        <w:pStyle w:val="Textoindependiente"/>
        <w:spacing w:before="119" w:line="276" w:lineRule="auto"/>
        <w:ind w:right="141"/>
      </w:pPr>
      <w:r>
        <w:t>También</w:t>
      </w:r>
      <w:r>
        <w:rPr>
          <w:spacing w:val="-7"/>
        </w:rPr>
        <w:t xml:space="preserve"> </w:t>
      </w:r>
      <w:r>
        <w:t>se</w:t>
      </w:r>
      <w:r>
        <w:rPr>
          <w:spacing w:val="-7"/>
        </w:rPr>
        <w:t xml:space="preserve"> </w:t>
      </w:r>
      <w:r>
        <w:t>aplicó</w:t>
      </w:r>
      <w:r>
        <w:rPr>
          <w:spacing w:val="-7"/>
        </w:rPr>
        <w:t xml:space="preserve"> </w:t>
      </w:r>
      <w:r>
        <w:t>el análisis</w:t>
      </w:r>
      <w:r>
        <w:rPr>
          <w:spacing w:val="-7"/>
        </w:rPr>
        <w:t xml:space="preserve"> </w:t>
      </w:r>
      <w:r>
        <w:t>jurídico-co</w:t>
      </w:r>
      <w:r>
        <w:t>mparado,</w:t>
      </w:r>
      <w:r>
        <w:rPr>
          <w:spacing w:val="-7"/>
        </w:rPr>
        <w:t xml:space="preserve"> </w:t>
      </w:r>
      <w:r>
        <w:t>orientado</w:t>
      </w:r>
      <w:r>
        <w:rPr>
          <w:spacing w:val="-7"/>
        </w:rPr>
        <w:t xml:space="preserve"> </w:t>
      </w:r>
      <w:r>
        <w:t>a</w:t>
      </w:r>
      <w:r>
        <w:rPr>
          <w:spacing w:val="-7"/>
        </w:rPr>
        <w:t xml:space="preserve"> </w:t>
      </w:r>
      <w:r>
        <w:t xml:space="preserve">examinar las semejanzas y diferencias entre los principales instrumentos </w:t>
      </w:r>
      <w:r>
        <w:rPr>
          <w:spacing w:val="-2"/>
        </w:rPr>
        <w:t>regulatorios.</w:t>
      </w:r>
    </w:p>
    <w:p w14:paraId="1946C25C" w14:textId="77777777" w:rsidR="00EC19CA" w:rsidRDefault="00E75443">
      <w:pPr>
        <w:pStyle w:val="Textoindependiente"/>
        <w:spacing w:before="120" w:line="276" w:lineRule="auto"/>
        <w:ind w:right="138"/>
      </w:pPr>
      <w:r>
        <w:t>Como instrumento se utilizó una matriz de análisis documental, organizada</w:t>
      </w:r>
      <w:r>
        <w:rPr>
          <w:spacing w:val="-2"/>
        </w:rPr>
        <w:t xml:space="preserve"> </w:t>
      </w:r>
      <w:r>
        <w:t>alrededor</w:t>
      </w:r>
      <w:r>
        <w:rPr>
          <w:spacing w:val="-2"/>
        </w:rPr>
        <w:t xml:space="preserve"> </w:t>
      </w:r>
      <w:r>
        <w:t>de</w:t>
      </w:r>
      <w:r>
        <w:rPr>
          <w:spacing w:val="-2"/>
        </w:rPr>
        <w:t xml:space="preserve"> </w:t>
      </w:r>
      <w:r>
        <w:t>categorías</w:t>
      </w:r>
      <w:r>
        <w:rPr>
          <w:spacing w:val="-2"/>
        </w:rPr>
        <w:t xml:space="preserve"> </w:t>
      </w:r>
      <w:r>
        <w:t>como</w:t>
      </w:r>
      <w:r>
        <w:rPr>
          <w:spacing w:val="-2"/>
        </w:rPr>
        <w:t xml:space="preserve"> </w:t>
      </w:r>
      <w:r>
        <w:t>naturaleza</w:t>
      </w:r>
      <w:r>
        <w:rPr>
          <w:spacing w:val="-2"/>
        </w:rPr>
        <w:t xml:space="preserve"> </w:t>
      </w:r>
      <w:r>
        <w:t>jurídica,</w:t>
      </w:r>
      <w:r>
        <w:rPr>
          <w:spacing w:val="-2"/>
        </w:rPr>
        <w:t xml:space="preserve"> </w:t>
      </w:r>
      <w:r>
        <w:t>ámbito</w:t>
      </w:r>
      <w:r>
        <w:rPr>
          <w:spacing w:val="-2"/>
        </w:rPr>
        <w:t xml:space="preserve"> </w:t>
      </w:r>
      <w:r>
        <w:t>de aplicación, de</w:t>
      </w:r>
      <w:r>
        <w:t xml:space="preserve">rechos protegidos, gestión de riesgos, transparencia, responsabilidad, supervisión y mecanismos de cooperación </w:t>
      </w:r>
      <w:r>
        <w:rPr>
          <w:spacing w:val="-2"/>
        </w:rPr>
        <w:t>internacional.</w:t>
      </w:r>
    </w:p>
    <w:p w14:paraId="4A9AF71F" w14:textId="77777777" w:rsidR="00EC19CA" w:rsidRDefault="00E75443">
      <w:pPr>
        <w:pStyle w:val="Prrafodelista"/>
        <w:numPr>
          <w:ilvl w:val="1"/>
          <w:numId w:val="3"/>
        </w:numPr>
        <w:tabs>
          <w:tab w:val="left" w:pos="532"/>
        </w:tabs>
        <w:spacing w:before="241"/>
        <w:ind w:left="532" w:hanging="392"/>
        <w:rPr>
          <w:sz w:val="18"/>
        </w:rPr>
      </w:pPr>
      <w:r>
        <w:rPr>
          <w:sz w:val="18"/>
        </w:rPr>
        <w:t>MÉTODO</w:t>
      </w:r>
      <w:r>
        <w:rPr>
          <w:spacing w:val="1"/>
          <w:sz w:val="18"/>
        </w:rPr>
        <w:t xml:space="preserve"> </w:t>
      </w:r>
      <w:r>
        <w:rPr>
          <w:sz w:val="18"/>
        </w:rPr>
        <w:t>DE</w:t>
      </w:r>
      <w:r>
        <w:rPr>
          <w:spacing w:val="2"/>
          <w:sz w:val="18"/>
        </w:rPr>
        <w:t xml:space="preserve"> </w:t>
      </w:r>
      <w:r>
        <w:rPr>
          <w:sz w:val="18"/>
        </w:rPr>
        <w:t>ANÁLISIS</w:t>
      </w:r>
      <w:r>
        <w:rPr>
          <w:spacing w:val="2"/>
          <w:sz w:val="18"/>
        </w:rPr>
        <w:t xml:space="preserve"> </w:t>
      </w:r>
      <w:r>
        <w:rPr>
          <w:sz w:val="18"/>
        </w:rPr>
        <w:t>DE</w:t>
      </w:r>
      <w:r>
        <w:rPr>
          <w:spacing w:val="2"/>
          <w:sz w:val="18"/>
        </w:rPr>
        <w:t xml:space="preserve"> </w:t>
      </w:r>
      <w:r>
        <w:rPr>
          <w:spacing w:val="-2"/>
          <w:sz w:val="18"/>
        </w:rPr>
        <w:t>DATOS</w:t>
      </w:r>
    </w:p>
    <w:p w14:paraId="360746D7" w14:textId="77777777" w:rsidR="00EC19CA" w:rsidRDefault="00E75443">
      <w:pPr>
        <w:pStyle w:val="Textoindependiente"/>
        <w:spacing w:before="201" w:line="276" w:lineRule="auto"/>
        <w:ind w:right="143"/>
      </w:pPr>
      <w:r>
        <w:t xml:space="preserve">La información fue organizada de acuerdo con las categorías jurídicas previamente establecidas. </w:t>
      </w:r>
      <w:r>
        <w:t>Posteriormente se realizó un análisis comparativo de los instrumentos seleccionados para identificar:</w:t>
      </w:r>
    </w:p>
    <w:p w14:paraId="50357322" w14:textId="77777777" w:rsidR="00EC19CA" w:rsidRDefault="00EC19CA">
      <w:pPr>
        <w:pStyle w:val="Textoindependiente"/>
        <w:spacing w:before="13"/>
        <w:ind w:left="0"/>
        <w:jc w:val="left"/>
      </w:pPr>
    </w:p>
    <w:p w14:paraId="2D8EAEB4" w14:textId="77777777" w:rsidR="00EC19CA" w:rsidRDefault="00E75443">
      <w:pPr>
        <w:pStyle w:val="Prrafodelista"/>
        <w:numPr>
          <w:ilvl w:val="0"/>
          <w:numId w:val="1"/>
        </w:numPr>
        <w:tabs>
          <w:tab w:val="left" w:pos="860"/>
        </w:tabs>
        <w:spacing w:before="1" w:line="275" w:lineRule="exact"/>
        <w:rPr>
          <w:sz w:val="24"/>
        </w:rPr>
      </w:pPr>
      <w:r>
        <w:rPr>
          <w:sz w:val="24"/>
        </w:rPr>
        <w:t>principios</w:t>
      </w:r>
      <w:r>
        <w:rPr>
          <w:spacing w:val="-3"/>
          <w:sz w:val="24"/>
        </w:rPr>
        <w:t xml:space="preserve"> </w:t>
      </w:r>
      <w:r>
        <w:rPr>
          <w:sz w:val="24"/>
        </w:rPr>
        <w:t>regulatorios</w:t>
      </w:r>
      <w:r>
        <w:rPr>
          <w:spacing w:val="-2"/>
          <w:sz w:val="24"/>
        </w:rPr>
        <w:t xml:space="preserve"> comunes;</w:t>
      </w:r>
    </w:p>
    <w:p w14:paraId="55D0F094" w14:textId="77777777" w:rsidR="00EC19CA" w:rsidRDefault="00E75443">
      <w:pPr>
        <w:pStyle w:val="Prrafodelista"/>
        <w:numPr>
          <w:ilvl w:val="0"/>
          <w:numId w:val="1"/>
        </w:numPr>
        <w:tabs>
          <w:tab w:val="left" w:pos="860"/>
        </w:tabs>
        <w:spacing w:line="274" w:lineRule="exact"/>
        <w:rPr>
          <w:sz w:val="24"/>
        </w:rPr>
      </w:pPr>
      <w:r>
        <w:rPr>
          <w:sz w:val="24"/>
        </w:rPr>
        <w:t>diferencias</w:t>
      </w:r>
      <w:r>
        <w:rPr>
          <w:spacing w:val="-2"/>
          <w:sz w:val="24"/>
        </w:rPr>
        <w:t xml:space="preserve"> </w:t>
      </w:r>
      <w:r>
        <w:rPr>
          <w:sz w:val="24"/>
        </w:rPr>
        <w:t>en</w:t>
      </w:r>
      <w:r>
        <w:rPr>
          <w:spacing w:val="-2"/>
          <w:sz w:val="24"/>
        </w:rPr>
        <w:t xml:space="preserve"> </w:t>
      </w:r>
      <w:r>
        <w:rPr>
          <w:sz w:val="24"/>
        </w:rPr>
        <w:t>su</w:t>
      </w:r>
      <w:r>
        <w:rPr>
          <w:spacing w:val="-2"/>
          <w:sz w:val="24"/>
        </w:rPr>
        <w:t xml:space="preserve"> </w:t>
      </w:r>
      <w:r>
        <w:rPr>
          <w:sz w:val="24"/>
        </w:rPr>
        <w:t>fuerza</w:t>
      </w:r>
      <w:r>
        <w:rPr>
          <w:spacing w:val="-2"/>
          <w:sz w:val="24"/>
        </w:rPr>
        <w:t xml:space="preserve"> jurídica;</w:t>
      </w:r>
    </w:p>
    <w:p w14:paraId="4BAA38A7" w14:textId="77777777" w:rsidR="00EC19CA" w:rsidRDefault="00E75443">
      <w:pPr>
        <w:pStyle w:val="Prrafodelista"/>
        <w:numPr>
          <w:ilvl w:val="0"/>
          <w:numId w:val="1"/>
        </w:numPr>
        <w:tabs>
          <w:tab w:val="left" w:pos="860"/>
        </w:tabs>
        <w:spacing w:line="275" w:lineRule="exact"/>
        <w:rPr>
          <w:sz w:val="24"/>
        </w:rPr>
      </w:pPr>
      <w:r>
        <w:rPr>
          <w:sz w:val="24"/>
        </w:rPr>
        <w:t>mecanismos</w:t>
      </w:r>
      <w:r>
        <w:rPr>
          <w:spacing w:val="-3"/>
          <w:sz w:val="24"/>
        </w:rPr>
        <w:t xml:space="preserve"> </w:t>
      </w:r>
      <w:r>
        <w:rPr>
          <w:sz w:val="24"/>
        </w:rPr>
        <w:t>de</w:t>
      </w:r>
      <w:r>
        <w:rPr>
          <w:spacing w:val="-2"/>
          <w:sz w:val="24"/>
        </w:rPr>
        <w:t xml:space="preserve"> implementación;</w:t>
      </w:r>
    </w:p>
    <w:p w14:paraId="5C4C452B" w14:textId="77777777" w:rsidR="00EC19CA" w:rsidRDefault="00E75443">
      <w:pPr>
        <w:pStyle w:val="Prrafodelista"/>
        <w:numPr>
          <w:ilvl w:val="0"/>
          <w:numId w:val="1"/>
        </w:numPr>
        <w:tabs>
          <w:tab w:val="left" w:pos="860"/>
        </w:tabs>
        <w:spacing w:before="2" w:line="275" w:lineRule="exact"/>
        <w:rPr>
          <w:sz w:val="24"/>
        </w:rPr>
      </w:pPr>
      <w:r>
        <w:rPr>
          <w:sz w:val="24"/>
        </w:rPr>
        <w:t>ámbitos</w:t>
      </w:r>
      <w:r>
        <w:rPr>
          <w:spacing w:val="-1"/>
          <w:sz w:val="24"/>
        </w:rPr>
        <w:t xml:space="preserve"> </w:t>
      </w:r>
      <w:r>
        <w:rPr>
          <w:sz w:val="24"/>
        </w:rPr>
        <w:t>de</w:t>
      </w:r>
      <w:r>
        <w:rPr>
          <w:spacing w:val="-2"/>
          <w:sz w:val="24"/>
        </w:rPr>
        <w:t xml:space="preserve"> aplicación;</w:t>
      </w:r>
    </w:p>
    <w:p w14:paraId="75066F0A" w14:textId="77777777" w:rsidR="00EC19CA" w:rsidRDefault="00E75443">
      <w:pPr>
        <w:pStyle w:val="Prrafodelista"/>
        <w:numPr>
          <w:ilvl w:val="0"/>
          <w:numId w:val="1"/>
        </w:numPr>
        <w:tabs>
          <w:tab w:val="left" w:pos="860"/>
        </w:tabs>
        <w:spacing w:line="275" w:lineRule="exact"/>
        <w:rPr>
          <w:sz w:val="24"/>
        </w:rPr>
      </w:pPr>
      <w:r>
        <w:rPr>
          <w:sz w:val="24"/>
        </w:rPr>
        <w:t>principales</w:t>
      </w:r>
      <w:r>
        <w:rPr>
          <w:spacing w:val="-3"/>
          <w:sz w:val="24"/>
        </w:rPr>
        <w:t xml:space="preserve"> </w:t>
      </w:r>
      <w:r>
        <w:rPr>
          <w:sz w:val="24"/>
        </w:rPr>
        <w:t>vacíos</w:t>
      </w:r>
      <w:r>
        <w:rPr>
          <w:spacing w:val="-3"/>
          <w:sz w:val="24"/>
        </w:rPr>
        <w:t xml:space="preserve"> </w:t>
      </w:r>
      <w:r>
        <w:rPr>
          <w:sz w:val="24"/>
        </w:rPr>
        <w:t>regulatorios;</w:t>
      </w:r>
      <w:r>
        <w:rPr>
          <w:spacing w:val="-3"/>
          <w:sz w:val="24"/>
        </w:rPr>
        <w:t xml:space="preserve"> </w:t>
      </w:r>
      <w:r>
        <w:rPr>
          <w:spacing w:val="-10"/>
          <w:sz w:val="24"/>
        </w:rPr>
        <w:t>y</w:t>
      </w:r>
    </w:p>
    <w:p w14:paraId="12DECC78" w14:textId="77777777" w:rsidR="00EC19CA" w:rsidRDefault="00E75443">
      <w:pPr>
        <w:pStyle w:val="Prrafodelista"/>
        <w:numPr>
          <w:ilvl w:val="0"/>
          <w:numId w:val="1"/>
        </w:numPr>
        <w:tabs>
          <w:tab w:val="left" w:pos="860"/>
        </w:tabs>
        <w:spacing w:before="7"/>
        <w:rPr>
          <w:sz w:val="24"/>
        </w:rPr>
      </w:pPr>
      <w:r>
        <w:rPr>
          <w:sz w:val="24"/>
        </w:rPr>
        <w:t>posibilidades</w:t>
      </w:r>
      <w:r>
        <w:rPr>
          <w:spacing w:val="-3"/>
          <w:sz w:val="24"/>
        </w:rPr>
        <w:t xml:space="preserve"> </w:t>
      </w:r>
      <w:r>
        <w:rPr>
          <w:sz w:val="24"/>
        </w:rPr>
        <w:t>de</w:t>
      </w:r>
      <w:r>
        <w:rPr>
          <w:spacing w:val="-4"/>
          <w:sz w:val="24"/>
        </w:rPr>
        <w:t xml:space="preserve"> </w:t>
      </w:r>
      <w:r>
        <w:rPr>
          <w:sz w:val="24"/>
        </w:rPr>
        <w:t>interoperabilidad</w:t>
      </w:r>
      <w:r>
        <w:rPr>
          <w:spacing w:val="-2"/>
          <w:sz w:val="24"/>
        </w:rPr>
        <w:t xml:space="preserve"> normativa.</w:t>
      </w:r>
    </w:p>
    <w:p w14:paraId="0856D869" w14:textId="77777777" w:rsidR="00EC19CA" w:rsidRDefault="00EC19CA">
      <w:pPr>
        <w:pStyle w:val="Textoindependiente"/>
        <w:spacing w:before="5"/>
        <w:ind w:left="0"/>
        <w:jc w:val="left"/>
        <w:rPr>
          <w:sz w:val="24"/>
        </w:rPr>
      </w:pPr>
    </w:p>
    <w:p w14:paraId="06B8EC32" w14:textId="77777777" w:rsidR="00EC19CA" w:rsidRDefault="00E75443">
      <w:pPr>
        <w:pStyle w:val="Textoindependiente"/>
        <w:spacing w:before="0" w:line="273" w:lineRule="auto"/>
        <w:ind w:right="140"/>
      </w:pPr>
      <w:r>
        <w:t>Los resultados obtenidos fueron posteriormente contrastados con la literatura académica y utilizados como base para la discusión y formulación de recomendaciones.</w:t>
      </w:r>
    </w:p>
    <w:p w14:paraId="7F49E88B" w14:textId="77777777" w:rsidR="00EC19CA" w:rsidRDefault="00EC19CA">
      <w:pPr>
        <w:pStyle w:val="Textoindependiente"/>
        <w:spacing w:before="103"/>
        <w:ind w:left="0"/>
        <w:jc w:val="left"/>
      </w:pPr>
    </w:p>
    <w:p w14:paraId="516B070B" w14:textId="77777777" w:rsidR="00EC19CA" w:rsidRDefault="00E75443">
      <w:pPr>
        <w:pStyle w:val="Ttulo1"/>
        <w:numPr>
          <w:ilvl w:val="0"/>
          <w:numId w:val="3"/>
        </w:numPr>
        <w:tabs>
          <w:tab w:val="left" w:pos="383"/>
        </w:tabs>
      </w:pPr>
      <w:r>
        <w:rPr>
          <w:spacing w:val="-2"/>
        </w:rPr>
        <w:t>RESULTADOS</w:t>
      </w:r>
    </w:p>
    <w:p w14:paraId="11FA1614" w14:textId="77777777" w:rsidR="00EC19CA" w:rsidRDefault="00E75443">
      <w:pPr>
        <w:pStyle w:val="Textoindependiente"/>
        <w:spacing w:before="242" w:line="276" w:lineRule="auto"/>
        <w:ind w:right="141"/>
      </w:pPr>
      <w:r>
        <w:t>Los resultados obtenidos a part</w:t>
      </w:r>
      <w:r>
        <w:t>ir del análisis documental evidencian que existe una progresiva convergencia internacional respecto de determinados principios de gobernanza de la inteligencia artificial, aunque persiste una importante fragmentación respecto de los mecanismos jurídicos ut</w:t>
      </w:r>
      <w:r>
        <w:t>ilizados para implementarlos.</w:t>
      </w:r>
    </w:p>
    <w:p w14:paraId="422DB204" w14:textId="77777777" w:rsidR="00EC19CA" w:rsidRDefault="00EC19CA">
      <w:pPr>
        <w:pStyle w:val="Textoindependiente"/>
        <w:spacing w:line="276" w:lineRule="auto"/>
        <w:sectPr w:rsidR="00EC19CA">
          <w:pgSz w:w="8850" w:h="13250"/>
          <w:pgMar w:top="1060" w:right="992" w:bottom="280" w:left="992" w:header="720" w:footer="720" w:gutter="0"/>
          <w:cols w:space="720"/>
        </w:sectPr>
      </w:pPr>
    </w:p>
    <w:p w14:paraId="6E13187F" w14:textId="77777777" w:rsidR="00EC19CA" w:rsidRDefault="00E75443">
      <w:pPr>
        <w:pStyle w:val="Prrafodelista"/>
        <w:numPr>
          <w:ilvl w:val="1"/>
          <w:numId w:val="3"/>
        </w:numPr>
        <w:tabs>
          <w:tab w:val="left" w:pos="532"/>
        </w:tabs>
        <w:spacing w:before="69"/>
        <w:ind w:left="532" w:hanging="392"/>
        <w:rPr>
          <w:sz w:val="23"/>
        </w:rPr>
      </w:pPr>
      <w:r>
        <w:rPr>
          <w:sz w:val="18"/>
        </w:rPr>
        <w:lastRenderedPageBreak/>
        <w:t>CONVERGENCIA</w:t>
      </w:r>
      <w:r>
        <w:rPr>
          <w:spacing w:val="3"/>
          <w:sz w:val="18"/>
        </w:rPr>
        <w:t xml:space="preserve"> </w:t>
      </w:r>
      <w:r>
        <w:rPr>
          <w:sz w:val="18"/>
        </w:rPr>
        <w:t>INTERNACIONAL</w:t>
      </w:r>
      <w:r>
        <w:rPr>
          <w:spacing w:val="4"/>
          <w:sz w:val="18"/>
        </w:rPr>
        <w:t xml:space="preserve"> </w:t>
      </w:r>
      <w:r>
        <w:rPr>
          <w:sz w:val="18"/>
        </w:rPr>
        <w:t>EN</w:t>
      </w:r>
      <w:r>
        <w:rPr>
          <w:spacing w:val="3"/>
          <w:sz w:val="18"/>
        </w:rPr>
        <w:t xml:space="preserve"> </w:t>
      </w:r>
      <w:r>
        <w:rPr>
          <w:sz w:val="18"/>
        </w:rPr>
        <w:t>PRINCIPIOS</w:t>
      </w:r>
      <w:r>
        <w:rPr>
          <w:spacing w:val="4"/>
          <w:sz w:val="18"/>
        </w:rPr>
        <w:t xml:space="preserve"> </w:t>
      </w:r>
      <w:r>
        <w:rPr>
          <w:spacing w:val="-2"/>
          <w:sz w:val="18"/>
        </w:rPr>
        <w:t>FUNDAMENTALES</w:t>
      </w:r>
      <w:r>
        <w:rPr>
          <w:spacing w:val="-2"/>
          <w:sz w:val="23"/>
        </w:rPr>
        <w:t>.</w:t>
      </w:r>
    </w:p>
    <w:p w14:paraId="6D9FA031" w14:textId="77777777" w:rsidR="00EC19CA" w:rsidRDefault="00E75443">
      <w:pPr>
        <w:pStyle w:val="Textoindependiente"/>
        <w:spacing w:before="201" w:line="276" w:lineRule="auto"/>
        <w:ind w:right="140"/>
      </w:pPr>
      <w:r>
        <w:t xml:space="preserve">El análisis permitió identificar coincidencias relevantes entre los instrumentos estudiados. La protección de los derechos humanos aparece como uno de los </w:t>
      </w:r>
      <w:r>
        <w:t>principales elementos comunes, junto con la transparencia, la responsabilidad, la seguridad, la supervisión humana</w:t>
      </w:r>
      <w:r>
        <w:rPr>
          <w:spacing w:val="40"/>
        </w:rPr>
        <w:t xml:space="preserve"> </w:t>
      </w:r>
      <w:r>
        <w:t>y la gestión de riesgos.</w:t>
      </w:r>
    </w:p>
    <w:p w14:paraId="1FD172C3" w14:textId="77777777" w:rsidR="00EC19CA" w:rsidRDefault="00E75443">
      <w:pPr>
        <w:pStyle w:val="Textoindependiente"/>
        <w:spacing w:before="121" w:line="276" w:lineRule="auto"/>
        <w:ind w:right="141"/>
      </w:pPr>
      <w:r>
        <w:t>UNESCO (FGFQ) establece un marco ético basado en derechos humanos,</w:t>
      </w:r>
      <w:r>
        <w:rPr>
          <w:spacing w:val="-7"/>
        </w:rPr>
        <w:t xml:space="preserve"> </w:t>
      </w:r>
      <w:r>
        <w:t>dignidad,</w:t>
      </w:r>
      <w:r>
        <w:rPr>
          <w:spacing w:val="-7"/>
        </w:rPr>
        <w:t xml:space="preserve"> </w:t>
      </w:r>
      <w:r>
        <w:t>transparencia,</w:t>
      </w:r>
      <w:r>
        <w:rPr>
          <w:spacing w:val="-7"/>
        </w:rPr>
        <w:t xml:space="preserve"> </w:t>
      </w:r>
      <w:r>
        <w:t>responsabilidad,</w:t>
      </w:r>
      <w:r>
        <w:rPr>
          <w:spacing w:val="-7"/>
        </w:rPr>
        <w:t xml:space="preserve"> </w:t>
      </w:r>
      <w:r>
        <w:t>privaci</w:t>
      </w:r>
      <w:r>
        <w:t>dad,</w:t>
      </w:r>
      <w:r>
        <w:rPr>
          <w:spacing w:val="-7"/>
        </w:rPr>
        <w:t xml:space="preserve"> </w:t>
      </w:r>
      <w:r>
        <w:t xml:space="preserve">equidad y sostenibilidad. La OCDE (FGFH), por su parte, incorpora principios orientados al desarrollo de una inteligencia artificial innovadora y confiable, respetuosa de los derechos humanos y los valores </w:t>
      </w:r>
      <w:r>
        <w:rPr>
          <w:spacing w:val="-2"/>
        </w:rPr>
        <w:t>democráticos.</w:t>
      </w:r>
    </w:p>
    <w:p w14:paraId="412C592A" w14:textId="77777777" w:rsidR="00EC19CA" w:rsidRDefault="00E75443">
      <w:pPr>
        <w:pStyle w:val="Textoindependiente"/>
        <w:spacing w:before="119" w:line="276" w:lineRule="auto"/>
        <w:ind w:right="138"/>
      </w:pPr>
      <w:r>
        <w:t>La</w:t>
      </w:r>
      <w:r>
        <w:rPr>
          <w:spacing w:val="40"/>
        </w:rPr>
        <w:t xml:space="preserve"> </w:t>
      </w:r>
      <w:r>
        <w:t>Resolución</w:t>
      </w:r>
      <w:r>
        <w:rPr>
          <w:spacing w:val="40"/>
        </w:rPr>
        <w:t xml:space="preserve"> </w:t>
      </w:r>
      <w:proofErr w:type="spellStart"/>
      <w:r>
        <w:t>fg</w:t>
      </w:r>
      <w:proofErr w:type="spellEnd"/>
      <w:r>
        <w:t>/</w:t>
      </w:r>
      <w:proofErr w:type="spellStart"/>
      <w:r>
        <w:t>Fhi</w:t>
      </w:r>
      <w:proofErr w:type="spellEnd"/>
      <w:r>
        <w:rPr>
          <w:spacing w:val="40"/>
        </w:rPr>
        <w:t xml:space="preserve"> </w:t>
      </w:r>
      <w:r>
        <w:t>de</w:t>
      </w:r>
      <w:r>
        <w:rPr>
          <w:spacing w:val="40"/>
        </w:rPr>
        <w:t xml:space="preserve"> </w:t>
      </w:r>
      <w:r>
        <w:t>Naciones</w:t>
      </w:r>
      <w:r>
        <w:rPr>
          <w:spacing w:val="40"/>
        </w:rPr>
        <w:t xml:space="preserve"> </w:t>
      </w:r>
      <w:r>
        <w:t>Unidas</w:t>
      </w:r>
      <w:r>
        <w:rPr>
          <w:spacing w:val="40"/>
        </w:rPr>
        <w:t xml:space="preserve"> </w:t>
      </w:r>
      <w:r>
        <w:t>y</w:t>
      </w:r>
      <w:r>
        <w:rPr>
          <w:spacing w:val="40"/>
        </w:rPr>
        <w:t xml:space="preserve"> </w:t>
      </w:r>
      <w:r>
        <w:t>el Global</w:t>
      </w:r>
      <w:r>
        <w:rPr>
          <w:spacing w:val="40"/>
        </w:rPr>
        <w:t xml:space="preserve"> </w:t>
      </w:r>
      <w:r>
        <w:t>Digital Compact también muestran una tendencia hacia la construcción de estándares internacionales comunes e interoperables.</w:t>
      </w:r>
    </w:p>
    <w:p w14:paraId="5D656E2F" w14:textId="77777777" w:rsidR="00EC19CA" w:rsidRDefault="00E75443">
      <w:pPr>
        <w:pStyle w:val="Textoindependiente"/>
        <w:spacing w:before="119" w:line="276" w:lineRule="auto"/>
        <w:ind w:right="141"/>
      </w:pPr>
      <w:r>
        <w:t xml:space="preserve">Por tanto, el principal resultado no es la inexistencia de consenso, sino la existencia de un consenso </w:t>
      </w:r>
      <w:r>
        <w:t>parcial sobre principios generales acompañado de divergencias respecto de su implementación jurídica.</w:t>
      </w:r>
    </w:p>
    <w:p w14:paraId="1740D752" w14:textId="77777777" w:rsidR="00EC19CA" w:rsidRDefault="00E75443">
      <w:pPr>
        <w:pStyle w:val="Prrafodelista"/>
        <w:numPr>
          <w:ilvl w:val="1"/>
          <w:numId w:val="3"/>
        </w:numPr>
        <w:tabs>
          <w:tab w:val="left" w:pos="532"/>
        </w:tabs>
        <w:spacing w:before="240"/>
        <w:ind w:left="532" w:hanging="392"/>
        <w:rPr>
          <w:sz w:val="23"/>
        </w:rPr>
      </w:pPr>
      <w:r>
        <w:rPr>
          <w:sz w:val="18"/>
        </w:rPr>
        <w:t>DIFERENCIAS</w:t>
      </w:r>
      <w:r>
        <w:rPr>
          <w:spacing w:val="2"/>
          <w:sz w:val="18"/>
        </w:rPr>
        <w:t xml:space="preserve"> </w:t>
      </w:r>
      <w:r>
        <w:rPr>
          <w:sz w:val="18"/>
        </w:rPr>
        <w:t>EN</w:t>
      </w:r>
      <w:r>
        <w:rPr>
          <w:spacing w:val="2"/>
          <w:sz w:val="18"/>
        </w:rPr>
        <w:t xml:space="preserve"> </w:t>
      </w:r>
      <w:r>
        <w:rPr>
          <w:sz w:val="18"/>
        </w:rPr>
        <w:t>LA</w:t>
      </w:r>
      <w:r>
        <w:rPr>
          <w:spacing w:val="2"/>
          <w:sz w:val="18"/>
        </w:rPr>
        <w:t xml:space="preserve"> </w:t>
      </w:r>
      <w:r>
        <w:rPr>
          <w:sz w:val="18"/>
        </w:rPr>
        <w:t>FUERZA</w:t>
      </w:r>
      <w:r>
        <w:rPr>
          <w:spacing w:val="2"/>
          <w:sz w:val="18"/>
        </w:rPr>
        <w:t xml:space="preserve"> </w:t>
      </w:r>
      <w:r>
        <w:rPr>
          <w:sz w:val="18"/>
        </w:rPr>
        <w:t>JURÍDICA</w:t>
      </w:r>
      <w:r>
        <w:rPr>
          <w:spacing w:val="2"/>
          <w:sz w:val="18"/>
        </w:rPr>
        <w:t xml:space="preserve"> </w:t>
      </w:r>
      <w:r>
        <w:rPr>
          <w:sz w:val="18"/>
        </w:rPr>
        <w:t>DE</w:t>
      </w:r>
      <w:r>
        <w:rPr>
          <w:spacing w:val="2"/>
          <w:sz w:val="18"/>
        </w:rPr>
        <w:t xml:space="preserve"> </w:t>
      </w:r>
      <w:r>
        <w:rPr>
          <w:sz w:val="18"/>
        </w:rPr>
        <w:t>LOS</w:t>
      </w:r>
      <w:r>
        <w:rPr>
          <w:spacing w:val="2"/>
          <w:sz w:val="18"/>
        </w:rPr>
        <w:t xml:space="preserve"> </w:t>
      </w:r>
      <w:r>
        <w:rPr>
          <w:spacing w:val="-2"/>
          <w:sz w:val="18"/>
        </w:rPr>
        <w:t>INSTRUMENTOS</w:t>
      </w:r>
      <w:r>
        <w:rPr>
          <w:spacing w:val="-2"/>
          <w:sz w:val="23"/>
        </w:rPr>
        <w:t>.</w:t>
      </w:r>
    </w:p>
    <w:p w14:paraId="2D911AE4" w14:textId="77777777" w:rsidR="00EC19CA" w:rsidRDefault="00E75443">
      <w:pPr>
        <w:pStyle w:val="Textoindependiente"/>
        <w:spacing w:before="201" w:line="273" w:lineRule="auto"/>
        <w:ind w:right="142"/>
      </w:pPr>
      <w:r>
        <w:t>El análisis comparativo evidencia diferencias sustanciales en la naturaleza jurídica de los instrum</w:t>
      </w:r>
      <w:r>
        <w:t>entos.</w:t>
      </w:r>
    </w:p>
    <w:p w14:paraId="32C155DA" w14:textId="77777777" w:rsidR="00EC19CA" w:rsidRDefault="00E75443">
      <w:pPr>
        <w:pStyle w:val="Textoindependiente"/>
        <w:spacing w:before="127" w:line="276" w:lineRule="auto"/>
        <w:ind w:right="138"/>
      </w:pPr>
      <w:r>
        <w:t>Mientras la Recomendación de UNESCO y los principios de la OCDE funcionan principalmente como instrumentos orientadores, el Reglamento de Inteligencia Artificial de la Unión Europea establece obligaciones jurídicas directamente aplicables dentro del</w:t>
      </w:r>
      <w:r>
        <w:t xml:space="preserve"> ámbito definido por el Derecho de la Unión.</w:t>
      </w:r>
    </w:p>
    <w:p w14:paraId="3E074870" w14:textId="77777777" w:rsidR="00EC19CA" w:rsidRDefault="00E75443">
      <w:pPr>
        <w:pStyle w:val="Textoindependiente"/>
        <w:spacing w:before="116" w:line="276" w:lineRule="auto"/>
        <w:ind w:right="137"/>
      </w:pPr>
      <w:r>
        <w:t xml:space="preserve">Por su parte, el Convenio Marco del Consejo de Europa representa un modelo convencional jurídicamente vinculante que sitúa los derechos humanos, la democracia y el Estado de Derecho como ejes de la </w:t>
      </w:r>
      <w:r>
        <w:rPr>
          <w:spacing w:val="-2"/>
        </w:rPr>
        <w:t>regulación.</w:t>
      </w:r>
    </w:p>
    <w:p w14:paraId="3872CC07" w14:textId="77777777" w:rsidR="00EC19CA" w:rsidRDefault="00EC19CA">
      <w:pPr>
        <w:pStyle w:val="Textoindependiente"/>
        <w:spacing w:line="276" w:lineRule="auto"/>
        <w:sectPr w:rsidR="00EC19CA">
          <w:pgSz w:w="8850" w:h="13250"/>
          <w:pgMar w:top="1060" w:right="992" w:bottom="280" w:left="992" w:header="720" w:footer="720" w:gutter="0"/>
          <w:cols w:space="720"/>
        </w:sectPr>
      </w:pPr>
    </w:p>
    <w:p w14:paraId="2709EC21" w14:textId="77777777" w:rsidR="00EC19CA" w:rsidRDefault="00E75443">
      <w:pPr>
        <w:pStyle w:val="Textoindependiente"/>
        <w:spacing w:line="276" w:lineRule="auto"/>
        <w:ind w:right="140"/>
      </w:pPr>
      <w:r>
        <w:lastRenderedPageBreak/>
        <w:t>Esta</w:t>
      </w:r>
      <w:r>
        <w:rPr>
          <w:spacing w:val="-3"/>
        </w:rPr>
        <w:t xml:space="preserve"> </w:t>
      </w:r>
      <w:r>
        <w:t>diversidad</w:t>
      </w:r>
      <w:r>
        <w:rPr>
          <w:spacing w:val="-3"/>
        </w:rPr>
        <w:t xml:space="preserve"> </w:t>
      </w:r>
      <w:r>
        <w:t>demuestra</w:t>
      </w:r>
      <w:r>
        <w:rPr>
          <w:spacing w:val="-3"/>
        </w:rPr>
        <w:t xml:space="preserve"> </w:t>
      </w:r>
      <w:r>
        <w:t>que</w:t>
      </w:r>
      <w:r>
        <w:rPr>
          <w:spacing w:val="-3"/>
        </w:rPr>
        <w:t xml:space="preserve"> </w:t>
      </w:r>
      <w:r>
        <w:t>el</w:t>
      </w:r>
      <w:r>
        <w:rPr>
          <w:spacing w:val="-2"/>
        </w:rPr>
        <w:t xml:space="preserve"> </w:t>
      </w:r>
      <w:r>
        <w:t>sistema</w:t>
      </w:r>
      <w:r>
        <w:rPr>
          <w:spacing w:val="-3"/>
        </w:rPr>
        <w:t xml:space="preserve"> </w:t>
      </w:r>
      <w:r>
        <w:t>actual</w:t>
      </w:r>
      <w:r>
        <w:rPr>
          <w:spacing w:val="-2"/>
        </w:rPr>
        <w:t xml:space="preserve"> </w:t>
      </w:r>
      <w:r>
        <w:t>no</w:t>
      </w:r>
      <w:r>
        <w:rPr>
          <w:spacing w:val="-3"/>
        </w:rPr>
        <w:t xml:space="preserve"> </w:t>
      </w:r>
      <w:r>
        <w:t>responde</w:t>
      </w:r>
      <w:r>
        <w:rPr>
          <w:spacing w:val="-3"/>
        </w:rPr>
        <w:t xml:space="preserve"> </w:t>
      </w:r>
      <w:r>
        <w:t>a</w:t>
      </w:r>
      <w:r>
        <w:rPr>
          <w:spacing w:val="-3"/>
        </w:rPr>
        <w:t xml:space="preserve"> </w:t>
      </w:r>
      <w:r>
        <w:t>un</w:t>
      </w:r>
      <w:r>
        <w:rPr>
          <w:spacing w:val="-3"/>
        </w:rPr>
        <w:t xml:space="preserve"> </w:t>
      </w:r>
      <w:r>
        <w:t xml:space="preserve">único modelo jurídico, sino a una combinación de </w:t>
      </w:r>
      <w:proofErr w:type="spellStart"/>
      <w:r>
        <w:t>soft</w:t>
      </w:r>
      <w:proofErr w:type="spellEnd"/>
      <w:r>
        <w:t xml:space="preserve"> </w:t>
      </w:r>
      <w:proofErr w:type="spellStart"/>
      <w:r>
        <w:t>law</w:t>
      </w:r>
      <w:proofErr w:type="spellEnd"/>
      <w:r>
        <w:t>, regulación regional y Derecho internacional convencional.</w:t>
      </w:r>
    </w:p>
    <w:p w14:paraId="42B481AF" w14:textId="77777777" w:rsidR="00EC19CA" w:rsidRDefault="00E75443">
      <w:pPr>
        <w:pStyle w:val="Prrafodelista"/>
        <w:numPr>
          <w:ilvl w:val="1"/>
          <w:numId w:val="3"/>
        </w:numPr>
        <w:tabs>
          <w:tab w:val="left" w:pos="527"/>
        </w:tabs>
        <w:spacing w:before="239"/>
        <w:ind w:left="527" w:hanging="387"/>
        <w:rPr>
          <w:sz w:val="23"/>
        </w:rPr>
      </w:pPr>
      <w:r>
        <w:rPr>
          <w:sz w:val="18"/>
        </w:rPr>
        <w:t>PERSISTENCIA</w:t>
      </w:r>
      <w:r>
        <w:rPr>
          <w:spacing w:val="-3"/>
          <w:sz w:val="18"/>
        </w:rPr>
        <w:t xml:space="preserve"> </w:t>
      </w:r>
      <w:r>
        <w:rPr>
          <w:sz w:val="18"/>
        </w:rPr>
        <w:t>DE</w:t>
      </w:r>
      <w:r>
        <w:rPr>
          <w:spacing w:val="-3"/>
          <w:sz w:val="18"/>
        </w:rPr>
        <w:t xml:space="preserve"> </w:t>
      </w:r>
      <w:r>
        <w:rPr>
          <w:sz w:val="18"/>
        </w:rPr>
        <w:t>PROBLEMAS</w:t>
      </w:r>
      <w:r>
        <w:rPr>
          <w:spacing w:val="-3"/>
          <w:sz w:val="18"/>
        </w:rPr>
        <w:t xml:space="preserve"> </w:t>
      </w:r>
      <w:r>
        <w:rPr>
          <w:sz w:val="18"/>
        </w:rPr>
        <w:t>DE</w:t>
      </w:r>
      <w:r>
        <w:rPr>
          <w:spacing w:val="-2"/>
          <w:sz w:val="18"/>
        </w:rPr>
        <w:t xml:space="preserve"> </w:t>
      </w:r>
      <w:r>
        <w:rPr>
          <w:sz w:val="18"/>
        </w:rPr>
        <w:t>JURISDICCIÓN</w:t>
      </w:r>
      <w:r>
        <w:rPr>
          <w:spacing w:val="-3"/>
          <w:sz w:val="18"/>
        </w:rPr>
        <w:t xml:space="preserve"> </w:t>
      </w:r>
      <w:r>
        <w:rPr>
          <w:sz w:val="18"/>
        </w:rPr>
        <w:t>Y</w:t>
      </w:r>
      <w:r>
        <w:rPr>
          <w:spacing w:val="-3"/>
          <w:sz w:val="18"/>
        </w:rPr>
        <w:t xml:space="preserve"> </w:t>
      </w:r>
      <w:r>
        <w:rPr>
          <w:spacing w:val="-2"/>
          <w:sz w:val="18"/>
        </w:rPr>
        <w:t>RESPONSABILIDAD</w:t>
      </w:r>
      <w:r>
        <w:rPr>
          <w:spacing w:val="-2"/>
          <w:sz w:val="23"/>
        </w:rPr>
        <w:t>.</w:t>
      </w:r>
    </w:p>
    <w:p w14:paraId="21DFEC4B" w14:textId="77777777" w:rsidR="00EC19CA" w:rsidRDefault="00E75443">
      <w:pPr>
        <w:pStyle w:val="Textoindependiente"/>
        <w:spacing w:before="201" w:line="276" w:lineRule="auto"/>
        <w:ind w:right="141"/>
      </w:pPr>
      <w:r>
        <w:t>El análisis permitió identificar que los instrumentos existentes todavía enfrentan dificultades para resolver integralmente los conflictos derivados del carácter transfronterizo de la IA.</w:t>
      </w:r>
    </w:p>
    <w:p w14:paraId="2678CB4B" w14:textId="77777777" w:rsidR="00EC19CA" w:rsidRDefault="00E75443">
      <w:pPr>
        <w:pStyle w:val="Textoindependiente"/>
        <w:spacing w:before="120" w:line="276" w:lineRule="auto"/>
        <w:ind w:right="143"/>
      </w:pPr>
      <w:r>
        <w:t xml:space="preserve">La localización de desarrolladores, proveedores, usuarios y </w:t>
      </w:r>
      <w:r>
        <w:t>personas afectadas</w:t>
      </w:r>
      <w:r>
        <w:rPr>
          <w:spacing w:val="-5"/>
        </w:rPr>
        <w:t xml:space="preserve"> </w:t>
      </w:r>
      <w:r>
        <w:t>en</w:t>
      </w:r>
      <w:r>
        <w:rPr>
          <w:spacing w:val="-5"/>
        </w:rPr>
        <w:t xml:space="preserve"> </w:t>
      </w:r>
      <w:r>
        <w:t>diferentes</w:t>
      </w:r>
      <w:r>
        <w:rPr>
          <w:spacing w:val="-5"/>
        </w:rPr>
        <w:t xml:space="preserve"> </w:t>
      </w:r>
      <w:r>
        <w:t>jurisdicciones</w:t>
      </w:r>
      <w:r>
        <w:rPr>
          <w:spacing w:val="-5"/>
        </w:rPr>
        <w:t xml:space="preserve"> </w:t>
      </w:r>
      <w:r>
        <w:t>puede</w:t>
      </w:r>
      <w:r>
        <w:rPr>
          <w:spacing w:val="-5"/>
        </w:rPr>
        <w:t xml:space="preserve"> </w:t>
      </w:r>
      <w:r>
        <w:t>generar</w:t>
      </w:r>
      <w:r>
        <w:rPr>
          <w:spacing w:val="-5"/>
        </w:rPr>
        <w:t xml:space="preserve"> </w:t>
      </w:r>
      <w:r>
        <w:t>conflictos</w:t>
      </w:r>
      <w:r>
        <w:rPr>
          <w:spacing w:val="-5"/>
        </w:rPr>
        <w:t xml:space="preserve"> </w:t>
      </w:r>
      <w:r>
        <w:t>respecto de la legislación aplicable y las autoridades competentes.</w:t>
      </w:r>
    </w:p>
    <w:p w14:paraId="031BD21E" w14:textId="77777777" w:rsidR="00EC19CA" w:rsidRDefault="00E75443">
      <w:pPr>
        <w:pStyle w:val="Textoindependiente"/>
        <w:spacing w:before="120" w:line="276" w:lineRule="auto"/>
        <w:ind w:right="142"/>
      </w:pPr>
      <w:r>
        <w:t>Asimismo, la responsabilidad por daños producidos por sistemas de IA continúa</w:t>
      </w:r>
      <w:r>
        <w:rPr>
          <w:spacing w:val="-7"/>
        </w:rPr>
        <w:t xml:space="preserve"> </w:t>
      </w:r>
      <w:r>
        <w:t>siendo</w:t>
      </w:r>
      <w:r>
        <w:rPr>
          <w:spacing w:val="-7"/>
        </w:rPr>
        <w:t xml:space="preserve"> </w:t>
      </w:r>
      <w:r>
        <w:t>un</w:t>
      </w:r>
      <w:r>
        <w:rPr>
          <w:spacing w:val="-7"/>
        </w:rPr>
        <w:t xml:space="preserve"> </w:t>
      </w:r>
      <w:r>
        <w:t>área</w:t>
      </w:r>
      <w:r>
        <w:rPr>
          <w:spacing w:val="-7"/>
        </w:rPr>
        <w:t xml:space="preserve"> </w:t>
      </w:r>
      <w:r>
        <w:t>que</w:t>
      </w:r>
      <w:r>
        <w:rPr>
          <w:spacing w:val="-7"/>
        </w:rPr>
        <w:t xml:space="preserve"> </w:t>
      </w:r>
      <w:r>
        <w:t>requiere</w:t>
      </w:r>
      <w:r>
        <w:rPr>
          <w:spacing w:val="-7"/>
        </w:rPr>
        <w:t xml:space="preserve"> </w:t>
      </w:r>
      <w:r>
        <w:t>mayor</w:t>
      </w:r>
      <w:r>
        <w:rPr>
          <w:spacing w:val="-7"/>
        </w:rPr>
        <w:t xml:space="preserve"> </w:t>
      </w:r>
      <w:r>
        <w:t>coo</w:t>
      </w:r>
      <w:r>
        <w:t>rdinación</w:t>
      </w:r>
      <w:r>
        <w:rPr>
          <w:spacing w:val="-7"/>
        </w:rPr>
        <w:t xml:space="preserve"> </w:t>
      </w:r>
      <w:r>
        <w:t>internacional, particularmente cuando intervienen múltiples actores en el desarrollo y utilización de un sistema.</w:t>
      </w:r>
    </w:p>
    <w:p w14:paraId="5D588284" w14:textId="77777777" w:rsidR="00EC19CA" w:rsidRDefault="00E75443">
      <w:pPr>
        <w:pStyle w:val="Prrafodelista"/>
        <w:numPr>
          <w:ilvl w:val="1"/>
          <w:numId w:val="3"/>
        </w:numPr>
        <w:tabs>
          <w:tab w:val="left" w:pos="532"/>
        </w:tabs>
        <w:spacing w:before="242"/>
        <w:ind w:left="532" w:hanging="392"/>
        <w:rPr>
          <w:sz w:val="23"/>
        </w:rPr>
      </w:pPr>
      <w:r>
        <w:rPr>
          <w:sz w:val="18"/>
        </w:rPr>
        <w:t>PROTECCIÓN</w:t>
      </w:r>
      <w:r>
        <w:rPr>
          <w:spacing w:val="2"/>
          <w:sz w:val="18"/>
        </w:rPr>
        <w:t xml:space="preserve"> </w:t>
      </w:r>
      <w:r>
        <w:rPr>
          <w:sz w:val="18"/>
        </w:rPr>
        <w:t>DE</w:t>
      </w:r>
      <w:r>
        <w:rPr>
          <w:spacing w:val="2"/>
          <w:sz w:val="18"/>
        </w:rPr>
        <w:t xml:space="preserve"> </w:t>
      </w:r>
      <w:r>
        <w:rPr>
          <w:sz w:val="18"/>
        </w:rPr>
        <w:t>DERECHOS</w:t>
      </w:r>
      <w:r>
        <w:rPr>
          <w:spacing w:val="2"/>
          <w:sz w:val="18"/>
        </w:rPr>
        <w:t xml:space="preserve"> </w:t>
      </w:r>
      <w:r>
        <w:rPr>
          <w:sz w:val="18"/>
        </w:rPr>
        <w:t>HUMANOS</w:t>
      </w:r>
      <w:r>
        <w:rPr>
          <w:spacing w:val="2"/>
          <w:sz w:val="18"/>
        </w:rPr>
        <w:t xml:space="preserve"> </w:t>
      </w:r>
      <w:r>
        <w:rPr>
          <w:sz w:val="18"/>
        </w:rPr>
        <w:t>COMO</w:t>
      </w:r>
      <w:r>
        <w:rPr>
          <w:spacing w:val="2"/>
          <w:sz w:val="18"/>
        </w:rPr>
        <w:t xml:space="preserve"> </w:t>
      </w:r>
      <w:r>
        <w:rPr>
          <w:sz w:val="18"/>
        </w:rPr>
        <w:t>NÚCLEO</w:t>
      </w:r>
      <w:r>
        <w:rPr>
          <w:spacing w:val="2"/>
          <w:sz w:val="18"/>
        </w:rPr>
        <w:t xml:space="preserve"> </w:t>
      </w:r>
      <w:r>
        <w:rPr>
          <w:spacing w:val="-2"/>
          <w:sz w:val="18"/>
        </w:rPr>
        <w:t>COMÚN</w:t>
      </w:r>
      <w:r>
        <w:rPr>
          <w:spacing w:val="-2"/>
          <w:sz w:val="23"/>
        </w:rPr>
        <w:t>.</w:t>
      </w:r>
    </w:p>
    <w:p w14:paraId="2793F5F2" w14:textId="77777777" w:rsidR="00EC19CA" w:rsidRDefault="00E75443">
      <w:pPr>
        <w:pStyle w:val="Textoindependiente"/>
        <w:spacing w:before="196" w:line="276" w:lineRule="auto"/>
        <w:ind w:right="141"/>
      </w:pPr>
      <w:r>
        <w:t>Otro resultado relevante consiste en la identificación de los derechos humanos com</w:t>
      </w:r>
      <w:r>
        <w:t>o el elemento con mayor capacidad de articulación entre los distintos modelos regulatorios.</w:t>
      </w:r>
    </w:p>
    <w:p w14:paraId="724F1649" w14:textId="77777777" w:rsidR="00EC19CA" w:rsidRDefault="00E75443">
      <w:pPr>
        <w:pStyle w:val="Textoindependiente"/>
        <w:spacing w:before="120" w:line="278" w:lineRule="auto"/>
        <w:ind w:right="138"/>
      </w:pPr>
      <w:r>
        <w:t>La convergencia entre UNESCO, Naciones Unidas y el Consejo de Europa demuestra que la protección de la dignidad, los derechos fundamentales</w:t>
      </w:r>
      <w:r>
        <w:rPr>
          <w:spacing w:val="-6"/>
        </w:rPr>
        <w:t xml:space="preserve"> </w:t>
      </w:r>
      <w:r>
        <w:t>y</w:t>
      </w:r>
      <w:r>
        <w:rPr>
          <w:spacing w:val="-6"/>
        </w:rPr>
        <w:t xml:space="preserve"> </w:t>
      </w:r>
      <w:r>
        <w:t>el</w:t>
      </w:r>
      <w:r>
        <w:rPr>
          <w:spacing w:val="-6"/>
        </w:rPr>
        <w:t xml:space="preserve"> </w:t>
      </w:r>
      <w:r>
        <w:t>Estado</w:t>
      </w:r>
      <w:r>
        <w:rPr>
          <w:spacing w:val="-6"/>
        </w:rPr>
        <w:t xml:space="preserve"> </w:t>
      </w:r>
      <w:r>
        <w:t>de</w:t>
      </w:r>
      <w:r>
        <w:rPr>
          <w:spacing w:val="-6"/>
        </w:rPr>
        <w:t xml:space="preserve"> </w:t>
      </w:r>
      <w:r>
        <w:t>Derecho</w:t>
      </w:r>
      <w:r>
        <w:rPr>
          <w:spacing w:val="-6"/>
        </w:rPr>
        <w:t xml:space="preserve"> </w:t>
      </w:r>
      <w:r>
        <w:t>p</w:t>
      </w:r>
      <w:r>
        <w:t>uede</w:t>
      </w:r>
      <w:r>
        <w:rPr>
          <w:spacing w:val="-6"/>
        </w:rPr>
        <w:t xml:space="preserve"> </w:t>
      </w:r>
      <w:r>
        <w:t>constituir</w:t>
      </w:r>
      <w:r>
        <w:rPr>
          <w:spacing w:val="-6"/>
        </w:rPr>
        <w:t xml:space="preserve"> </w:t>
      </w:r>
      <w:r>
        <w:t>una</w:t>
      </w:r>
      <w:r>
        <w:rPr>
          <w:spacing w:val="-6"/>
        </w:rPr>
        <w:t xml:space="preserve"> </w:t>
      </w:r>
      <w:r>
        <w:t>base</w:t>
      </w:r>
      <w:r>
        <w:rPr>
          <w:spacing w:val="-6"/>
        </w:rPr>
        <w:t xml:space="preserve"> </w:t>
      </w:r>
      <w:r>
        <w:t>común para futuras iniciativas internacionales.</w:t>
      </w:r>
    </w:p>
    <w:p w14:paraId="5F16D266" w14:textId="77777777" w:rsidR="00EC19CA" w:rsidRDefault="00E75443">
      <w:pPr>
        <w:pStyle w:val="Textoindependiente"/>
        <w:spacing w:before="112" w:line="276" w:lineRule="auto"/>
        <w:ind w:right="141"/>
      </w:pPr>
      <w:r>
        <w:t xml:space="preserve">Esta coincidencia resulta jurídicamente relevante porque permite construir estándares mínimos sin exigir que todos los Estados adopten exactamente la misma legislación administrativa </w:t>
      </w:r>
      <w:r>
        <w:t>o tecnológica.</w:t>
      </w:r>
    </w:p>
    <w:p w14:paraId="099271D8" w14:textId="77777777" w:rsidR="00EC19CA" w:rsidRDefault="00E75443">
      <w:pPr>
        <w:pStyle w:val="Prrafodelista"/>
        <w:numPr>
          <w:ilvl w:val="1"/>
          <w:numId w:val="3"/>
        </w:numPr>
        <w:tabs>
          <w:tab w:val="left" w:pos="523"/>
        </w:tabs>
        <w:spacing w:before="240"/>
        <w:ind w:left="523" w:hanging="383"/>
        <w:rPr>
          <w:sz w:val="23"/>
        </w:rPr>
      </w:pPr>
      <w:r>
        <w:rPr>
          <w:sz w:val="18"/>
        </w:rPr>
        <w:t>NECESIDAD</w:t>
      </w:r>
      <w:r>
        <w:rPr>
          <w:spacing w:val="-9"/>
          <w:sz w:val="18"/>
        </w:rPr>
        <w:t xml:space="preserve"> </w:t>
      </w:r>
      <w:r>
        <w:rPr>
          <w:sz w:val="18"/>
        </w:rPr>
        <w:t>DE</w:t>
      </w:r>
      <w:r>
        <w:rPr>
          <w:spacing w:val="-7"/>
          <w:sz w:val="18"/>
        </w:rPr>
        <w:t xml:space="preserve"> </w:t>
      </w:r>
      <w:r>
        <w:rPr>
          <w:sz w:val="18"/>
        </w:rPr>
        <w:t>COOPERACIÓN</w:t>
      </w:r>
      <w:r>
        <w:rPr>
          <w:spacing w:val="-6"/>
          <w:sz w:val="18"/>
        </w:rPr>
        <w:t xml:space="preserve"> </w:t>
      </w:r>
      <w:r>
        <w:rPr>
          <w:sz w:val="18"/>
        </w:rPr>
        <w:t>Y</w:t>
      </w:r>
      <w:r>
        <w:rPr>
          <w:spacing w:val="-7"/>
          <w:sz w:val="18"/>
        </w:rPr>
        <w:t xml:space="preserve"> </w:t>
      </w:r>
      <w:r>
        <w:rPr>
          <w:sz w:val="18"/>
        </w:rPr>
        <w:t>FORTALECIMIENTO</w:t>
      </w:r>
      <w:r>
        <w:rPr>
          <w:spacing w:val="-7"/>
          <w:sz w:val="18"/>
        </w:rPr>
        <w:t xml:space="preserve"> </w:t>
      </w:r>
      <w:r>
        <w:rPr>
          <w:sz w:val="18"/>
        </w:rPr>
        <w:t>DE</w:t>
      </w:r>
      <w:r>
        <w:rPr>
          <w:spacing w:val="-6"/>
          <w:sz w:val="18"/>
        </w:rPr>
        <w:t xml:space="preserve"> </w:t>
      </w:r>
      <w:r>
        <w:rPr>
          <w:spacing w:val="-2"/>
          <w:sz w:val="18"/>
        </w:rPr>
        <w:t>CAPACIDADES</w:t>
      </w:r>
      <w:r>
        <w:rPr>
          <w:spacing w:val="-2"/>
          <w:sz w:val="23"/>
        </w:rPr>
        <w:t>.</w:t>
      </w:r>
    </w:p>
    <w:p w14:paraId="52261654" w14:textId="77777777" w:rsidR="00EC19CA" w:rsidRDefault="00E75443">
      <w:pPr>
        <w:pStyle w:val="Textoindependiente"/>
        <w:spacing w:before="201" w:line="273" w:lineRule="auto"/>
        <w:ind w:right="141"/>
      </w:pPr>
      <w:r>
        <w:t>Finalmente, el análisis demuestra que la gobernanza internacional no puede limitarse a la elaboración de normas. Las diferencias existentes en</w:t>
      </w:r>
      <w:r>
        <w:rPr>
          <w:spacing w:val="80"/>
        </w:rPr>
        <w:t xml:space="preserve"> </w:t>
      </w:r>
      <w:r>
        <w:t>infraestructura,</w:t>
      </w:r>
      <w:r>
        <w:rPr>
          <w:spacing w:val="80"/>
        </w:rPr>
        <w:t xml:space="preserve"> </w:t>
      </w:r>
      <w:r>
        <w:t>conocimiento</w:t>
      </w:r>
      <w:r>
        <w:rPr>
          <w:spacing w:val="80"/>
        </w:rPr>
        <w:t xml:space="preserve"> </w:t>
      </w:r>
      <w:r>
        <w:t>técnico</w:t>
      </w:r>
      <w:r>
        <w:rPr>
          <w:spacing w:val="80"/>
        </w:rPr>
        <w:t xml:space="preserve"> </w:t>
      </w:r>
      <w:r>
        <w:t>y</w:t>
      </w:r>
      <w:r>
        <w:rPr>
          <w:spacing w:val="80"/>
        </w:rPr>
        <w:t xml:space="preserve"> </w:t>
      </w:r>
      <w:r>
        <w:t>capacidad</w:t>
      </w:r>
      <w:r>
        <w:rPr>
          <w:spacing w:val="80"/>
        </w:rPr>
        <w:t xml:space="preserve"> </w:t>
      </w:r>
      <w:r>
        <w:t>institucional</w:t>
      </w:r>
    </w:p>
    <w:p w14:paraId="1A336A76" w14:textId="77777777" w:rsidR="00EC19CA" w:rsidRDefault="00EC19CA">
      <w:pPr>
        <w:pStyle w:val="Textoindependiente"/>
        <w:spacing w:line="273" w:lineRule="auto"/>
        <w:sectPr w:rsidR="00EC19CA">
          <w:pgSz w:w="8850" w:h="13250"/>
          <w:pgMar w:top="1060" w:right="992" w:bottom="280" w:left="992" w:header="720" w:footer="720" w:gutter="0"/>
          <w:cols w:space="720"/>
        </w:sectPr>
      </w:pPr>
    </w:p>
    <w:p w14:paraId="4187F175" w14:textId="77777777" w:rsidR="00EC19CA" w:rsidRDefault="00E75443">
      <w:pPr>
        <w:pStyle w:val="Textoindependiente"/>
        <w:spacing w:line="278" w:lineRule="auto"/>
        <w:ind w:right="143"/>
      </w:pPr>
      <w:r>
        <w:lastRenderedPageBreak/>
        <w:t xml:space="preserve">pueden afectar la posibilidad real de implementar estándares </w:t>
      </w:r>
      <w:r>
        <w:rPr>
          <w:spacing w:val="-2"/>
        </w:rPr>
        <w:t>internacionales.</w:t>
      </w:r>
    </w:p>
    <w:p w14:paraId="1746DF03" w14:textId="77777777" w:rsidR="00EC19CA" w:rsidRDefault="00E75443">
      <w:pPr>
        <w:pStyle w:val="Textoindependiente"/>
        <w:spacing w:before="116" w:line="276" w:lineRule="auto"/>
        <w:ind w:right="140"/>
      </w:pPr>
      <w:r>
        <w:t xml:space="preserve">El informe </w:t>
      </w:r>
      <w:proofErr w:type="spellStart"/>
      <w:r>
        <w:t>Governing</w:t>
      </w:r>
      <w:proofErr w:type="spellEnd"/>
      <w:r>
        <w:t xml:space="preserve"> AI </w:t>
      </w:r>
      <w:proofErr w:type="spellStart"/>
      <w:r>
        <w:t>for</w:t>
      </w:r>
      <w:proofErr w:type="spellEnd"/>
      <w:r>
        <w:t xml:space="preserve"> </w:t>
      </w:r>
      <w:proofErr w:type="spellStart"/>
      <w:r>
        <w:t>Humanity</w:t>
      </w:r>
      <w:proofErr w:type="spellEnd"/>
      <w:r>
        <w:t xml:space="preserve"> destaca precisamente la necesidad de una arquitectura global más inclusiva y de mecanismos que permitan ampliar la participación de los Estados en la gobernanza de la inteligencia artificial (</w:t>
      </w:r>
      <w:proofErr w:type="spellStart"/>
      <w:r>
        <w:t>United</w:t>
      </w:r>
      <w:proofErr w:type="spellEnd"/>
      <w:r>
        <w:t xml:space="preserve"> </w:t>
      </w:r>
      <w:proofErr w:type="spellStart"/>
      <w:r>
        <w:t>Nations</w:t>
      </w:r>
      <w:proofErr w:type="spellEnd"/>
      <w:r>
        <w:t xml:space="preserve"> High-</w:t>
      </w:r>
      <w:proofErr w:type="spellStart"/>
      <w:r>
        <w:t>level</w:t>
      </w:r>
      <w:proofErr w:type="spellEnd"/>
      <w:r>
        <w:t xml:space="preserve"> </w:t>
      </w:r>
      <w:proofErr w:type="spellStart"/>
      <w:r>
        <w:t>Advisory</w:t>
      </w:r>
      <w:proofErr w:type="spellEnd"/>
      <w:r>
        <w:t xml:space="preserve"> </w:t>
      </w:r>
      <w:proofErr w:type="spellStart"/>
      <w:r>
        <w:t>Body</w:t>
      </w:r>
      <w:proofErr w:type="spellEnd"/>
      <w:r>
        <w:t xml:space="preserve"> </w:t>
      </w:r>
      <w:proofErr w:type="spellStart"/>
      <w:r>
        <w:t>on</w:t>
      </w:r>
      <w:proofErr w:type="spellEnd"/>
      <w:r>
        <w:t xml:space="preserve"> Artificial </w:t>
      </w:r>
      <w:proofErr w:type="spellStart"/>
      <w:r>
        <w:t>Intellige</w:t>
      </w:r>
      <w:r>
        <w:t>nce</w:t>
      </w:r>
      <w:proofErr w:type="spellEnd"/>
      <w:r>
        <w:t>, FGFH).</w:t>
      </w:r>
    </w:p>
    <w:p w14:paraId="14E630D6" w14:textId="77777777" w:rsidR="00EC19CA" w:rsidRDefault="00EC19CA">
      <w:pPr>
        <w:pStyle w:val="Textoindependiente"/>
        <w:spacing w:before="96"/>
        <w:ind w:left="0"/>
        <w:jc w:val="left"/>
      </w:pPr>
    </w:p>
    <w:p w14:paraId="5DEC44CD" w14:textId="77777777" w:rsidR="00EC19CA" w:rsidRDefault="00E75443">
      <w:pPr>
        <w:pStyle w:val="Ttulo1"/>
        <w:numPr>
          <w:ilvl w:val="0"/>
          <w:numId w:val="3"/>
        </w:numPr>
        <w:tabs>
          <w:tab w:val="left" w:pos="383"/>
        </w:tabs>
      </w:pPr>
      <w:r>
        <w:rPr>
          <w:spacing w:val="-2"/>
        </w:rPr>
        <w:t>DISCUSIÓN</w:t>
      </w:r>
    </w:p>
    <w:p w14:paraId="4C185C1E" w14:textId="77777777" w:rsidR="00EC19CA" w:rsidRDefault="00E75443">
      <w:pPr>
        <w:pStyle w:val="Textoindependiente"/>
        <w:spacing w:before="243" w:line="276" w:lineRule="auto"/>
        <w:ind w:right="140"/>
      </w:pPr>
      <w:r>
        <w:t>Los resultados permiten sostener que la principal dificultad de la gobernanza internacional de la inteligencia artificial no consiste en la inexistencia de iniciativas regulatorias, sino en la fragmentación y falta de articulación en</w:t>
      </w:r>
      <w:r>
        <w:t>tre ellas.</w:t>
      </w:r>
    </w:p>
    <w:p w14:paraId="5D92B719" w14:textId="77777777" w:rsidR="00EC19CA" w:rsidRDefault="00E75443">
      <w:pPr>
        <w:pStyle w:val="Textoindependiente"/>
        <w:spacing w:before="117" w:line="276" w:lineRule="auto"/>
        <w:ind w:right="142"/>
      </w:pPr>
      <w:r>
        <w:rPr>
          <w:spacing w:val="-2"/>
        </w:rPr>
        <w:t>Esta</w:t>
      </w:r>
      <w:r>
        <w:rPr>
          <w:spacing w:val="-8"/>
        </w:rPr>
        <w:t xml:space="preserve"> </w:t>
      </w:r>
      <w:r>
        <w:rPr>
          <w:spacing w:val="-2"/>
        </w:rPr>
        <w:t>conclusión</w:t>
      </w:r>
      <w:r>
        <w:rPr>
          <w:spacing w:val="-8"/>
        </w:rPr>
        <w:t xml:space="preserve"> </w:t>
      </w:r>
      <w:r>
        <w:rPr>
          <w:spacing w:val="-2"/>
        </w:rPr>
        <w:t>coincide</w:t>
      </w:r>
      <w:r>
        <w:rPr>
          <w:spacing w:val="-8"/>
        </w:rPr>
        <w:t xml:space="preserve"> </w:t>
      </w:r>
      <w:r>
        <w:rPr>
          <w:spacing w:val="-2"/>
        </w:rPr>
        <w:t>con</w:t>
      </w:r>
      <w:r>
        <w:rPr>
          <w:spacing w:val="-8"/>
        </w:rPr>
        <w:t xml:space="preserve"> </w:t>
      </w:r>
      <w:r>
        <w:rPr>
          <w:spacing w:val="-2"/>
        </w:rPr>
        <w:t>Roberts</w:t>
      </w:r>
      <w:r>
        <w:rPr>
          <w:spacing w:val="-8"/>
        </w:rPr>
        <w:t xml:space="preserve"> </w:t>
      </w:r>
      <w:r>
        <w:rPr>
          <w:spacing w:val="-2"/>
        </w:rPr>
        <w:t>et</w:t>
      </w:r>
      <w:r>
        <w:rPr>
          <w:spacing w:val="-8"/>
        </w:rPr>
        <w:t xml:space="preserve"> </w:t>
      </w:r>
      <w:r>
        <w:rPr>
          <w:spacing w:val="-2"/>
        </w:rPr>
        <w:t>al.</w:t>
      </w:r>
      <w:r>
        <w:rPr>
          <w:spacing w:val="-8"/>
        </w:rPr>
        <w:t xml:space="preserve"> </w:t>
      </w:r>
      <w:r>
        <w:rPr>
          <w:spacing w:val="-2"/>
        </w:rPr>
        <w:t>(FGFH),</w:t>
      </w:r>
      <w:r>
        <w:rPr>
          <w:spacing w:val="-8"/>
        </w:rPr>
        <w:t xml:space="preserve"> </w:t>
      </w:r>
      <w:r>
        <w:rPr>
          <w:spacing w:val="-2"/>
        </w:rPr>
        <w:t>quienes</w:t>
      </w:r>
      <w:r>
        <w:rPr>
          <w:spacing w:val="-8"/>
        </w:rPr>
        <w:t xml:space="preserve"> </w:t>
      </w:r>
      <w:r>
        <w:rPr>
          <w:spacing w:val="-2"/>
        </w:rPr>
        <w:t xml:space="preserve">caracterizan </w:t>
      </w:r>
      <w:r>
        <w:t>el escenario internacional de gobernanza de la IA como una estructura compleja</w:t>
      </w:r>
      <w:r>
        <w:rPr>
          <w:spacing w:val="-7"/>
        </w:rPr>
        <w:t xml:space="preserve"> </w:t>
      </w:r>
      <w:r>
        <w:t>en</w:t>
      </w:r>
      <w:r>
        <w:rPr>
          <w:spacing w:val="-7"/>
        </w:rPr>
        <w:t xml:space="preserve"> </w:t>
      </w:r>
      <w:r>
        <w:t>la</w:t>
      </w:r>
      <w:r>
        <w:rPr>
          <w:spacing w:val="-7"/>
        </w:rPr>
        <w:t xml:space="preserve"> </w:t>
      </w:r>
      <w:r>
        <w:t>que</w:t>
      </w:r>
      <w:r>
        <w:rPr>
          <w:spacing w:val="-7"/>
        </w:rPr>
        <w:t xml:space="preserve"> </w:t>
      </w:r>
      <w:r>
        <w:t>participan</w:t>
      </w:r>
      <w:r>
        <w:rPr>
          <w:spacing w:val="-7"/>
        </w:rPr>
        <w:t xml:space="preserve"> </w:t>
      </w:r>
      <w:r>
        <w:t>múltiples</w:t>
      </w:r>
      <w:r>
        <w:rPr>
          <w:spacing w:val="-7"/>
        </w:rPr>
        <w:t xml:space="preserve"> </w:t>
      </w:r>
      <w:r>
        <w:t>instituciones</w:t>
      </w:r>
      <w:r>
        <w:rPr>
          <w:spacing w:val="-7"/>
        </w:rPr>
        <w:t xml:space="preserve"> </w:t>
      </w:r>
      <w:r>
        <w:t>y</w:t>
      </w:r>
      <w:r>
        <w:rPr>
          <w:spacing w:val="-7"/>
        </w:rPr>
        <w:t xml:space="preserve"> </w:t>
      </w:r>
      <w:r>
        <w:t>mecanismos</w:t>
      </w:r>
      <w:r>
        <w:rPr>
          <w:spacing w:val="-7"/>
        </w:rPr>
        <w:t xml:space="preserve"> </w:t>
      </w:r>
      <w:r>
        <w:t xml:space="preserve">con distintos niveles de autoridad </w:t>
      </w:r>
      <w:r>
        <w:t>y coordinación.</w:t>
      </w:r>
    </w:p>
    <w:p w14:paraId="60872FDE" w14:textId="77777777" w:rsidR="00EC19CA" w:rsidRDefault="00E75443">
      <w:pPr>
        <w:pStyle w:val="Textoindependiente"/>
        <w:spacing w:before="123" w:line="276" w:lineRule="auto"/>
        <w:ind w:right="137"/>
      </w:pPr>
      <w:r>
        <w:t>La comparación de los instrumentos estudiados demuestra, sin embargo, que la fragmentación no implica necesariamente incompatibilidad. Por el contrario, existe un conjunto de principios suficientemente compartidos que podrían servir como pu</w:t>
      </w:r>
      <w:r>
        <w:t>nto de partida para una arquitectura internacional progresiva.</w:t>
      </w:r>
    </w:p>
    <w:p w14:paraId="3D44462B" w14:textId="77777777" w:rsidR="00EC19CA" w:rsidRDefault="00E75443">
      <w:pPr>
        <w:pStyle w:val="Textoindependiente"/>
        <w:spacing w:before="116" w:line="276" w:lineRule="auto"/>
        <w:ind w:right="139"/>
      </w:pPr>
      <w:r>
        <w:t>La protección de los derechos humanos constituye el elemento con mayor potencial de convergencia. La UNESCO, Naciones Unidas y el Consejo de Europa han desarrollado aproximaciones que colocan l</w:t>
      </w:r>
      <w:r>
        <w:t>os derechos fundamentales en el centro de la gobernanza de la IA. Esto permite sostener que una futura regulación internacional debería adoptar los derechos humanos como límite jurídico transversal a cualquier utilización de sistemas de inteligencia artifi</w:t>
      </w:r>
      <w:r>
        <w:t>cial.</w:t>
      </w:r>
    </w:p>
    <w:p w14:paraId="7F44B662" w14:textId="77777777" w:rsidR="00EC19CA" w:rsidRDefault="00E75443">
      <w:pPr>
        <w:pStyle w:val="Textoindependiente"/>
        <w:spacing w:before="122" w:line="276" w:lineRule="auto"/>
        <w:ind w:right="142"/>
      </w:pPr>
      <w:r>
        <w:t>El segundo elemento relevante es la interoperabilidad normativa. La creación</w:t>
      </w:r>
      <w:r>
        <w:rPr>
          <w:spacing w:val="-3"/>
        </w:rPr>
        <w:t xml:space="preserve"> </w:t>
      </w:r>
      <w:r>
        <w:t>de</w:t>
      </w:r>
      <w:r>
        <w:rPr>
          <w:spacing w:val="-3"/>
        </w:rPr>
        <w:t xml:space="preserve"> </w:t>
      </w:r>
      <w:r>
        <w:t>una</w:t>
      </w:r>
      <w:r>
        <w:rPr>
          <w:spacing w:val="-3"/>
        </w:rPr>
        <w:t xml:space="preserve"> </w:t>
      </w:r>
      <w:r>
        <w:t>regulación</w:t>
      </w:r>
      <w:r>
        <w:rPr>
          <w:spacing w:val="-3"/>
        </w:rPr>
        <w:t xml:space="preserve"> </w:t>
      </w:r>
      <w:r>
        <w:t>universal</w:t>
      </w:r>
      <w:r>
        <w:rPr>
          <w:spacing w:val="-3"/>
        </w:rPr>
        <w:t xml:space="preserve"> </w:t>
      </w:r>
      <w:r>
        <w:t>completamente</w:t>
      </w:r>
      <w:r>
        <w:rPr>
          <w:spacing w:val="-3"/>
        </w:rPr>
        <w:t xml:space="preserve"> </w:t>
      </w:r>
      <w:r>
        <w:t>uniforme</w:t>
      </w:r>
      <w:r>
        <w:rPr>
          <w:spacing w:val="-3"/>
        </w:rPr>
        <w:t xml:space="preserve"> </w:t>
      </w:r>
      <w:r>
        <w:t>presenta dificultades derivadas de las diferencias entre sistemas jurídicos, capacidades</w:t>
      </w:r>
      <w:r>
        <w:rPr>
          <w:spacing w:val="80"/>
          <w:w w:val="150"/>
        </w:rPr>
        <w:t xml:space="preserve"> </w:t>
      </w:r>
      <w:r>
        <w:t>económicas</w:t>
      </w:r>
      <w:r>
        <w:rPr>
          <w:spacing w:val="80"/>
          <w:w w:val="150"/>
        </w:rPr>
        <w:t xml:space="preserve"> </w:t>
      </w:r>
      <w:r>
        <w:t>y</w:t>
      </w:r>
      <w:r>
        <w:rPr>
          <w:spacing w:val="80"/>
          <w:w w:val="150"/>
        </w:rPr>
        <w:t xml:space="preserve"> </w:t>
      </w:r>
      <w:r>
        <w:t>prioridades</w:t>
      </w:r>
      <w:r>
        <w:rPr>
          <w:spacing w:val="80"/>
          <w:w w:val="150"/>
        </w:rPr>
        <w:t xml:space="preserve"> </w:t>
      </w:r>
      <w:r>
        <w:t>políticas.</w:t>
      </w:r>
      <w:r>
        <w:rPr>
          <w:spacing w:val="80"/>
          <w:w w:val="150"/>
        </w:rPr>
        <w:t xml:space="preserve"> </w:t>
      </w:r>
      <w:r>
        <w:t>Por</w:t>
      </w:r>
      <w:r>
        <w:rPr>
          <w:spacing w:val="80"/>
          <w:w w:val="150"/>
        </w:rPr>
        <w:t xml:space="preserve"> </w:t>
      </w:r>
      <w:r>
        <w:t>ello,</w:t>
      </w:r>
      <w:r>
        <w:rPr>
          <w:spacing w:val="80"/>
          <w:w w:val="150"/>
        </w:rPr>
        <w:t xml:space="preserve"> </w:t>
      </w:r>
      <w:r>
        <w:t>una</w:t>
      </w:r>
    </w:p>
    <w:p w14:paraId="0A15DAD8" w14:textId="77777777" w:rsidR="00EC19CA" w:rsidRDefault="00EC19CA">
      <w:pPr>
        <w:pStyle w:val="Textoindependiente"/>
        <w:spacing w:line="276" w:lineRule="auto"/>
        <w:sectPr w:rsidR="00EC19CA">
          <w:pgSz w:w="8850" w:h="13250"/>
          <w:pgMar w:top="1060" w:right="992" w:bottom="280" w:left="992" w:header="720" w:footer="720" w:gutter="0"/>
          <w:cols w:space="720"/>
        </w:sectPr>
      </w:pPr>
    </w:p>
    <w:p w14:paraId="03795316" w14:textId="77777777" w:rsidR="00EC19CA" w:rsidRDefault="00E75443">
      <w:pPr>
        <w:pStyle w:val="Textoindependiente"/>
        <w:spacing w:line="276" w:lineRule="auto"/>
        <w:ind w:right="143"/>
      </w:pPr>
      <w:r>
        <w:lastRenderedPageBreak/>
        <w:t>alternativa más viable consistiría en establecer estándares mínimos comunes</w:t>
      </w:r>
      <w:r>
        <w:rPr>
          <w:spacing w:val="-5"/>
        </w:rPr>
        <w:t xml:space="preserve"> </w:t>
      </w:r>
      <w:r>
        <w:t>que</w:t>
      </w:r>
      <w:r>
        <w:rPr>
          <w:spacing w:val="-5"/>
        </w:rPr>
        <w:t xml:space="preserve"> </w:t>
      </w:r>
      <w:r>
        <w:t>puedan</w:t>
      </w:r>
      <w:r>
        <w:rPr>
          <w:spacing w:val="-5"/>
        </w:rPr>
        <w:t xml:space="preserve"> </w:t>
      </w:r>
      <w:r>
        <w:t>ser</w:t>
      </w:r>
      <w:r>
        <w:rPr>
          <w:spacing w:val="-5"/>
        </w:rPr>
        <w:t xml:space="preserve"> </w:t>
      </w:r>
      <w:r>
        <w:t>incorporados</w:t>
      </w:r>
      <w:r>
        <w:rPr>
          <w:spacing w:val="-5"/>
        </w:rPr>
        <w:t xml:space="preserve"> </w:t>
      </w:r>
      <w:r>
        <w:t>mediante</w:t>
      </w:r>
      <w:r>
        <w:rPr>
          <w:spacing w:val="-5"/>
        </w:rPr>
        <w:t xml:space="preserve"> </w:t>
      </w:r>
      <w:r>
        <w:t>diferentes</w:t>
      </w:r>
      <w:r>
        <w:rPr>
          <w:spacing w:val="-5"/>
        </w:rPr>
        <w:t xml:space="preserve"> </w:t>
      </w:r>
      <w:r>
        <w:t>mecanismos nacionales y regionales.</w:t>
      </w:r>
    </w:p>
    <w:p w14:paraId="60751276" w14:textId="77777777" w:rsidR="00EC19CA" w:rsidRDefault="00E75443">
      <w:pPr>
        <w:pStyle w:val="Textoindependiente"/>
        <w:spacing w:before="119" w:line="276" w:lineRule="auto"/>
        <w:ind w:right="138"/>
      </w:pPr>
      <w:r>
        <w:t>En este sentido, el modelo de la Unión Europea puede apor</w:t>
      </w:r>
      <w:r>
        <w:t>tar experiencias regulatorias relevantes, particularmente en materia de clasificación de riesgos y obligaciones diferenciadas. No obstante, su legislación no debería ser trasladada automáticamente al ámbito internacional, debido a que responde a una estruc</w:t>
      </w:r>
      <w:r>
        <w:t xml:space="preserve">tura jurídica regional </w:t>
      </w:r>
      <w:r>
        <w:rPr>
          <w:spacing w:val="-2"/>
        </w:rPr>
        <w:t>específica.</w:t>
      </w:r>
    </w:p>
    <w:p w14:paraId="06521DCD" w14:textId="77777777" w:rsidR="00EC19CA" w:rsidRDefault="00E75443">
      <w:pPr>
        <w:pStyle w:val="Textoindependiente"/>
        <w:spacing w:before="124" w:line="276" w:lineRule="auto"/>
        <w:ind w:right="139"/>
      </w:pPr>
      <w:r>
        <w:t>De manera similar, los principios de la OCDE y la Recomendación de UNESCO pueden contribuir a la construcción de consensos internacionales porque presentan un nivel de generalidad suficiente para ser adaptados a diferente</w:t>
      </w:r>
      <w:r>
        <w:t>s ordenamientos.</w:t>
      </w:r>
    </w:p>
    <w:p w14:paraId="174DE84A" w14:textId="77777777" w:rsidR="00EC19CA" w:rsidRDefault="00E75443">
      <w:pPr>
        <w:pStyle w:val="Textoindependiente"/>
        <w:spacing w:before="118" w:line="276" w:lineRule="auto"/>
        <w:ind w:right="137"/>
      </w:pPr>
      <w:r>
        <w:t>El tercer elemento es la cooperación institucional. La complejidad tecnológica de la IA hace poco realista pensar que una única organización internacional pueda concentrar todas las funciones regulatorias. La arquitectura futura debería co</w:t>
      </w:r>
      <w:r>
        <w:t>mbinar organismos internacionales, autoridades nacionales, instituciones científicas y actores privados bajo reglas de coordinación y rendición de cuentas.</w:t>
      </w:r>
    </w:p>
    <w:p w14:paraId="22D515CF" w14:textId="77777777" w:rsidR="00EC19CA" w:rsidRDefault="00E75443">
      <w:pPr>
        <w:pStyle w:val="Textoindependiente"/>
        <w:spacing w:before="119" w:line="276" w:lineRule="auto"/>
        <w:ind w:right="138"/>
      </w:pPr>
      <w:r>
        <w:t xml:space="preserve">Finalmente, la gobernanza internacional debe incorporar la dimensión de desigualdad tecnológica. La </w:t>
      </w:r>
      <w:r>
        <w:t>elaboración de estándares sin mecanismos de fortalecimiento de capacidades podría generar una regulación formalmente común pero materialmente desigual. Los Estados con menores capacidades podrían encontrarse obligados a aplicar estándares que no participar</w:t>
      </w:r>
      <w:r>
        <w:t>on suficientemente en construir y para cuya implementación carecen de infraestructura o recursos.</w:t>
      </w:r>
    </w:p>
    <w:p w14:paraId="63B25F25" w14:textId="77777777" w:rsidR="00EC19CA" w:rsidRDefault="00E75443">
      <w:pPr>
        <w:pStyle w:val="Textoindependiente"/>
        <w:spacing w:before="122" w:line="273" w:lineRule="auto"/>
        <w:ind w:right="144"/>
      </w:pPr>
      <w:r>
        <w:t>En consecuencia, la gobernanza internacional de la IA requiere combinar armonización jurídica, cooperación institucional y desarrollo de capacidades.</w:t>
      </w:r>
    </w:p>
    <w:p w14:paraId="4CF8EA14" w14:textId="77777777" w:rsidR="00EC19CA" w:rsidRDefault="00EC19CA">
      <w:pPr>
        <w:pStyle w:val="Textoindependiente"/>
        <w:spacing w:before="103"/>
        <w:ind w:left="0"/>
        <w:jc w:val="left"/>
      </w:pPr>
    </w:p>
    <w:p w14:paraId="0438E0BA" w14:textId="77777777" w:rsidR="00EC19CA" w:rsidRDefault="00E75443">
      <w:pPr>
        <w:pStyle w:val="Ttulo1"/>
        <w:numPr>
          <w:ilvl w:val="0"/>
          <w:numId w:val="3"/>
        </w:numPr>
        <w:tabs>
          <w:tab w:val="left" w:pos="383"/>
        </w:tabs>
        <w:spacing w:before="1"/>
      </w:pPr>
      <w:r>
        <w:rPr>
          <w:spacing w:val="-2"/>
        </w:rPr>
        <w:t>CONCLUSIONES</w:t>
      </w:r>
    </w:p>
    <w:p w14:paraId="151202C9" w14:textId="250C9815" w:rsidR="00EC19CA" w:rsidRPr="00E75443" w:rsidRDefault="00E75443">
      <w:pPr>
        <w:pStyle w:val="Textoindependiente"/>
        <w:spacing w:before="242" w:line="273" w:lineRule="auto"/>
        <w:ind w:right="141"/>
        <w:rPr>
          <w:rFonts w:eastAsiaTheme="minorHAnsi" w:cstheme="minorBidi"/>
          <w:spacing w:val="1"/>
          <w:szCs w:val="22"/>
          <w:lang w:val="es-EC"/>
          <w14:numForm w14:val="oldStyle"/>
        </w:rPr>
      </w:pPr>
      <w:r w:rsidRPr="00E75443">
        <w:rPr>
          <w:rFonts w:eastAsiaTheme="minorHAnsi" w:cstheme="minorBidi"/>
          <w:spacing w:val="1"/>
          <w:szCs w:val="22"/>
          <w:lang w:val="es-EC"/>
          <w14:numForm w14:val="oldStyle"/>
        </w:rPr>
        <w:t>La investigación permite concluir que la inteligencia artificial constituye un desafío jurídico de naturaleza esencialmente</w:t>
      </w:r>
    </w:p>
    <w:p w14:paraId="6F0189DF" w14:textId="77777777" w:rsidR="00EC19CA" w:rsidRPr="00E75443" w:rsidRDefault="00EC19CA">
      <w:pPr>
        <w:pStyle w:val="Textoindependiente"/>
        <w:spacing w:line="273" w:lineRule="auto"/>
        <w:rPr>
          <w:rFonts w:eastAsiaTheme="minorHAnsi" w:cstheme="minorBidi"/>
          <w:spacing w:val="1"/>
          <w:szCs w:val="22"/>
          <w:lang w:val="es-EC"/>
          <w14:numForm w14:val="oldStyle"/>
        </w:rPr>
        <w:sectPr w:rsidR="00EC19CA" w:rsidRPr="00E75443">
          <w:pgSz w:w="8850" w:h="13250"/>
          <w:pgMar w:top="1060" w:right="992" w:bottom="280" w:left="992" w:header="720" w:footer="720" w:gutter="0"/>
          <w:cols w:space="720"/>
        </w:sectPr>
      </w:pPr>
    </w:p>
    <w:p w14:paraId="29131A56" w14:textId="77777777" w:rsidR="00EC19CA" w:rsidRPr="00E75443" w:rsidRDefault="00E75443">
      <w:pPr>
        <w:pStyle w:val="Textoindependiente"/>
        <w:spacing w:line="276" w:lineRule="auto"/>
        <w:ind w:right="139"/>
        <w:rPr>
          <w:rFonts w:eastAsiaTheme="minorHAnsi" w:cstheme="minorBidi"/>
          <w:spacing w:val="1"/>
          <w:szCs w:val="22"/>
          <w:lang w:val="es-EC"/>
          <w14:numForm w14:val="oldStyle"/>
        </w:rPr>
      </w:pPr>
      <w:r w:rsidRPr="00E75443">
        <w:rPr>
          <w:rFonts w:eastAsiaTheme="minorHAnsi" w:cstheme="minorBidi"/>
          <w:spacing w:val="1"/>
          <w:szCs w:val="22"/>
          <w:lang w:val="es-EC"/>
          <w14:numForm w14:val="oldStyle"/>
        </w:rPr>
        <w:lastRenderedPageBreak/>
        <w:t>transnacional. La capacidad de los sistemas de IA para desarrollarse, comercializarse</w:t>
      </w:r>
      <w:r w:rsidRPr="00E75443">
        <w:rPr>
          <w:rFonts w:eastAsiaTheme="minorHAnsi" w:cstheme="minorBidi"/>
          <w:spacing w:val="1"/>
          <w:szCs w:val="22"/>
          <w:lang w:val="es-EC"/>
          <w14:numForm w14:val="oldStyle"/>
        </w:rPr>
        <w:t xml:space="preserve"> </w:t>
      </w:r>
      <w:r w:rsidRPr="00E75443">
        <w:rPr>
          <w:rFonts w:eastAsiaTheme="minorHAnsi" w:cstheme="minorBidi"/>
          <w:spacing w:val="1"/>
          <w:szCs w:val="22"/>
          <w:lang w:val="es-EC"/>
          <w14:numForm w14:val="oldStyle"/>
        </w:rPr>
        <w:t>y</w:t>
      </w:r>
      <w:r w:rsidRPr="00E75443">
        <w:rPr>
          <w:rFonts w:eastAsiaTheme="minorHAnsi" w:cstheme="minorBidi"/>
          <w:spacing w:val="1"/>
          <w:szCs w:val="22"/>
          <w:lang w:val="es-EC"/>
          <w14:numForm w14:val="oldStyle"/>
        </w:rPr>
        <w:t xml:space="preserve"> </w:t>
      </w:r>
      <w:r w:rsidRPr="00E75443">
        <w:rPr>
          <w:rFonts w:eastAsiaTheme="minorHAnsi" w:cstheme="minorBidi"/>
          <w:spacing w:val="1"/>
          <w:szCs w:val="22"/>
          <w:lang w:val="es-EC"/>
          <w14:numForm w14:val="oldStyle"/>
        </w:rPr>
        <w:t>producir</w:t>
      </w:r>
      <w:r w:rsidRPr="00E75443">
        <w:rPr>
          <w:rFonts w:eastAsiaTheme="minorHAnsi" w:cstheme="minorBidi"/>
          <w:spacing w:val="1"/>
          <w:szCs w:val="22"/>
          <w:lang w:val="es-EC"/>
          <w14:numForm w14:val="oldStyle"/>
        </w:rPr>
        <w:t xml:space="preserve"> </w:t>
      </w:r>
      <w:r w:rsidRPr="00E75443">
        <w:rPr>
          <w:rFonts w:eastAsiaTheme="minorHAnsi" w:cstheme="minorBidi"/>
          <w:spacing w:val="1"/>
          <w:szCs w:val="22"/>
          <w:lang w:val="es-EC"/>
          <w14:numForm w14:val="oldStyle"/>
        </w:rPr>
        <w:t>ef</w:t>
      </w:r>
      <w:r w:rsidRPr="00E75443">
        <w:rPr>
          <w:rFonts w:eastAsiaTheme="minorHAnsi" w:cstheme="minorBidi"/>
          <w:spacing w:val="1"/>
          <w:szCs w:val="22"/>
          <w:lang w:val="es-EC"/>
          <w14:numForm w14:val="oldStyle"/>
        </w:rPr>
        <w:t>ectos</w:t>
      </w:r>
      <w:r w:rsidRPr="00E75443">
        <w:rPr>
          <w:rFonts w:eastAsiaTheme="minorHAnsi" w:cstheme="minorBidi"/>
          <w:spacing w:val="1"/>
          <w:szCs w:val="22"/>
          <w:lang w:val="es-EC"/>
          <w14:numForm w14:val="oldStyle"/>
        </w:rPr>
        <w:t xml:space="preserve"> </w:t>
      </w:r>
      <w:r w:rsidRPr="00E75443">
        <w:rPr>
          <w:rFonts w:eastAsiaTheme="minorHAnsi" w:cstheme="minorBidi"/>
          <w:spacing w:val="1"/>
          <w:szCs w:val="22"/>
          <w:lang w:val="es-EC"/>
          <w14:numForm w14:val="oldStyle"/>
        </w:rPr>
        <w:t>en</w:t>
      </w:r>
      <w:r w:rsidRPr="00E75443">
        <w:rPr>
          <w:rFonts w:eastAsiaTheme="minorHAnsi" w:cstheme="minorBidi"/>
          <w:spacing w:val="1"/>
          <w:szCs w:val="22"/>
          <w:lang w:val="es-EC"/>
          <w14:numForm w14:val="oldStyle"/>
        </w:rPr>
        <w:t xml:space="preserve"> </w:t>
      </w:r>
      <w:r w:rsidRPr="00E75443">
        <w:rPr>
          <w:rFonts w:eastAsiaTheme="minorHAnsi" w:cstheme="minorBidi"/>
          <w:spacing w:val="1"/>
          <w:szCs w:val="22"/>
          <w:lang w:val="es-EC"/>
          <w14:numForm w14:val="oldStyle"/>
        </w:rPr>
        <w:t>diferentes</w:t>
      </w:r>
      <w:r w:rsidRPr="00E75443">
        <w:rPr>
          <w:rFonts w:eastAsiaTheme="minorHAnsi" w:cstheme="minorBidi"/>
          <w:spacing w:val="1"/>
          <w:szCs w:val="22"/>
          <w:lang w:val="es-EC"/>
          <w14:numForm w14:val="oldStyle"/>
        </w:rPr>
        <w:t xml:space="preserve"> </w:t>
      </w:r>
      <w:r w:rsidRPr="00E75443">
        <w:rPr>
          <w:rFonts w:eastAsiaTheme="minorHAnsi" w:cstheme="minorBidi"/>
          <w:spacing w:val="1"/>
          <w:szCs w:val="22"/>
          <w:lang w:val="es-EC"/>
          <w14:numForm w14:val="oldStyle"/>
        </w:rPr>
        <w:t>jurisdicciones</w:t>
      </w:r>
      <w:r w:rsidRPr="00E75443">
        <w:rPr>
          <w:rFonts w:eastAsiaTheme="minorHAnsi" w:cstheme="minorBidi"/>
          <w:spacing w:val="1"/>
          <w:szCs w:val="22"/>
          <w:lang w:val="es-EC"/>
          <w14:numForm w14:val="oldStyle"/>
        </w:rPr>
        <w:t xml:space="preserve"> </w:t>
      </w:r>
      <w:r w:rsidRPr="00E75443">
        <w:rPr>
          <w:rFonts w:eastAsiaTheme="minorHAnsi" w:cstheme="minorBidi"/>
          <w:spacing w:val="1"/>
          <w:szCs w:val="22"/>
          <w:lang w:val="es-EC"/>
          <w14:numForm w14:val="oldStyle"/>
        </w:rPr>
        <w:t>limita</w:t>
      </w:r>
      <w:r w:rsidRPr="00E75443">
        <w:rPr>
          <w:rFonts w:eastAsiaTheme="minorHAnsi" w:cstheme="minorBidi"/>
          <w:spacing w:val="1"/>
          <w:szCs w:val="22"/>
          <w:lang w:val="es-EC"/>
          <w14:numForm w14:val="oldStyle"/>
        </w:rPr>
        <w:t xml:space="preserve"> </w:t>
      </w:r>
      <w:r w:rsidRPr="00E75443">
        <w:rPr>
          <w:rFonts w:eastAsiaTheme="minorHAnsi" w:cstheme="minorBidi"/>
          <w:spacing w:val="1"/>
          <w:szCs w:val="22"/>
          <w:lang w:val="es-EC"/>
          <w14:numForm w14:val="oldStyle"/>
        </w:rPr>
        <w:t>la eficacia de los enfoques exclusivamente nacionales y hace necesaria una mayor cooperación internacional.</w:t>
      </w:r>
    </w:p>
    <w:p w14:paraId="5CE6257D" w14:textId="77777777" w:rsidR="00EC19CA" w:rsidRPr="00E75443" w:rsidRDefault="00E75443">
      <w:pPr>
        <w:pStyle w:val="Textoindependiente"/>
        <w:spacing w:before="122" w:line="276" w:lineRule="auto"/>
        <w:ind w:right="139"/>
        <w:rPr>
          <w:rFonts w:eastAsiaTheme="minorHAnsi" w:cstheme="minorBidi"/>
          <w:spacing w:val="1"/>
          <w:szCs w:val="22"/>
          <w:lang w:val="es-EC"/>
          <w14:numForm w14:val="oldStyle"/>
        </w:rPr>
      </w:pPr>
      <w:r w:rsidRPr="00E75443">
        <w:rPr>
          <w:rFonts w:eastAsiaTheme="minorHAnsi" w:cstheme="minorBidi"/>
          <w:spacing w:val="1"/>
          <w:szCs w:val="22"/>
          <w:lang w:val="es-EC"/>
          <w14:numForm w14:val="oldStyle"/>
        </w:rPr>
        <w:t>Se identificó que actualmente existe una importante proliferación de instrumentos relacionados con la gobe</w:t>
      </w:r>
      <w:r w:rsidRPr="00E75443">
        <w:rPr>
          <w:rFonts w:eastAsiaTheme="minorHAnsi" w:cstheme="minorBidi"/>
          <w:spacing w:val="1"/>
          <w:szCs w:val="22"/>
          <w:lang w:val="es-EC"/>
          <w14:numForm w14:val="oldStyle"/>
        </w:rPr>
        <w:t>rnanza de la inteligencia artificial. Naciones Unidas, UNESCO, la OCDE, la Unión Europea y</w:t>
      </w:r>
      <w:r w:rsidRPr="00E75443">
        <w:rPr>
          <w:rFonts w:eastAsiaTheme="minorHAnsi" w:cstheme="minorBidi"/>
          <w:spacing w:val="1"/>
          <w:szCs w:val="22"/>
          <w:lang w:val="es-EC"/>
          <w14:numForm w14:val="oldStyle"/>
        </w:rPr>
        <w:t xml:space="preserve"> </w:t>
      </w:r>
      <w:r w:rsidRPr="00E75443">
        <w:rPr>
          <w:rFonts w:eastAsiaTheme="minorHAnsi" w:cstheme="minorBidi"/>
          <w:spacing w:val="1"/>
          <w:szCs w:val="22"/>
          <w:lang w:val="es-EC"/>
          <w14:numForm w14:val="oldStyle"/>
        </w:rPr>
        <w:t>el Consejo de Europa han desarrollado diferentes mecanismos que contribuyen a la construcción progresiva de estándares internacionales.</w:t>
      </w:r>
    </w:p>
    <w:p w14:paraId="04391ADC" w14:textId="77777777" w:rsidR="00EC19CA" w:rsidRPr="00E75443" w:rsidRDefault="00E75443">
      <w:pPr>
        <w:pStyle w:val="Textoindependiente"/>
        <w:spacing w:before="121" w:line="276" w:lineRule="auto"/>
        <w:ind w:right="142"/>
        <w:rPr>
          <w:rFonts w:eastAsiaTheme="minorHAnsi" w:cstheme="minorBidi"/>
          <w:spacing w:val="1"/>
          <w:szCs w:val="22"/>
          <w:lang w:val="es-EC"/>
          <w14:numForm w14:val="oldStyle"/>
        </w:rPr>
      </w:pPr>
      <w:r w:rsidRPr="00E75443">
        <w:rPr>
          <w:rFonts w:eastAsiaTheme="minorHAnsi" w:cstheme="minorBidi"/>
          <w:spacing w:val="1"/>
          <w:szCs w:val="22"/>
          <w:lang w:val="es-EC"/>
          <w14:numForm w14:val="oldStyle"/>
        </w:rPr>
        <w:t>No obstante, estos instrument</w:t>
      </w:r>
      <w:r w:rsidRPr="00E75443">
        <w:rPr>
          <w:rFonts w:eastAsiaTheme="minorHAnsi" w:cstheme="minorBidi"/>
          <w:spacing w:val="1"/>
          <w:szCs w:val="22"/>
          <w:lang w:val="es-EC"/>
          <w14:numForm w14:val="oldStyle"/>
        </w:rPr>
        <w:t>os presentan diferencias respecto de su naturaleza jurídica, alcance territorial, mecanismos de cumplimiento y nivel de exigibilidad. En consecuencia, el escenario internacional continúa caracterizado por una significativa fragmentación normativa.</w:t>
      </w:r>
    </w:p>
    <w:p w14:paraId="1DC8135C" w14:textId="77777777" w:rsidR="00EC19CA" w:rsidRPr="00E75443" w:rsidRDefault="00E75443">
      <w:pPr>
        <w:pStyle w:val="Textoindependiente"/>
        <w:spacing w:before="118" w:line="276" w:lineRule="auto"/>
        <w:ind w:right="138"/>
        <w:rPr>
          <w:rFonts w:eastAsiaTheme="minorHAnsi" w:cstheme="minorBidi"/>
          <w:spacing w:val="1"/>
          <w:szCs w:val="22"/>
          <w:lang w:val="es-EC"/>
          <w14:numForm w14:val="oldStyle"/>
        </w:rPr>
      </w:pPr>
      <w:r w:rsidRPr="00E75443">
        <w:rPr>
          <w:rFonts w:eastAsiaTheme="minorHAnsi" w:cstheme="minorBidi"/>
          <w:spacing w:val="1"/>
          <w:szCs w:val="22"/>
          <w:lang w:val="es-EC"/>
          <w14:numForm w14:val="oldStyle"/>
        </w:rPr>
        <w:t xml:space="preserve">A pesar </w:t>
      </w:r>
      <w:r w:rsidRPr="00E75443">
        <w:rPr>
          <w:rFonts w:eastAsiaTheme="minorHAnsi" w:cstheme="minorBidi"/>
          <w:spacing w:val="1"/>
          <w:szCs w:val="22"/>
          <w:lang w:val="es-EC"/>
          <w14:numForm w14:val="oldStyle"/>
        </w:rPr>
        <w:t>de ello, existe una convergencia relevante en torno a determinados principios. La protección de los derechos humanos, la dignidad, la transparencia, la responsabilidad, la seguridad y la supervisión humana constituyen elementos presentes en diferentes inst</w:t>
      </w:r>
      <w:r w:rsidRPr="00E75443">
        <w:rPr>
          <w:rFonts w:eastAsiaTheme="minorHAnsi" w:cstheme="minorBidi"/>
          <w:spacing w:val="1"/>
          <w:szCs w:val="22"/>
          <w:lang w:val="es-EC"/>
          <w14:numForm w14:val="oldStyle"/>
        </w:rPr>
        <w:t>rumentos y pueden servir como base para una futura arquitectura jurídica internacional.</w:t>
      </w:r>
    </w:p>
    <w:p w14:paraId="1F9B750F" w14:textId="77777777" w:rsidR="00EC19CA" w:rsidRPr="00E75443" w:rsidRDefault="00E75443">
      <w:pPr>
        <w:pStyle w:val="Textoindependiente"/>
        <w:spacing w:before="119" w:line="276" w:lineRule="auto"/>
        <w:ind w:right="139"/>
        <w:rPr>
          <w:rFonts w:eastAsiaTheme="minorHAnsi" w:cstheme="minorBidi"/>
          <w:spacing w:val="1"/>
          <w:szCs w:val="22"/>
          <w:lang w:val="es-EC"/>
          <w14:numForm w14:val="oldStyle"/>
        </w:rPr>
      </w:pPr>
      <w:r w:rsidRPr="00E75443">
        <w:rPr>
          <w:rFonts w:eastAsiaTheme="minorHAnsi" w:cstheme="minorBidi"/>
          <w:spacing w:val="1"/>
          <w:szCs w:val="22"/>
          <w:lang w:val="es-EC"/>
          <w14:numForm w14:val="oldStyle"/>
        </w:rPr>
        <w:t xml:space="preserve">Asimismo, se concluye que la creación inmediata de una regulación universal y uniforme resulta poco viable debido a las diferencias existentes entre los sistemas </w:t>
      </w:r>
      <w:r w:rsidRPr="00E75443">
        <w:rPr>
          <w:rFonts w:eastAsiaTheme="minorHAnsi" w:cstheme="minorBidi"/>
          <w:spacing w:val="1"/>
          <w:szCs w:val="22"/>
          <w:lang w:val="es-EC"/>
          <w14:numForm w14:val="oldStyle"/>
        </w:rPr>
        <w:t>jurídicos, capacidades institucionales y prioridades políticas de los Estados. La alternativa jurídicamente más realista consiste en avanzar hacia estándares internacionales mínimos e interoperables que permitan establecer un núcleo común de protección sin</w:t>
      </w:r>
      <w:r w:rsidRPr="00E75443">
        <w:rPr>
          <w:rFonts w:eastAsiaTheme="minorHAnsi" w:cstheme="minorBidi"/>
          <w:spacing w:val="1"/>
          <w:szCs w:val="22"/>
          <w:lang w:val="es-EC"/>
          <w14:numForm w14:val="oldStyle"/>
        </w:rPr>
        <w:t xml:space="preserve"> eliminar la capacidad regulatoria de cada Estado.</w:t>
      </w:r>
    </w:p>
    <w:p w14:paraId="29E6829D" w14:textId="77777777" w:rsidR="00EC19CA" w:rsidRPr="00E75443" w:rsidRDefault="00E75443">
      <w:pPr>
        <w:pStyle w:val="Textoindependiente"/>
        <w:spacing w:before="122" w:line="276" w:lineRule="auto"/>
        <w:ind w:right="139"/>
        <w:rPr>
          <w:rFonts w:eastAsiaTheme="minorHAnsi" w:cstheme="minorBidi"/>
          <w:spacing w:val="1"/>
          <w:szCs w:val="22"/>
          <w:lang w:val="es-EC"/>
          <w14:numForm w14:val="oldStyle"/>
        </w:rPr>
      </w:pPr>
      <w:r w:rsidRPr="00E75443">
        <w:rPr>
          <w:rFonts w:eastAsiaTheme="minorHAnsi" w:cstheme="minorBidi"/>
          <w:spacing w:val="1"/>
          <w:szCs w:val="22"/>
          <w:lang w:val="es-EC"/>
          <w14:numForm w14:val="oldStyle"/>
        </w:rPr>
        <w:t>La investigación también demuestra que la regulación internacional no puede limitarse al establecimiento de principios. La eficacia de cualquier futuro marco dependerá de la existencia de mecanismos de coo</w:t>
      </w:r>
      <w:r w:rsidRPr="00E75443">
        <w:rPr>
          <w:rFonts w:eastAsiaTheme="minorHAnsi" w:cstheme="minorBidi"/>
          <w:spacing w:val="1"/>
          <w:szCs w:val="22"/>
          <w:lang w:val="es-EC"/>
          <w14:numForm w14:val="oldStyle"/>
        </w:rPr>
        <w:t>peración, supervisión, intercambio de información, asistencia técnica y fortalecimiento de capacidades, especialmente para los Estados con menores recursos tecnológicos e institucionales.</w:t>
      </w:r>
    </w:p>
    <w:p w14:paraId="0B2D836D" w14:textId="77777777" w:rsidR="00EC19CA" w:rsidRPr="00E75443" w:rsidRDefault="00EC19CA">
      <w:pPr>
        <w:pStyle w:val="Textoindependiente"/>
        <w:spacing w:line="276" w:lineRule="auto"/>
        <w:rPr>
          <w:rFonts w:eastAsiaTheme="minorHAnsi" w:cstheme="minorBidi"/>
          <w:spacing w:val="1"/>
          <w:szCs w:val="22"/>
          <w:lang w:val="es-EC"/>
          <w14:numForm w14:val="oldStyle"/>
        </w:rPr>
        <w:sectPr w:rsidR="00EC19CA" w:rsidRPr="00E75443">
          <w:pgSz w:w="8850" w:h="13250"/>
          <w:pgMar w:top="1060" w:right="992" w:bottom="280" w:left="992" w:header="720" w:footer="720" w:gutter="0"/>
          <w:cols w:space="720"/>
        </w:sectPr>
      </w:pPr>
    </w:p>
    <w:p w14:paraId="6C179D86" w14:textId="77777777" w:rsidR="00EC19CA" w:rsidRPr="00E75443" w:rsidRDefault="00E75443">
      <w:pPr>
        <w:pStyle w:val="Textoindependiente"/>
        <w:spacing w:line="276" w:lineRule="auto"/>
        <w:ind w:right="138"/>
        <w:rPr>
          <w:rFonts w:eastAsiaTheme="minorHAnsi" w:cstheme="minorBidi"/>
          <w:spacing w:val="1"/>
          <w:szCs w:val="22"/>
          <w:lang w:val="es-EC"/>
          <w14:numForm w14:val="oldStyle"/>
        </w:rPr>
      </w:pPr>
      <w:r w:rsidRPr="00E75443">
        <w:rPr>
          <w:rFonts w:eastAsiaTheme="minorHAnsi" w:cstheme="minorBidi"/>
          <w:spacing w:val="1"/>
          <w:szCs w:val="22"/>
          <w:lang w:val="es-EC"/>
          <w14:numForm w14:val="oldStyle"/>
        </w:rPr>
        <w:lastRenderedPageBreak/>
        <w:t xml:space="preserve">En definitiva, el desafío no consiste en elegir entre </w:t>
      </w:r>
      <w:r w:rsidRPr="00E75443">
        <w:rPr>
          <w:rFonts w:eastAsiaTheme="minorHAnsi" w:cstheme="minorBidi"/>
          <w:spacing w:val="1"/>
          <w:szCs w:val="22"/>
          <w:lang w:val="es-EC"/>
          <w14:numForm w14:val="oldStyle"/>
        </w:rPr>
        <w:t xml:space="preserve">innovación y regulación, sino en construir una arquitectura jurídica capaz de compatibilizar ambas dimensiones. La gobernanza internacional de la inteligencia artificial debe orientarse hacia un modelo en el que el desarrollo tecnológico permanezca sujeto </w:t>
      </w:r>
      <w:r w:rsidRPr="00E75443">
        <w:rPr>
          <w:rFonts w:eastAsiaTheme="minorHAnsi" w:cstheme="minorBidi"/>
          <w:spacing w:val="1"/>
          <w:szCs w:val="22"/>
          <w:lang w:val="es-EC"/>
          <w14:numForm w14:val="oldStyle"/>
        </w:rPr>
        <w:t xml:space="preserve">a los derechos humanos, la democracia, el Estado de Derecho y mecanismos efectivos de </w:t>
      </w:r>
      <w:r w:rsidRPr="00E75443">
        <w:rPr>
          <w:rFonts w:eastAsiaTheme="minorHAnsi" w:cstheme="minorBidi"/>
          <w:spacing w:val="1"/>
          <w:szCs w:val="22"/>
          <w:lang w:val="es-EC"/>
          <w14:numForm w14:val="oldStyle"/>
        </w:rPr>
        <w:t>responsabilidad.</w:t>
      </w:r>
    </w:p>
    <w:p w14:paraId="61030EF8" w14:textId="77777777" w:rsidR="00EC19CA" w:rsidRDefault="00EC19CA">
      <w:pPr>
        <w:pStyle w:val="Textoindependiente"/>
        <w:spacing w:before="98"/>
        <w:ind w:left="0"/>
        <w:jc w:val="left"/>
      </w:pPr>
    </w:p>
    <w:p w14:paraId="4D623282" w14:textId="77777777" w:rsidR="00EC19CA" w:rsidRDefault="00E75443">
      <w:pPr>
        <w:pStyle w:val="Ttulo1"/>
        <w:numPr>
          <w:ilvl w:val="0"/>
          <w:numId w:val="3"/>
        </w:numPr>
        <w:tabs>
          <w:tab w:val="left" w:pos="383"/>
        </w:tabs>
        <w:jc w:val="both"/>
      </w:pPr>
      <w:r>
        <w:rPr>
          <w:spacing w:val="-2"/>
        </w:rPr>
        <w:t>RECOMENDACIONES</w:t>
      </w:r>
    </w:p>
    <w:p w14:paraId="4B388D14" w14:textId="77777777" w:rsidR="00EC19CA" w:rsidRDefault="00E75443">
      <w:pPr>
        <w:pStyle w:val="Textoindependiente"/>
        <w:spacing w:before="242" w:line="273" w:lineRule="auto"/>
        <w:ind w:right="143"/>
      </w:pPr>
      <w:r>
        <w:t>A partir de los resultados y conclusiones obtenidos, se formulan las siguientes recomendaciones:</w:t>
      </w:r>
    </w:p>
    <w:p w14:paraId="5840CB81" w14:textId="48CBEB3B" w:rsidR="0081272D" w:rsidRDefault="00E75443" w:rsidP="0081272D">
      <w:pPr>
        <w:pStyle w:val="Textoindependiente"/>
        <w:numPr>
          <w:ilvl w:val="0"/>
          <w:numId w:val="4"/>
        </w:numPr>
        <w:spacing w:before="122" w:line="276" w:lineRule="auto"/>
        <w:ind w:right="141"/>
      </w:pPr>
      <w:r>
        <w:t>Establecer</w:t>
      </w:r>
      <w:r>
        <w:rPr>
          <w:spacing w:val="80"/>
        </w:rPr>
        <w:t xml:space="preserve"> </w:t>
      </w:r>
      <w:r>
        <w:t>estándares</w:t>
      </w:r>
      <w:r>
        <w:rPr>
          <w:spacing w:val="80"/>
        </w:rPr>
        <w:t xml:space="preserve"> </w:t>
      </w:r>
      <w:r>
        <w:t>internacionales</w:t>
      </w:r>
      <w:r>
        <w:rPr>
          <w:spacing w:val="80"/>
        </w:rPr>
        <w:t xml:space="preserve"> </w:t>
      </w:r>
      <w:r>
        <w:t>mínimos</w:t>
      </w:r>
      <w:r>
        <w:rPr>
          <w:spacing w:val="80"/>
        </w:rPr>
        <w:t xml:space="preserve"> </w:t>
      </w:r>
      <w:r>
        <w:t>de</w:t>
      </w:r>
      <w:r>
        <w:rPr>
          <w:spacing w:val="80"/>
        </w:rPr>
        <w:t xml:space="preserve"> </w:t>
      </w:r>
      <w:r>
        <w:t>protección. La comunidad internacional debería avanzar hacia principios jurídicos comunes relacionados con derechos humanos, privacidad, transparencia, seguridad, responsabilidad y supervisión humana.</w:t>
      </w:r>
    </w:p>
    <w:p w14:paraId="01E5A2A1" w14:textId="77777777" w:rsidR="0081272D" w:rsidRDefault="00E75443" w:rsidP="0081272D">
      <w:pPr>
        <w:pStyle w:val="Textoindependiente"/>
        <w:numPr>
          <w:ilvl w:val="0"/>
          <w:numId w:val="4"/>
        </w:numPr>
        <w:spacing w:before="122" w:line="276" w:lineRule="auto"/>
        <w:ind w:right="141"/>
      </w:pPr>
      <w:r>
        <w:rPr>
          <w:spacing w:val="-2"/>
        </w:rPr>
        <w:t>Promover</w:t>
      </w:r>
      <w:r>
        <w:tab/>
      </w:r>
      <w:r>
        <w:rPr>
          <w:spacing w:val="-6"/>
        </w:rPr>
        <w:t>la</w:t>
      </w:r>
      <w:r>
        <w:tab/>
      </w:r>
      <w:r>
        <w:rPr>
          <w:spacing w:val="-2"/>
        </w:rPr>
        <w:t>interoperabilidad</w:t>
      </w:r>
      <w:r>
        <w:tab/>
      </w:r>
      <w:r>
        <w:rPr>
          <w:spacing w:val="-2"/>
        </w:rPr>
        <w:t xml:space="preserve">normativa. </w:t>
      </w:r>
      <w:r>
        <w:t>Los</w:t>
      </w:r>
      <w:r>
        <w:t xml:space="preserve"> futuros instrumentos internacionales deberían procurar que las legislaciones nacionales y regionales puedan coexistir y reconocerse mutuamente, evitando una fragmentación regulatoria innecesaria.</w:t>
      </w:r>
    </w:p>
    <w:p w14:paraId="0A3B8942" w14:textId="77777777" w:rsidR="0081272D" w:rsidRDefault="00E75443" w:rsidP="0081272D">
      <w:pPr>
        <w:pStyle w:val="Textoindependiente"/>
        <w:numPr>
          <w:ilvl w:val="0"/>
          <w:numId w:val="4"/>
        </w:numPr>
        <w:spacing w:before="122" w:line="276" w:lineRule="auto"/>
        <w:ind w:right="141"/>
      </w:pPr>
      <w:r w:rsidRPr="0081272D">
        <w:rPr>
          <w:spacing w:val="-2"/>
        </w:rPr>
        <w:t>Fortalecer</w:t>
      </w:r>
      <w:r>
        <w:tab/>
      </w:r>
      <w:r w:rsidRPr="0081272D">
        <w:rPr>
          <w:spacing w:val="-6"/>
        </w:rPr>
        <w:t>la</w:t>
      </w:r>
      <w:r>
        <w:tab/>
      </w:r>
      <w:r w:rsidRPr="0081272D">
        <w:rPr>
          <w:spacing w:val="-2"/>
        </w:rPr>
        <w:t>cooperación</w:t>
      </w:r>
      <w:r>
        <w:tab/>
      </w:r>
      <w:r w:rsidRPr="0081272D">
        <w:rPr>
          <w:spacing w:val="-2"/>
        </w:rPr>
        <w:t xml:space="preserve">internacional. </w:t>
      </w:r>
      <w:r>
        <w:t>Se recomienda desa</w:t>
      </w:r>
      <w:r>
        <w:t>rrollar mecanismos permanentes de intercambio de información, cooperación entre autoridades y coordinación de políticas públicas relacionadas con la inteligencia artificial.</w:t>
      </w:r>
    </w:p>
    <w:p w14:paraId="3F1F1C01" w14:textId="77777777" w:rsidR="0081272D" w:rsidRDefault="00E75443" w:rsidP="0081272D">
      <w:pPr>
        <w:pStyle w:val="Textoindependiente"/>
        <w:numPr>
          <w:ilvl w:val="0"/>
          <w:numId w:val="4"/>
        </w:numPr>
        <w:spacing w:before="122" w:line="276" w:lineRule="auto"/>
        <w:ind w:right="141"/>
      </w:pPr>
      <w:r>
        <w:t>Crear</w:t>
      </w:r>
      <w:r w:rsidRPr="0081272D">
        <w:rPr>
          <w:spacing w:val="40"/>
        </w:rPr>
        <w:t xml:space="preserve"> </w:t>
      </w:r>
      <w:r>
        <w:t>mecanismos</w:t>
      </w:r>
      <w:r w:rsidRPr="0081272D">
        <w:rPr>
          <w:spacing w:val="40"/>
        </w:rPr>
        <w:t xml:space="preserve"> </w:t>
      </w:r>
      <w:r>
        <w:t>internacionales</w:t>
      </w:r>
      <w:r w:rsidRPr="0081272D">
        <w:rPr>
          <w:spacing w:val="40"/>
        </w:rPr>
        <w:t xml:space="preserve"> </w:t>
      </w:r>
      <w:r>
        <w:t>de</w:t>
      </w:r>
      <w:r w:rsidRPr="0081272D">
        <w:rPr>
          <w:spacing w:val="40"/>
        </w:rPr>
        <w:t xml:space="preserve"> </w:t>
      </w:r>
      <w:r>
        <w:t>evaluación</w:t>
      </w:r>
      <w:r w:rsidRPr="0081272D">
        <w:rPr>
          <w:spacing w:val="40"/>
        </w:rPr>
        <w:t xml:space="preserve"> </w:t>
      </w:r>
      <w:r>
        <w:t>y</w:t>
      </w:r>
      <w:r w:rsidRPr="0081272D">
        <w:rPr>
          <w:spacing w:val="40"/>
        </w:rPr>
        <w:t xml:space="preserve"> </w:t>
      </w:r>
      <w:r>
        <w:t>seguimiento. La gobernanza intern</w:t>
      </w:r>
      <w:r>
        <w:t>acional debería incorporar sistemas de monitoreo que permitan identificar riesgos emergentes y evaluar periódicamente la eficacia de los estándares adoptados.</w:t>
      </w:r>
    </w:p>
    <w:p w14:paraId="256D4C53" w14:textId="77777777" w:rsidR="0081272D" w:rsidRDefault="00E75443" w:rsidP="0081272D">
      <w:pPr>
        <w:pStyle w:val="Textoindependiente"/>
        <w:numPr>
          <w:ilvl w:val="0"/>
          <w:numId w:val="4"/>
        </w:numPr>
        <w:spacing w:before="122" w:line="276" w:lineRule="auto"/>
        <w:ind w:right="141"/>
      </w:pPr>
      <w:r>
        <w:t>Incorporar a los países en desarrollo en la construcción normativa.</w:t>
      </w:r>
      <w:r w:rsidRPr="0081272D">
        <w:rPr>
          <w:spacing w:val="40"/>
        </w:rPr>
        <w:t xml:space="preserve"> </w:t>
      </w:r>
      <w:r>
        <w:t>La participación internaciona</w:t>
      </w:r>
      <w:r>
        <w:t>l debe ser inclusiva y acompañarse de programas de capacitación, transferencia de conocimientos y fortalecimiento de capacidades institucionales y tecnológicas.</w:t>
      </w:r>
    </w:p>
    <w:p w14:paraId="63929DCA" w14:textId="0A2976BB" w:rsidR="0081272D" w:rsidRDefault="0081272D" w:rsidP="0081272D">
      <w:pPr>
        <w:pStyle w:val="Textoindependiente"/>
        <w:numPr>
          <w:ilvl w:val="0"/>
          <w:numId w:val="4"/>
        </w:numPr>
        <w:spacing w:before="122" w:line="276" w:lineRule="auto"/>
        <w:ind w:right="141"/>
        <w:sectPr w:rsidR="0081272D">
          <w:pgSz w:w="8850" w:h="13250"/>
          <w:pgMar w:top="1060" w:right="992" w:bottom="280" w:left="992" w:header="720" w:footer="720" w:gutter="0"/>
          <w:cols w:space="720"/>
        </w:sectPr>
      </w:pPr>
    </w:p>
    <w:p w14:paraId="0ABC296D" w14:textId="39570F2D" w:rsidR="00EC19CA" w:rsidRDefault="00E75443" w:rsidP="0081272D">
      <w:pPr>
        <w:pStyle w:val="Textoindependiente"/>
        <w:numPr>
          <w:ilvl w:val="0"/>
          <w:numId w:val="4"/>
        </w:numPr>
        <w:spacing w:before="122" w:line="276" w:lineRule="auto"/>
        <w:ind w:right="141"/>
      </w:pPr>
      <w:r>
        <w:lastRenderedPageBreak/>
        <w:t>Priorizar</w:t>
      </w:r>
      <w:r w:rsidRPr="0081272D">
        <w:t xml:space="preserve"> </w:t>
      </w:r>
      <w:r>
        <w:t>los</w:t>
      </w:r>
      <w:r w:rsidRPr="0081272D">
        <w:t xml:space="preserve"> </w:t>
      </w:r>
      <w:r>
        <w:t>derechos</w:t>
      </w:r>
      <w:r w:rsidRPr="0081272D">
        <w:t xml:space="preserve"> </w:t>
      </w:r>
      <w:r>
        <w:t>humanos</w:t>
      </w:r>
      <w:r w:rsidRPr="0081272D">
        <w:t xml:space="preserve"> </w:t>
      </w:r>
      <w:r>
        <w:t>como</w:t>
      </w:r>
      <w:r w:rsidRPr="0081272D">
        <w:t xml:space="preserve"> </w:t>
      </w:r>
      <w:r>
        <w:t>límite</w:t>
      </w:r>
      <w:r w:rsidRPr="0081272D">
        <w:t xml:space="preserve"> </w:t>
      </w:r>
      <w:r>
        <w:t>transversal. Toda regulación internaci</w:t>
      </w:r>
      <w:r>
        <w:t>onal futura debería garantizar que los sistemas de inteligencia artificial sean desarrollados y utilizados de manera compatible con la dignidad humana, los derechos fundamentales, la democracia y el Estado de Derecho.</w:t>
      </w:r>
    </w:p>
    <w:p w14:paraId="6F8DE24F" w14:textId="3BCF6871" w:rsidR="00EC19CA" w:rsidRDefault="00E75443" w:rsidP="0081272D">
      <w:pPr>
        <w:pStyle w:val="Textoindependiente"/>
        <w:numPr>
          <w:ilvl w:val="0"/>
          <w:numId w:val="4"/>
        </w:numPr>
        <w:spacing w:before="122" w:line="276" w:lineRule="auto"/>
        <w:ind w:right="141"/>
      </w:pPr>
      <w:r>
        <w:t>Avanzar progresivamente hacia instrume</w:t>
      </w:r>
      <w:r>
        <w:t xml:space="preserve">ntos jurídicamente </w:t>
      </w:r>
      <w:r w:rsidRPr="0081272D">
        <w:t>vinculantes.</w:t>
      </w:r>
    </w:p>
    <w:p w14:paraId="312FD4E1" w14:textId="77777777" w:rsidR="00EC19CA" w:rsidRDefault="00E75443" w:rsidP="0081272D">
      <w:pPr>
        <w:pStyle w:val="Textoindependiente"/>
        <w:spacing w:before="122" w:line="276" w:lineRule="auto"/>
        <w:ind w:right="141"/>
      </w:pPr>
      <w:r>
        <w:t>Los principios y recomendaciones internacionales actualmente existentes pueden constituir una etapa inicial para desarrollar posteriormente obligaciones convencionales más específicas en aquellas materias donde exista sufici</w:t>
      </w:r>
      <w:r>
        <w:t>ente consenso internacional.</w:t>
      </w:r>
    </w:p>
    <w:p w14:paraId="13069009" w14:textId="77777777" w:rsidR="00EC19CA" w:rsidRDefault="00EC19CA">
      <w:pPr>
        <w:pStyle w:val="Textoindependiente"/>
        <w:spacing w:before="94"/>
        <w:ind w:left="0"/>
        <w:jc w:val="left"/>
      </w:pPr>
    </w:p>
    <w:p w14:paraId="3F7FA62B" w14:textId="41B9D941" w:rsidR="00EC19CA" w:rsidRPr="00E75443" w:rsidRDefault="00E75443" w:rsidP="00E75443">
      <w:pPr>
        <w:pStyle w:val="Ttulo1"/>
        <w:ind w:left="0" w:firstLine="0"/>
      </w:pPr>
      <w:r>
        <w:t xml:space="preserve">8. </w:t>
      </w:r>
      <w:r>
        <w:t>REFERENCIAS</w:t>
      </w:r>
    </w:p>
    <w:p w14:paraId="40E79717" w14:textId="6B281FF1" w:rsidR="00EC19CA" w:rsidRPr="00E75443" w:rsidRDefault="00E75443" w:rsidP="00E75443">
      <w:pPr>
        <w:pStyle w:val="Bibliografa"/>
        <w:rPr>
          <w:sz w:val="24"/>
          <w:lang w:val="en-US"/>
        </w:rPr>
      </w:pPr>
      <w:r>
        <w:rPr>
          <w:sz w:val="24"/>
        </w:rPr>
        <w:t xml:space="preserve">Asamblea General de las Naciones Unidas. </w:t>
      </w:r>
      <w:r w:rsidRPr="00E75443">
        <w:rPr>
          <w:sz w:val="24"/>
          <w:lang w:val="en-US"/>
        </w:rPr>
        <w:t>(2024).</w:t>
      </w:r>
      <w:r w:rsidRPr="00E75443">
        <w:rPr>
          <w:spacing w:val="-3"/>
          <w:sz w:val="24"/>
          <w:lang w:val="en-US"/>
        </w:rPr>
        <w:t xml:space="preserve"> </w:t>
      </w:r>
      <w:r w:rsidRPr="00E75443">
        <w:rPr>
          <w:i/>
          <w:sz w:val="24"/>
          <w:lang w:val="en-US"/>
        </w:rPr>
        <w:t xml:space="preserve">Seizing the </w:t>
      </w:r>
      <w:r w:rsidRPr="00E75443">
        <w:rPr>
          <w:lang w:val="en-US"/>
        </w:rPr>
        <w:t>opportunities</w:t>
      </w:r>
      <w:r w:rsidRPr="00E75443">
        <w:rPr>
          <w:i/>
          <w:sz w:val="24"/>
          <w:lang w:val="en-US"/>
        </w:rPr>
        <w:t xml:space="preserve"> of safe, secure and trustworthy artificial intelligence systems for sustainable development</w:t>
      </w:r>
      <w:r w:rsidRPr="00E75443">
        <w:rPr>
          <w:i/>
          <w:spacing w:val="-4"/>
          <w:sz w:val="24"/>
          <w:lang w:val="en-US"/>
        </w:rPr>
        <w:t xml:space="preserve"> </w:t>
      </w:r>
      <w:r w:rsidRPr="00E75443">
        <w:rPr>
          <w:sz w:val="24"/>
          <w:lang w:val="en-US"/>
        </w:rPr>
        <w:t xml:space="preserve">(A/RES/78/265). </w:t>
      </w:r>
      <w:proofErr w:type="spellStart"/>
      <w:r w:rsidRPr="00E75443">
        <w:rPr>
          <w:sz w:val="24"/>
          <w:lang w:val="en-US"/>
        </w:rPr>
        <w:t>Naciones</w:t>
      </w:r>
      <w:proofErr w:type="spellEnd"/>
      <w:r w:rsidRPr="00E75443">
        <w:rPr>
          <w:sz w:val="24"/>
          <w:lang w:val="en-US"/>
        </w:rPr>
        <w:t xml:space="preserve"> </w:t>
      </w:r>
      <w:proofErr w:type="spellStart"/>
      <w:r w:rsidRPr="00E75443">
        <w:rPr>
          <w:spacing w:val="-2"/>
          <w:sz w:val="24"/>
          <w:lang w:val="en-US"/>
        </w:rPr>
        <w:t>Unidas</w:t>
      </w:r>
      <w:proofErr w:type="spellEnd"/>
      <w:r w:rsidRPr="00E75443">
        <w:rPr>
          <w:spacing w:val="-2"/>
          <w:sz w:val="24"/>
          <w:lang w:val="en-US"/>
        </w:rPr>
        <w:t>.</w:t>
      </w:r>
    </w:p>
    <w:p w14:paraId="0F9C31D6" w14:textId="77777777" w:rsidR="00EC19CA" w:rsidRPr="00E75443" w:rsidRDefault="00E75443" w:rsidP="00E75443">
      <w:pPr>
        <w:pStyle w:val="Bibliografa"/>
        <w:rPr>
          <w:sz w:val="24"/>
        </w:rPr>
      </w:pPr>
      <w:r w:rsidRPr="00E75443">
        <w:rPr>
          <w:sz w:val="24"/>
        </w:rPr>
        <w:t xml:space="preserve">Consejo de </w:t>
      </w:r>
      <w:r w:rsidRPr="00E75443">
        <w:rPr>
          <w:sz w:val="24"/>
        </w:rPr>
        <w:t>Europa. (2024).</w:t>
      </w:r>
      <w:r w:rsidRPr="00E75443">
        <w:rPr>
          <w:sz w:val="24"/>
        </w:rPr>
        <w:t xml:space="preserve"> </w:t>
      </w:r>
      <w:r w:rsidRPr="00E75443">
        <w:rPr>
          <w:sz w:val="24"/>
        </w:rPr>
        <w:t xml:space="preserve">Council </w:t>
      </w:r>
      <w:proofErr w:type="spellStart"/>
      <w:r w:rsidRPr="00E75443">
        <w:rPr>
          <w:sz w:val="24"/>
        </w:rPr>
        <w:t>of</w:t>
      </w:r>
      <w:proofErr w:type="spellEnd"/>
      <w:r w:rsidRPr="00E75443">
        <w:rPr>
          <w:sz w:val="24"/>
        </w:rPr>
        <w:t xml:space="preserve"> </w:t>
      </w:r>
      <w:proofErr w:type="spellStart"/>
      <w:r w:rsidRPr="00E75443">
        <w:rPr>
          <w:sz w:val="24"/>
        </w:rPr>
        <w:t>Europe</w:t>
      </w:r>
      <w:proofErr w:type="spellEnd"/>
      <w:r w:rsidRPr="00E75443">
        <w:rPr>
          <w:sz w:val="24"/>
        </w:rPr>
        <w:t xml:space="preserve"> Framework </w:t>
      </w:r>
      <w:proofErr w:type="spellStart"/>
      <w:r w:rsidRPr="00E75443">
        <w:rPr>
          <w:sz w:val="24"/>
        </w:rPr>
        <w:t>Convention</w:t>
      </w:r>
      <w:proofErr w:type="spellEnd"/>
      <w:r w:rsidRPr="00E75443">
        <w:rPr>
          <w:sz w:val="24"/>
        </w:rPr>
        <w:t xml:space="preserve"> </w:t>
      </w:r>
      <w:proofErr w:type="spellStart"/>
      <w:r w:rsidRPr="00E75443">
        <w:rPr>
          <w:sz w:val="24"/>
        </w:rPr>
        <w:t>on</w:t>
      </w:r>
      <w:proofErr w:type="spellEnd"/>
      <w:r w:rsidRPr="00E75443">
        <w:rPr>
          <w:sz w:val="24"/>
        </w:rPr>
        <w:t xml:space="preserve"> </w:t>
      </w:r>
      <w:r w:rsidRPr="00E75443">
        <w:rPr>
          <w:sz w:val="24"/>
        </w:rPr>
        <w:t>Artificial</w:t>
      </w:r>
      <w:r w:rsidRPr="00E75443">
        <w:rPr>
          <w:sz w:val="24"/>
        </w:rPr>
        <w:t xml:space="preserve"> </w:t>
      </w:r>
      <w:proofErr w:type="spellStart"/>
      <w:r w:rsidRPr="00E75443">
        <w:rPr>
          <w:sz w:val="24"/>
        </w:rPr>
        <w:t>Intelligence</w:t>
      </w:r>
      <w:proofErr w:type="spellEnd"/>
      <w:r w:rsidRPr="00E75443">
        <w:rPr>
          <w:sz w:val="24"/>
        </w:rPr>
        <w:t xml:space="preserve"> </w:t>
      </w:r>
      <w:r w:rsidRPr="00E75443">
        <w:rPr>
          <w:sz w:val="24"/>
        </w:rPr>
        <w:t>and</w:t>
      </w:r>
      <w:r w:rsidRPr="00E75443">
        <w:rPr>
          <w:sz w:val="24"/>
        </w:rPr>
        <w:t xml:space="preserve"> </w:t>
      </w:r>
      <w:r w:rsidRPr="00E75443">
        <w:rPr>
          <w:sz w:val="24"/>
        </w:rPr>
        <w:t>Human</w:t>
      </w:r>
      <w:r w:rsidRPr="00E75443">
        <w:rPr>
          <w:sz w:val="24"/>
        </w:rPr>
        <w:t xml:space="preserve"> </w:t>
      </w:r>
      <w:proofErr w:type="spellStart"/>
      <w:r w:rsidRPr="00E75443">
        <w:rPr>
          <w:sz w:val="24"/>
        </w:rPr>
        <w:t>Rights</w:t>
      </w:r>
      <w:proofErr w:type="spellEnd"/>
      <w:r w:rsidRPr="00E75443">
        <w:rPr>
          <w:sz w:val="24"/>
        </w:rPr>
        <w:t>,</w:t>
      </w:r>
      <w:r w:rsidRPr="00E75443">
        <w:rPr>
          <w:sz w:val="24"/>
        </w:rPr>
        <w:t xml:space="preserve"> </w:t>
      </w:r>
      <w:proofErr w:type="spellStart"/>
      <w:r w:rsidRPr="00E75443">
        <w:rPr>
          <w:sz w:val="24"/>
        </w:rPr>
        <w:t>Democracy</w:t>
      </w:r>
      <w:proofErr w:type="spellEnd"/>
      <w:r w:rsidRPr="00E75443">
        <w:rPr>
          <w:sz w:val="24"/>
        </w:rPr>
        <w:t xml:space="preserve"> and </w:t>
      </w:r>
      <w:proofErr w:type="spellStart"/>
      <w:r w:rsidRPr="00E75443">
        <w:rPr>
          <w:sz w:val="24"/>
        </w:rPr>
        <w:t>the</w:t>
      </w:r>
      <w:proofErr w:type="spellEnd"/>
      <w:r w:rsidRPr="00E75443">
        <w:rPr>
          <w:sz w:val="24"/>
        </w:rPr>
        <w:t xml:space="preserve"> Rule </w:t>
      </w:r>
      <w:proofErr w:type="spellStart"/>
      <w:r w:rsidRPr="00E75443">
        <w:rPr>
          <w:sz w:val="24"/>
        </w:rPr>
        <w:t>of</w:t>
      </w:r>
      <w:proofErr w:type="spellEnd"/>
      <w:r w:rsidRPr="00E75443">
        <w:rPr>
          <w:sz w:val="24"/>
        </w:rPr>
        <w:t xml:space="preserve"> </w:t>
      </w:r>
      <w:proofErr w:type="spellStart"/>
      <w:r w:rsidRPr="00E75443">
        <w:rPr>
          <w:sz w:val="24"/>
        </w:rPr>
        <w:t>Law</w:t>
      </w:r>
      <w:proofErr w:type="spellEnd"/>
      <w:r w:rsidRPr="00E75443">
        <w:rPr>
          <w:sz w:val="24"/>
        </w:rPr>
        <w:t xml:space="preserve"> </w:t>
      </w:r>
      <w:r w:rsidRPr="00E75443">
        <w:rPr>
          <w:sz w:val="24"/>
        </w:rPr>
        <w:t xml:space="preserve">(CETS No. 225). Council </w:t>
      </w:r>
      <w:proofErr w:type="spellStart"/>
      <w:r w:rsidRPr="00E75443">
        <w:rPr>
          <w:sz w:val="24"/>
        </w:rPr>
        <w:t>of</w:t>
      </w:r>
      <w:proofErr w:type="spellEnd"/>
      <w:r w:rsidRPr="00E75443">
        <w:rPr>
          <w:sz w:val="24"/>
        </w:rPr>
        <w:t xml:space="preserve"> </w:t>
      </w:r>
      <w:proofErr w:type="spellStart"/>
      <w:r w:rsidRPr="00E75443">
        <w:rPr>
          <w:sz w:val="24"/>
        </w:rPr>
        <w:t>Europe</w:t>
      </w:r>
      <w:proofErr w:type="spellEnd"/>
      <w:r w:rsidRPr="00E75443">
        <w:rPr>
          <w:sz w:val="24"/>
        </w:rPr>
        <w:t>.</w:t>
      </w:r>
    </w:p>
    <w:p w14:paraId="7630A878" w14:textId="77777777" w:rsidR="00EC19CA" w:rsidRPr="00E75443" w:rsidRDefault="00E75443" w:rsidP="00E75443">
      <w:pPr>
        <w:pStyle w:val="Bibliografa"/>
        <w:rPr>
          <w:sz w:val="24"/>
        </w:rPr>
      </w:pPr>
      <w:r w:rsidRPr="00E75443">
        <w:rPr>
          <w:sz w:val="24"/>
        </w:rPr>
        <w:t>Naciones Unidas. (2024a).</w:t>
      </w:r>
      <w:r w:rsidRPr="00E75443">
        <w:rPr>
          <w:sz w:val="24"/>
        </w:rPr>
        <w:t xml:space="preserve"> </w:t>
      </w:r>
      <w:proofErr w:type="spellStart"/>
      <w:r w:rsidRPr="00E75443">
        <w:rPr>
          <w:sz w:val="24"/>
        </w:rPr>
        <w:t>The</w:t>
      </w:r>
      <w:proofErr w:type="spellEnd"/>
      <w:r w:rsidRPr="00E75443">
        <w:rPr>
          <w:sz w:val="24"/>
        </w:rPr>
        <w:t xml:space="preserve"> </w:t>
      </w:r>
      <w:proofErr w:type="spellStart"/>
      <w:r w:rsidRPr="00E75443">
        <w:rPr>
          <w:sz w:val="24"/>
        </w:rPr>
        <w:t>Pact</w:t>
      </w:r>
      <w:proofErr w:type="spellEnd"/>
      <w:r w:rsidRPr="00E75443">
        <w:rPr>
          <w:sz w:val="24"/>
        </w:rPr>
        <w:t xml:space="preserve"> </w:t>
      </w:r>
      <w:proofErr w:type="spellStart"/>
      <w:r w:rsidRPr="00E75443">
        <w:rPr>
          <w:sz w:val="24"/>
        </w:rPr>
        <w:t>for</w:t>
      </w:r>
      <w:proofErr w:type="spellEnd"/>
      <w:r w:rsidRPr="00E75443">
        <w:rPr>
          <w:sz w:val="24"/>
        </w:rPr>
        <w:t xml:space="preserve"> </w:t>
      </w:r>
      <w:proofErr w:type="spellStart"/>
      <w:r w:rsidRPr="00E75443">
        <w:rPr>
          <w:sz w:val="24"/>
        </w:rPr>
        <w:t>the</w:t>
      </w:r>
      <w:proofErr w:type="spellEnd"/>
      <w:r w:rsidRPr="00E75443">
        <w:rPr>
          <w:sz w:val="24"/>
        </w:rPr>
        <w:t xml:space="preserve"> Future</w:t>
      </w:r>
      <w:r w:rsidRPr="00E75443">
        <w:rPr>
          <w:sz w:val="24"/>
        </w:rPr>
        <w:t xml:space="preserve"> </w:t>
      </w:r>
      <w:r w:rsidRPr="00E75443">
        <w:rPr>
          <w:sz w:val="24"/>
        </w:rPr>
        <w:t>(A/RES/79/1). Naciones Unidas.</w:t>
      </w:r>
    </w:p>
    <w:p w14:paraId="43BBF99B" w14:textId="77777777" w:rsidR="00EC19CA" w:rsidRPr="00E75443" w:rsidRDefault="00E75443" w:rsidP="00E75443">
      <w:pPr>
        <w:pStyle w:val="Bibliografa"/>
        <w:rPr>
          <w:sz w:val="24"/>
        </w:rPr>
      </w:pPr>
      <w:r w:rsidRPr="00E75443">
        <w:rPr>
          <w:sz w:val="24"/>
        </w:rPr>
        <w:t>Naciones</w:t>
      </w:r>
      <w:r w:rsidRPr="00E75443">
        <w:rPr>
          <w:sz w:val="24"/>
        </w:rPr>
        <w:t xml:space="preserve"> </w:t>
      </w:r>
      <w:r w:rsidRPr="00E75443">
        <w:rPr>
          <w:sz w:val="24"/>
        </w:rPr>
        <w:t>U</w:t>
      </w:r>
      <w:r w:rsidRPr="00E75443">
        <w:rPr>
          <w:sz w:val="24"/>
        </w:rPr>
        <w:t>nidas.</w:t>
      </w:r>
      <w:r w:rsidRPr="00E75443">
        <w:rPr>
          <w:sz w:val="24"/>
        </w:rPr>
        <w:t xml:space="preserve"> </w:t>
      </w:r>
      <w:r w:rsidRPr="00E75443">
        <w:rPr>
          <w:sz w:val="24"/>
        </w:rPr>
        <w:t>(2024b).</w:t>
      </w:r>
      <w:r w:rsidRPr="00E75443">
        <w:rPr>
          <w:sz w:val="24"/>
        </w:rPr>
        <w:t xml:space="preserve"> </w:t>
      </w:r>
      <w:r w:rsidRPr="00E75443">
        <w:rPr>
          <w:sz w:val="24"/>
        </w:rPr>
        <w:t>Global</w:t>
      </w:r>
      <w:r w:rsidRPr="00E75443">
        <w:rPr>
          <w:sz w:val="24"/>
        </w:rPr>
        <w:t xml:space="preserve"> </w:t>
      </w:r>
      <w:r w:rsidRPr="00E75443">
        <w:rPr>
          <w:sz w:val="24"/>
        </w:rPr>
        <w:t>Digital</w:t>
      </w:r>
      <w:r w:rsidRPr="00E75443">
        <w:rPr>
          <w:sz w:val="24"/>
        </w:rPr>
        <w:t xml:space="preserve"> </w:t>
      </w:r>
      <w:r w:rsidRPr="00E75443">
        <w:rPr>
          <w:sz w:val="24"/>
        </w:rPr>
        <w:t>Compact</w:t>
      </w:r>
      <w:r w:rsidRPr="00E75443">
        <w:rPr>
          <w:sz w:val="24"/>
        </w:rPr>
        <w:t>.</w:t>
      </w:r>
      <w:r w:rsidRPr="00E75443">
        <w:rPr>
          <w:sz w:val="24"/>
        </w:rPr>
        <w:t xml:space="preserve"> </w:t>
      </w:r>
      <w:r w:rsidRPr="00E75443">
        <w:rPr>
          <w:sz w:val="24"/>
        </w:rPr>
        <w:t>En</w:t>
      </w:r>
      <w:r w:rsidRPr="00E75443">
        <w:rPr>
          <w:sz w:val="24"/>
        </w:rPr>
        <w:t xml:space="preserve"> </w:t>
      </w:r>
      <w:proofErr w:type="spellStart"/>
      <w:r w:rsidRPr="00E75443">
        <w:rPr>
          <w:sz w:val="24"/>
        </w:rPr>
        <w:t>The</w:t>
      </w:r>
      <w:proofErr w:type="spellEnd"/>
      <w:r w:rsidRPr="00E75443">
        <w:rPr>
          <w:sz w:val="24"/>
        </w:rPr>
        <w:t xml:space="preserve"> </w:t>
      </w:r>
      <w:proofErr w:type="spellStart"/>
      <w:r w:rsidRPr="00E75443">
        <w:rPr>
          <w:sz w:val="24"/>
        </w:rPr>
        <w:t>Pact</w:t>
      </w:r>
      <w:proofErr w:type="spellEnd"/>
      <w:r w:rsidRPr="00E75443">
        <w:rPr>
          <w:sz w:val="24"/>
        </w:rPr>
        <w:t xml:space="preserve"> </w:t>
      </w:r>
      <w:proofErr w:type="spellStart"/>
      <w:r w:rsidRPr="00E75443">
        <w:rPr>
          <w:sz w:val="24"/>
        </w:rPr>
        <w:t>for</w:t>
      </w:r>
      <w:proofErr w:type="spellEnd"/>
      <w:r w:rsidRPr="00E75443">
        <w:rPr>
          <w:sz w:val="24"/>
        </w:rPr>
        <w:t xml:space="preserve"> </w:t>
      </w:r>
      <w:proofErr w:type="spellStart"/>
      <w:r w:rsidRPr="00E75443">
        <w:rPr>
          <w:sz w:val="24"/>
        </w:rPr>
        <w:t>the</w:t>
      </w:r>
      <w:proofErr w:type="spellEnd"/>
      <w:r w:rsidRPr="00E75443">
        <w:rPr>
          <w:sz w:val="24"/>
        </w:rPr>
        <w:t xml:space="preserve"> Future </w:t>
      </w:r>
      <w:r w:rsidRPr="00E75443">
        <w:rPr>
          <w:sz w:val="24"/>
        </w:rPr>
        <w:t>(A/RES/79/1, Anexo I). Naciones Unidas.</w:t>
      </w:r>
    </w:p>
    <w:p w14:paraId="1D638C72" w14:textId="77777777" w:rsidR="00EC19CA" w:rsidRPr="00E75443" w:rsidRDefault="00E75443" w:rsidP="00E75443">
      <w:pPr>
        <w:pStyle w:val="Bibliografa"/>
        <w:rPr>
          <w:sz w:val="24"/>
        </w:rPr>
      </w:pPr>
      <w:proofErr w:type="spellStart"/>
      <w:r w:rsidRPr="00E75443">
        <w:rPr>
          <w:sz w:val="24"/>
        </w:rPr>
        <w:t>Organisation</w:t>
      </w:r>
      <w:proofErr w:type="spellEnd"/>
      <w:r w:rsidRPr="00E75443">
        <w:rPr>
          <w:sz w:val="24"/>
        </w:rPr>
        <w:t xml:space="preserve"> </w:t>
      </w:r>
      <w:proofErr w:type="spellStart"/>
      <w:r w:rsidRPr="00E75443">
        <w:rPr>
          <w:sz w:val="24"/>
        </w:rPr>
        <w:t>for</w:t>
      </w:r>
      <w:proofErr w:type="spellEnd"/>
      <w:r w:rsidRPr="00E75443">
        <w:rPr>
          <w:sz w:val="24"/>
        </w:rPr>
        <w:t xml:space="preserve"> </w:t>
      </w:r>
      <w:proofErr w:type="spellStart"/>
      <w:r w:rsidRPr="00E75443">
        <w:rPr>
          <w:sz w:val="24"/>
        </w:rPr>
        <w:t>Economic</w:t>
      </w:r>
      <w:proofErr w:type="spellEnd"/>
      <w:r w:rsidRPr="00E75443">
        <w:rPr>
          <w:sz w:val="24"/>
        </w:rPr>
        <w:t xml:space="preserve"> </w:t>
      </w:r>
      <w:proofErr w:type="spellStart"/>
      <w:r w:rsidRPr="00E75443">
        <w:rPr>
          <w:sz w:val="24"/>
        </w:rPr>
        <w:t>Co-operation</w:t>
      </w:r>
      <w:proofErr w:type="spellEnd"/>
      <w:r w:rsidRPr="00E75443">
        <w:rPr>
          <w:sz w:val="24"/>
        </w:rPr>
        <w:t xml:space="preserve"> </w:t>
      </w:r>
      <w:r w:rsidRPr="00E75443">
        <w:rPr>
          <w:sz w:val="24"/>
        </w:rPr>
        <w:t>and</w:t>
      </w:r>
      <w:r w:rsidRPr="00E75443">
        <w:rPr>
          <w:sz w:val="24"/>
        </w:rPr>
        <w:t xml:space="preserve"> </w:t>
      </w:r>
      <w:proofErr w:type="spellStart"/>
      <w:r w:rsidRPr="00E75443">
        <w:rPr>
          <w:sz w:val="24"/>
        </w:rPr>
        <w:t>Development</w:t>
      </w:r>
      <w:proofErr w:type="spellEnd"/>
      <w:r w:rsidRPr="00E75443">
        <w:rPr>
          <w:sz w:val="24"/>
        </w:rPr>
        <w:t xml:space="preserve">. (2024). </w:t>
      </w:r>
      <w:r w:rsidRPr="00E75443">
        <w:rPr>
          <w:sz w:val="24"/>
        </w:rPr>
        <w:t xml:space="preserve">OECD AI </w:t>
      </w:r>
      <w:proofErr w:type="spellStart"/>
      <w:r w:rsidRPr="00E75443">
        <w:rPr>
          <w:sz w:val="24"/>
        </w:rPr>
        <w:t>Principles</w:t>
      </w:r>
      <w:proofErr w:type="spellEnd"/>
      <w:r w:rsidRPr="00E75443">
        <w:rPr>
          <w:sz w:val="24"/>
        </w:rPr>
        <w:t>. OECD.</w:t>
      </w:r>
    </w:p>
    <w:p w14:paraId="0F0FC2CA" w14:textId="77777777" w:rsidR="00EC19CA" w:rsidRPr="00E75443" w:rsidRDefault="00E75443" w:rsidP="00E75443">
      <w:pPr>
        <w:pStyle w:val="Bibliografa"/>
        <w:rPr>
          <w:sz w:val="24"/>
        </w:rPr>
      </w:pPr>
      <w:r w:rsidRPr="00E75443">
        <w:rPr>
          <w:sz w:val="24"/>
        </w:rPr>
        <w:t xml:space="preserve">Roberts, H. (2024). Digital </w:t>
      </w:r>
      <w:proofErr w:type="spellStart"/>
      <w:r w:rsidRPr="00E75443">
        <w:rPr>
          <w:sz w:val="24"/>
        </w:rPr>
        <w:t>sovereignty</w:t>
      </w:r>
      <w:proofErr w:type="spellEnd"/>
      <w:r w:rsidRPr="00E75443">
        <w:rPr>
          <w:sz w:val="24"/>
        </w:rPr>
        <w:t xml:space="preserve"> and artificial </w:t>
      </w:r>
      <w:proofErr w:type="spellStart"/>
      <w:r w:rsidRPr="00E75443">
        <w:rPr>
          <w:sz w:val="24"/>
        </w:rPr>
        <w:t>inte</w:t>
      </w:r>
      <w:r w:rsidRPr="00E75443">
        <w:rPr>
          <w:sz w:val="24"/>
        </w:rPr>
        <w:t>lligence</w:t>
      </w:r>
      <w:proofErr w:type="spellEnd"/>
      <w:r w:rsidRPr="00E75443">
        <w:rPr>
          <w:sz w:val="24"/>
        </w:rPr>
        <w:t xml:space="preserve">: A </w:t>
      </w:r>
      <w:proofErr w:type="spellStart"/>
      <w:r w:rsidRPr="00E75443">
        <w:rPr>
          <w:sz w:val="24"/>
        </w:rPr>
        <w:t>normative</w:t>
      </w:r>
      <w:proofErr w:type="spellEnd"/>
      <w:r w:rsidRPr="00E75443">
        <w:rPr>
          <w:sz w:val="24"/>
        </w:rPr>
        <w:t xml:space="preserve"> </w:t>
      </w:r>
      <w:proofErr w:type="spellStart"/>
      <w:r w:rsidRPr="00E75443">
        <w:rPr>
          <w:sz w:val="24"/>
        </w:rPr>
        <w:t>approach</w:t>
      </w:r>
      <w:proofErr w:type="spellEnd"/>
      <w:r w:rsidRPr="00E75443">
        <w:rPr>
          <w:sz w:val="24"/>
        </w:rPr>
        <w:t>.</w:t>
      </w:r>
      <w:r w:rsidRPr="00E75443">
        <w:rPr>
          <w:sz w:val="24"/>
        </w:rPr>
        <w:t xml:space="preserve"> </w:t>
      </w:r>
      <w:proofErr w:type="spellStart"/>
      <w:r w:rsidRPr="00E75443">
        <w:rPr>
          <w:sz w:val="24"/>
        </w:rPr>
        <w:t>Ethics</w:t>
      </w:r>
      <w:proofErr w:type="spellEnd"/>
      <w:r w:rsidRPr="00E75443">
        <w:rPr>
          <w:sz w:val="24"/>
        </w:rPr>
        <w:t xml:space="preserve"> and </w:t>
      </w:r>
      <w:proofErr w:type="spellStart"/>
      <w:r w:rsidRPr="00E75443">
        <w:rPr>
          <w:sz w:val="24"/>
        </w:rPr>
        <w:t>Information</w:t>
      </w:r>
      <w:proofErr w:type="spellEnd"/>
      <w:r w:rsidRPr="00E75443">
        <w:rPr>
          <w:sz w:val="24"/>
        </w:rPr>
        <w:t xml:space="preserve"> </w:t>
      </w:r>
      <w:proofErr w:type="spellStart"/>
      <w:r w:rsidRPr="00E75443">
        <w:rPr>
          <w:sz w:val="24"/>
        </w:rPr>
        <w:t>Technology</w:t>
      </w:r>
      <w:proofErr w:type="spellEnd"/>
      <w:r w:rsidRPr="00E75443">
        <w:rPr>
          <w:sz w:val="24"/>
        </w:rPr>
        <w:t>, 26</w:t>
      </w:r>
      <w:r w:rsidRPr="00E75443">
        <w:rPr>
          <w:sz w:val="24"/>
        </w:rPr>
        <w:t xml:space="preserve">, 70. </w:t>
      </w:r>
      <w:r w:rsidRPr="00E75443">
        <w:rPr>
          <w:sz w:val="24"/>
        </w:rPr>
        <w:t>doi:10.1007/s10676-024-09810-5</w:t>
      </w:r>
    </w:p>
    <w:p w14:paraId="6AB07CE6" w14:textId="77777777" w:rsidR="00EC19CA" w:rsidRPr="00E75443" w:rsidRDefault="00EC19CA" w:rsidP="00E75443">
      <w:pPr>
        <w:pStyle w:val="Bibliografa"/>
        <w:rPr>
          <w:sz w:val="24"/>
        </w:rPr>
        <w:sectPr w:rsidR="00EC19CA" w:rsidRPr="00E75443">
          <w:pgSz w:w="8850" w:h="13250"/>
          <w:pgMar w:top="1060" w:right="992" w:bottom="280" w:left="992" w:header="720" w:footer="720" w:gutter="0"/>
          <w:cols w:space="720"/>
        </w:sectPr>
      </w:pPr>
    </w:p>
    <w:p w14:paraId="0FB46244" w14:textId="77777777" w:rsidR="00EC19CA" w:rsidRPr="00E75443" w:rsidRDefault="00E75443" w:rsidP="00E75443">
      <w:pPr>
        <w:pStyle w:val="Bibliografa"/>
        <w:rPr>
          <w:sz w:val="24"/>
        </w:rPr>
      </w:pPr>
      <w:r w:rsidRPr="00E75443">
        <w:rPr>
          <w:sz w:val="24"/>
        </w:rPr>
        <w:lastRenderedPageBreak/>
        <w:t xml:space="preserve">Roberts, H., </w:t>
      </w:r>
      <w:proofErr w:type="spellStart"/>
      <w:r w:rsidRPr="00E75443">
        <w:rPr>
          <w:sz w:val="24"/>
        </w:rPr>
        <w:t>Hine</w:t>
      </w:r>
      <w:proofErr w:type="spellEnd"/>
      <w:r w:rsidRPr="00E75443">
        <w:rPr>
          <w:sz w:val="24"/>
        </w:rPr>
        <w:t xml:space="preserve">, E., Taddeo, M., &amp; </w:t>
      </w:r>
      <w:proofErr w:type="spellStart"/>
      <w:r w:rsidRPr="00E75443">
        <w:rPr>
          <w:sz w:val="24"/>
        </w:rPr>
        <w:t>Floridi</w:t>
      </w:r>
      <w:proofErr w:type="spellEnd"/>
      <w:r w:rsidRPr="00E75443">
        <w:rPr>
          <w:sz w:val="24"/>
        </w:rPr>
        <w:t xml:space="preserve">, L. (2024). Global AI </w:t>
      </w:r>
      <w:proofErr w:type="spellStart"/>
      <w:r w:rsidRPr="00E75443">
        <w:rPr>
          <w:sz w:val="24"/>
        </w:rPr>
        <w:t>governance</w:t>
      </w:r>
      <w:proofErr w:type="spellEnd"/>
      <w:r w:rsidRPr="00E75443">
        <w:rPr>
          <w:sz w:val="24"/>
        </w:rPr>
        <w:t xml:space="preserve">: </w:t>
      </w:r>
      <w:proofErr w:type="spellStart"/>
      <w:r w:rsidRPr="00E75443">
        <w:rPr>
          <w:sz w:val="24"/>
        </w:rPr>
        <w:t>Barriers</w:t>
      </w:r>
      <w:proofErr w:type="spellEnd"/>
      <w:r w:rsidRPr="00E75443">
        <w:rPr>
          <w:sz w:val="24"/>
        </w:rPr>
        <w:t xml:space="preserve"> and </w:t>
      </w:r>
      <w:proofErr w:type="spellStart"/>
      <w:r w:rsidRPr="00E75443">
        <w:rPr>
          <w:sz w:val="24"/>
        </w:rPr>
        <w:t>pathways</w:t>
      </w:r>
      <w:proofErr w:type="spellEnd"/>
      <w:r w:rsidRPr="00E75443">
        <w:rPr>
          <w:sz w:val="24"/>
        </w:rPr>
        <w:t xml:space="preserve"> forward.</w:t>
      </w:r>
      <w:r w:rsidRPr="00E75443">
        <w:rPr>
          <w:sz w:val="24"/>
        </w:rPr>
        <w:t xml:space="preserve"> </w:t>
      </w:r>
      <w:r w:rsidRPr="00E75443">
        <w:rPr>
          <w:sz w:val="24"/>
        </w:rPr>
        <w:t xml:space="preserve">International </w:t>
      </w:r>
      <w:proofErr w:type="spellStart"/>
      <w:r w:rsidRPr="00E75443">
        <w:rPr>
          <w:sz w:val="24"/>
        </w:rPr>
        <w:t>Affairs</w:t>
      </w:r>
      <w:proofErr w:type="spellEnd"/>
      <w:r w:rsidRPr="00E75443">
        <w:rPr>
          <w:sz w:val="24"/>
        </w:rPr>
        <w:t>, 100</w:t>
      </w:r>
      <w:r w:rsidRPr="00E75443">
        <w:rPr>
          <w:sz w:val="24"/>
        </w:rPr>
        <w:t>(3), 1275–1286. doi:10.1093/</w:t>
      </w:r>
      <w:proofErr w:type="spellStart"/>
      <w:r w:rsidRPr="00E75443">
        <w:rPr>
          <w:sz w:val="24"/>
        </w:rPr>
        <w:t>ia</w:t>
      </w:r>
      <w:proofErr w:type="spellEnd"/>
      <w:r w:rsidRPr="00E75443">
        <w:rPr>
          <w:sz w:val="24"/>
        </w:rPr>
        <w:t>/iiae073</w:t>
      </w:r>
    </w:p>
    <w:p w14:paraId="162A94F6" w14:textId="77777777" w:rsidR="00EC19CA" w:rsidRPr="00E75443" w:rsidRDefault="00E75443" w:rsidP="00E75443">
      <w:pPr>
        <w:pStyle w:val="Bibliografa"/>
        <w:rPr>
          <w:sz w:val="24"/>
        </w:rPr>
      </w:pPr>
      <w:r w:rsidRPr="00E75443">
        <w:rPr>
          <w:sz w:val="24"/>
        </w:rPr>
        <w:t>UNESCO. (2022).</w:t>
      </w:r>
      <w:r w:rsidRPr="00E75443">
        <w:rPr>
          <w:sz w:val="24"/>
        </w:rPr>
        <w:t xml:space="preserve"> </w:t>
      </w:r>
      <w:proofErr w:type="spellStart"/>
      <w:r w:rsidRPr="00E75443">
        <w:rPr>
          <w:sz w:val="24"/>
        </w:rPr>
        <w:t>Recommendation</w:t>
      </w:r>
      <w:proofErr w:type="spellEnd"/>
      <w:r w:rsidRPr="00E75443">
        <w:rPr>
          <w:sz w:val="24"/>
        </w:rPr>
        <w:t xml:space="preserve"> </w:t>
      </w:r>
      <w:proofErr w:type="spellStart"/>
      <w:r w:rsidRPr="00E75443">
        <w:rPr>
          <w:sz w:val="24"/>
        </w:rPr>
        <w:t>on</w:t>
      </w:r>
      <w:proofErr w:type="spellEnd"/>
      <w:r w:rsidRPr="00E75443">
        <w:rPr>
          <w:sz w:val="24"/>
        </w:rPr>
        <w:t xml:space="preserve"> </w:t>
      </w:r>
      <w:proofErr w:type="spellStart"/>
      <w:r w:rsidRPr="00E75443">
        <w:rPr>
          <w:sz w:val="24"/>
        </w:rPr>
        <w:t>the</w:t>
      </w:r>
      <w:proofErr w:type="spellEnd"/>
      <w:r w:rsidRPr="00E75443">
        <w:rPr>
          <w:sz w:val="24"/>
        </w:rPr>
        <w:t xml:space="preserve"> </w:t>
      </w:r>
      <w:proofErr w:type="spellStart"/>
      <w:r w:rsidRPr="00E75443">
        <w:rPr>
          <w:sz w:val="24"/>
        </w:rPr>
        <w:t>Ethics</w:t>
      </w:r>
      <w:proofErr w:type="spellEnd"/>
      <w:r w:rsidRPr="00E75443">
        <w:rPr>
          <w:sz w:val="24"/>
        </w:rPr>
        <w:t xml:space="preserve"> </w:t>
      </w:r>
      <w:proofErr w:type="spellStart"/>
      <w:r w:rsidRPr="00E75443">
        <w:rPr>
          <w:sz w:val="24"/>
        </w:rPr>
        <w:t>of</w:t>
      </w:r>
      <w:proofErr w:type="spellEnd"/>
      <w:r w:rsidRPr="00E75443">
        <w:rPr>
          <w:sz w:val="24"/>
        </w:rPr>
        <w:t xml:space="preserve"> Artificial </w:t>
      </w:r>
      <w:proofErr w:type="spellStart"/>
      <w:r w:rsidRPr="00E75443">
        <w:rPr>
          <w:sz w:val="24"/>
        </w:rPr>
        <w:t>Intelligence</w:t>
      </w:r>
      <w:proofErr w:type="spellEnd"/>
      <w:r w:rsidRPr="00E75443">
        <w:rPr>
          <w:sz w:val="24"/>
        </w:rPr>
        <w:t>. UNESCO.</w:t>
      </w:r>
    </w:p>
    <w:p w14:paraId="7AA15511" w14:textId="77777777" w:rsidR="00EC19CA" w:rsidRPr="00E75443" w:rsidRDefault="00E75443" w:rsidP="00E75443">
      <w:pPr>
        <w:pStyle w:val="Bibliografa"/>
        <w:rPr>
          <w:sz w:val="24"/>
        </w:rPr>
      </w:pPr>
      <w:proofErr w:type="spellStart"/>
      <w:r w:rsidRPr="00E75443">
        <w:rPr>
          <w:sz w:val="24"/>
        </w:rPr>
        <w:t>United</w:t>
      </w:r>
      <w:proofErr w:type="spellEnd"/>
      <w:r w:rsidRPr="00E75443">
        <w:rPr>
          <w:sz w:val="24"/>
        </w:rPr>
        <w:t xml:space="preserve"> </w:t>
      </w:r>
      <w:proofErr w:type="spellStart"/>
      <w:r w:rsidRPr="00E75443">
        <w:rPr>
          <w:sz w:val="24"/>
        </w:rPr>
        <w:t>Nations</w:t>
      </w:r>
      <w:proofErr w:type="spellEnd"/>
      <w:r w:rsidRPr="00E75443">
        <w:rPr>
          <w:sz w:val="24"/>
        </w:rPr>
        <w:t xml:space="preserve"> </w:t>
      </w:r>
      <w:r w:rsidRPr="00E75443">
        <w:rPr>
          <w:sz w:val="24"/>
        </w:rPr>
        <w:t>High-</w:t>
      </w:r>
      <w:proofErr w:type="spellStart"/>
      <w:r w:rsidRPr="00E75443">
        <w:rPr>
          <w:sz w:val="24"/>
        </w:rPr>
        <w:t>level</w:t>
      </w:r>
      <w:proofErr w:type="spellEnd"/>
      <w:r w:rsidRPr="00E75443">
        <w:rPr>
          <w:sz w:val="24"/>
        </w:rPr>
        <w:t xml:space="preserve"> </w:t>
      </w:r>
      <w:proofErr w:type="spellStart"/>
      <w:r w:rsidRPr="00E75443">
        <w:rPr>
          <w:sz w:val="24"/>
        </w:rPr>
        <w:t>Advisory</w:t>
      </w:r>
      <w:proofErr w:type="spellEnd"/>
      <w:r w:rsidRPr="00E75443">
        <w:rPr>
          <w:sz w:val="24"/>
        </w:rPr>
        <w:t xml:space="preserve"> </w:t>
      </w:r>
      <w:proofErr w:type="spellStart"/>
      <w:r w:rsidRPr="00E75443">
        <w:rPr>
          <w:sz w:val="24"/>
        </w:rPr>
        <w:t>Body</w:t>
      </w:r>
      <w:proofErr w:type="spellEnd"/>
      <w:r w:rsidRPr="00E75443">
        <w:rPr>
          <w:sz w:val="24"/>
        </w:rPr>
        <w:t xml:space="preserve"> </w:t>
      </w:r>
      <w:proofErr w:type="spellStart"/>
      <w:r w:rsidRPr="00E75443">
        <w:rPr>
          <w:sz w:val="24"/>
        </w:rPr>
        <w:t>on</w:t>
      </w:r>
      <w:proofErr w:type="spellEnd"/>
      <w:r w:rsidRPr="00E75443">
        <w:rPr>
          <w:sz w:val="24"/>
        </w:rPr>
        <w:t xml:space="preserve"> </w:t>
      </w:r>
      <w:r w:rsidRPr="00E75443">
        <w:rPr>
          <w:sz w:val="24"/>
        </w:rPr>
        <w:t>Artificial</w:t>
      </w:r>
      <w:r w:rsidRPr="00E75443">
        <w:rPr>
          <w:sz w:val="24"/>
        </w:rPr>
        <w:t xml:space="preserve"> </w:t>
      </w:r>
      <w:proofErr w:type="spellStart"/>
      <w:r w:rsidRPr="00E75443">
        <w:rPr>
          <w:sz w:val="24"/>
        </w:rPr>
        <w:t>Intelligence</w:t>
      </w:r>
      <w:proofErr w:type="spellEnd"/>
      <w:r w:rsidRPr="00E75443">
        <w:rPr>
          <w:sz w:val="24"/>
        </w:rPr>
        <w:t xml:space="preserve">. (2024). </w:t>
      </w:r>
      <w:proofErr w:type="spellStart"/>
      <w:r w:rsidRPr="00E75443">
        <w:rPr>
          <w:sz w:val="24"/>
        </w:rPr>
        <w:t>Governing</w:t>
      </w:r>
      <w:proofErr w:type="spellEnd"/>
      <w:r w:rsidRPr="00E75443">
        <w:rPr>
          <w:sz w:val="24"/>
        </w:rPr>
        <w:t xml:space="preserve"> AI </w:t>
      </w:r>
      <w:proofErr w:type="spellStart"/>
      <w:r w:rsidRPr="00E75443">
        <w:rPr>
          <w:sz w:val="24"/>
        </w:rPr>
        <w:t>for</w:t>
      </w:r>
      <w:proofErr w:type="spellEnd"/>
      <w:r w:rsidRPr="00E75443">
        <w:rPr>
          <w:sz w:val="24"/>
        </w:rPr>
        <w:t xml:space="preserve"> </w:t>
      </w:r>
      <w:proofErr w:type="spellStart"/>
      <w:r w:rsidRPr="00E75443">
        <w:rPr>
          <w:sz w:val="24"/>
        </w:rPr>
        <w:t>humanity</w:t>
      </w:r>
      <w:proofErr w:type="spellEnd"/>
      <w:r w:rsidRPr="00E75443">
        <w:rPr>
          <w:sz w:val="24"/>
        </w:rPr>
        <w:t xml:space="preserve">: Final </w:t>
      </w:r>
      <w:proofErr w:type="spellStart"/>
      <w:r w:rsidRPr="00E75443">
        <w:rPr>
          <w:sz w:val="24"/>
        </w:rPr>
        <w:t>report</w:t>
      </w:r>
      <w:proofErr w:type="spellEnd"/>
      <w:r w:rsidRPr="00E75443">
        <w:rPr>
          <w:sz w:val="24"/>
        </w:rPr>
        <w:t xml:space="preserve">. </w:t>
      </w:r>
      <w:proofErr w:type="spellStart"/>
      <w:r w:rsidRPr="00E75443">
        <w:rPr>
          <w:sz w:val="24"/>
        </w:rPr>
        <w:t>United</w:t>
      </w:r>
      <w:proofErr w:type="spellEnd"/>
      <w:r w:rsidRPr="00E75443">
        <w:rPr>
          <w:sz w:val="24"/>
        </w:rPr>
        <w:t xml:space="preserve"> </w:t>
      </w:r>
      <w:proofErr w:type="spellStart"/>
      <w:r w:rsidRPr="00E75443">
        <w:rPr>
          <w:sz w:val="24"/>
        </w:rPr>
        <w:t>Nations</w:t>
      </w:r>
      <w:proofErr w:type="spellEnd"/>
      <w:r w:rsidRPr="00E75443">
        <w:rPr>
          <w:sz w:val="24"/>
        </w:rPr>
        <w:t>.</w:t>
      </w:r>
    </w:p>
    <w:p w14:paraId="1A4953C1" w14:textId="77777777" w:rsidR="00EC19CA" w:rsidRPr="00E75443" w:rsidRDefault="00E75443" w:rsidP="00E75443">
      <w:pPr>
        <w:pStyle w:val="Bibliografa"/>
        <w:rPr>
          <w:sz w:val="24"/>
        </w:rPr>
      </w:pPr>
      <w:r w:rsidRPr="00E75443">
        <w:rPr>
          <w:sz w:val="24"/>
        </w:rPr>
        <w:t>Uni</w:t>
      </w:r>
      <w:r w:rsidRPr="00E75443">
        <w:rPr>
          <w:sz w:val="24"/>
        </w:rPr>
        <w:t>ón</w:t>
      </w:r>
      <w:r w:rsidRPr="00E75443">
        <w:rPr>
          <w:sz w:val="24"/>
        </w:rPr>
        <w:t xml:space="preserve"> </w:t>
      </w:r>
      <w:r w:rsidRPr="00E75443">
        <w:rPr>
          <w:sz w:val="24"/>
        </w:rPr>
        <w:t>Europea.</w:t>
      </w:r>
      <w:r w:rsidRPr="00E75443">
        <w:rPr>
          <w:sz w:val="24"/>
        </w:rPr>
        <w:t xml:space="preserve"> </w:t>
      </w:r>
      <w:r w:rsidRPr="00E75443">
        <w:rPr>
          <w:sz w:val="24"/>
        </w:rPr>
        <w:t>(2024).</w:t>
      </w:r>
      <w:r w:rsidRPr="00E75443">
        <w:rPr>
          <w:sz w:val="24"/>
        </w:rPr>
        <w:t xml:space="preserve"> </w:t>
      </w:r>
      <w:r w:rsidRPr="00E75443">
        <w:rPr>
          <w:sz w:val="24"/>
        </w:rPr>
        <w:t>Reglamento</w:t>
      </w:r>
      <w:r w:rsidRPr="00E75443">
        <w:rPr>
          <w:sz w:val="24"/>
        </w:rPr>
        <w:t xml:space="preserve"> </w:t>
      </w:r>
      <w:r w:rsidRPr="00E75443">
        <w:rPr>
          <w:sz w:val="24"/>
        </w:rPr>
        <w:t>(UE)</w:t>
      </w:r>
      <w:r w:rsidRPr="00E75443">
        <w:rPr>
          <w:sz w:val="24"/>
        </w:rPr>
        <w:t xml:space="preserve"> </w:t>
      </w:r>
      <w:r w:rsidRPr="00E75443">
        <w:rPr>
          <w:sz w:val="24"/>
        </w:rPr>
        <w:t>2024/1689</w:t>
      </w:r>
      <w:r w:rsidRPr="00E75443">
        <w:rPr>
          <w:sz w:val="24"/>
        </w:rPr>
        <w:t xml:space="preserve"> </w:t>
      </w:r>
      <w:r w:rsidRPr="00E75443">
        <w:rPr>
          <w:sz w:val="24"/>
        </w:rPr>
        <w:t>del</w:t>
      </w:r>
      <w:r w:rsidRPr="00E75443">
        <w:rPr>
          <w:sz w:val="24"/>
        </w:rPr>
        <w:t xml:space="preserve"> </w:t>
      </w:r>
      <w:r w:rsidRPr="00E75443">
        <w:rPr>
          <w:sz w:val="24"/>
        </w:rPr>
        <w:t>Parlamento Europeo y del Consejo, de 13 de junio de 2024, por el que se establecen</w:t>
      </w:r>
      <w:r w:rsidRPr="00E75443">
        <w:rPr>
          <w:sz w:val="24"/>
        </w:rPr>
        <w:t xml:space="preserve"> </w:t>
      </w:r>
      <w:r w:rsidRPr="00E75443">
        <w:rPr>
          <w:sz w:val="24"/>
        </w:rPr>
        <w:t>normas</w:t>
      </w:r>
      <w:r w:rsidRPr="00E75443">
        <w:rPr>
          <w:sz w:val="24"/>
        </w:rPr>
        <w:t xml:space="preserve"> </w:t>
      </w:r>
      <w:r w:rsidRPr="00E75443">
        <w:rPr>
          <w:sz w:val="24"/>
        </w:rPr>
        <w:t>armonizadas</w:t>
      </w:r>
      <w:r w:rsidRPr="00E75443">
        <w:rPr>
          <w:sz w:val="24"/>
        </w:rPr>
        <w:t xml:space="preserve"> </w:t>
      </w:r>
      <w:r w:rsidRPr="00E75443">
        <w:rPr>
          <w:sz w:val="24"/>
        </w:rPr>
        <w:t>en</w:t>
      </w:r>
      <w:r w:rsidRPr="00E75443">
        <w:rPr>
          <w:sz w:val="24"/>
        </w:rPr>
        <w:t xml:space="preserve"> </w:t>
      </w:r>
      <w:r w:rsidRPr="00E75443">
        <w:rPr>
          <w:sz w:val="24"/>
        </w:rPr>
        <w:t>materia</w:t>
      </w:r>
      <w:r w:rsidRPr="00E75443">
        <w:rPr>
          <w:sz w:val="24"/>
        </w:rPr>
        <w:t xml:space="preserve"> </w:t>
      </w:r>
      <w:r w:rsidRPr="00E75443">
        <w:rPr>
          <w:sz w:val="24"/>
        </w:rPr>
        <w:t>de</w:t>
      </w:r>
      <w:r w:rsidRPr="00E75443">
        <w:rPr>
          <w:sz w:val="24"/>
        </w:rPr>
        <w:t xml:space="preserve"> </w:t>
      </w:r>
      <w:r w:rsidRPr="00E75443">
        <w:rPr>
          <w:sz w:val="24"/>
        </w:rPr>
        <w:t>inteligencia</w:t>
      </w:r>
      <w:r w:rsidRPr="00E75443">
        <w:rPr>
          <w:sz w:val="24"/>
        </w:rPr>
        <w:t xml:space="preserve"> </w:t>
      </w:r>
      <w:r w:rsidRPr="00E75443">
        <w:rPr>
          <w:sz w:val="24"/>
        </w:rPr>
        <w:t>artificial (Reglamento de Inteligencia Artificial)</w:t>
      </w:r>
      <w:r w:rsidRPr="00E75443">
        <w:rPr>
          <w:sz w:val="24"/>
        </w:rPr>
        <w:t>.</w:t>
      </w:r>
      <w:r w:rsidRPr="00E75443">
        <w:rPr>
          <w:sz w:val="24"/>
        </w:rPr>
        <w:t xml:space="preserve"> </w:t>
      </w:r>
      <w:r w:rsidRPr="00E75443">
        <w:rPr>
          <w:sz w:val="24"/>
        </w:rPr>
        <w:t>Diario Oficial de la Unió</w:t>
      </w:r>
      <w:r w:rsidRPr="00E75443">
        <w:rPr>
          <w:sz w:val="24"/>
        </w:rPr>
        <w:t xml:space="preserve">n </w:t>
      </w:r>
      <w:r w:rsidRPr="00E75443">
        <w:rPr>
          <w:sz w:val="24"/>
        </w:rPr>
        <w:t>Europea</w:t>
      </w:r>
      <w:r w:rsidRPr="00E75443">
        <w:rPr>
          <w:sz w:val="24"/>
        </w:rPr>
        <w:t>.</w:t>
      </w:r>
    </w:p>
    <w:sectPr w:rsidR="00EC19CA" w:rsidRPr="00E75443">
      <w:pgSz w:w="8850" w:h="13250"/>
      <w:pgMar w:top="106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58201C"/>
    <w:multiLevelType w:val="multilevel"/>
    <w:tmpl w:val="43160AF0"/>
    <w:lvl w:ilvl="0">
      <w:start w:val="1"/>
      <w:numFmt w:val="decimal"/>
      <w:lvlText w:val="%1."/>
      <w:lvlJc w:val="left"/>
      <w:pPr>
        <w:ind w:left="383" w:hanging="243"/>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start w:val="1"/>
      <w:numFmt w:val="decimal"/>
      <w:lvlText w:val="%1.%2."/>
      <w:lvlJc w:val="left"/>
      <w:pPr>
        <w:ind w:left="535" w:hanging="395"/>
        <w:jc w:val="left"/>
      </w:pPr>
      <w:rPr>
        <w:rFonts w:ascii="Times New Roman" w:eastAsia="Times New Roman" w:hAnsi="Times New Roman" w:cs="Times New Roman" w:hint="default"/>
        <w:b w:val="0"/>
        <w:bCs w:val="0"/>
        <w:i w:val="0"/>
        <w:iCs w:val="0"/>
        <w:spacing w:val="0"/>
        <w:w w:val="100"/>
        <w:sz w:val="23"/>
        <w:szCs w:val="23"/>
        <w:lang w:val="es-ES" w:eastAsia="en-US" w:bidi="ar-SA"/>
      </w:rPr>
    </w:lvl>
    <w:lvl w:ilvl="2">
      <w:numFmt w:val="bullet"/>
      <w:lvlText w:val="–"/>
      <w:lvlJc w:val="left"/>
      <w:pPr>
        <w:ind w:left="991" w:hanging="284"/>
      </w:pPr>
      <w:rPr>
        <w:rFonts w:ascii="Times New Roman" w:eastAsia="Times New Roman" w:hAnsi="Times New Roman" w:cs="Times New Roman" w:hint="default"/>
        <w:b w:val="0"/>
        <w:bCs w:val="0"/>
        <w:i w:val="0"/>
        <w:iCs w:val="0"/>
        <w:spacing w:val="0"/>
        <w:w w:val="100"/>
        <w:sz w:val="23"/>
        <w:szCs w:val="23"/>
        <w:lang w:val="es-ES" w:eastAsia="en-US" w:bidi="ar-SA"/>
      </w:rPr>
    </w:lvl>
    <w:lvl w:ilvl="3">
      <w:numFmt w:val="bullet"/>
      <w:lvlText w:val="•"/>
      <w:lvlJc w:val="left"/>
      <w:pPr>
        <w:ind w:left="1732" w:hanging="284"/>
      </w:pPr>
      <w:rPr>
        <w:rFonts w:hint="default"/>
        <w:lang w:val="es-ES" w:eastAsia="en-US" w:bidi="ar-SA"/>
      </w:rPr>
    </w:lvl>
    <w:lvl w:ilvl="4">
      <w:numFmt w:val="bullet"/>
      <w:lvlText w:val="•"/>
      <w:lvlJc w:val="left"/>
      <w:pPr>
        <w:ind w:left="2465" w:hanging="284"/>
      </w:pPr>
      <w:rPr>
        <w:rFonts w:hint="default"/>
        <w:lang w:val="es-ES" w:eastAsia="en-US" w:bidi="ar-SA"/>
      </w:rPr>
    </w:lvl>
    <w:lvl w:ilvl="5">
      <w:numFmt w:val="bullet"/>
      <w:lvlText w:val="•"/>
      <w:lvlJc w:val="left"/>
      <w:pPr>
        <w:ind w:left="3197" w:hanging="284"/>
      </w:pPr>
      <w:rPr>
        <w:rFonts w:hint="default"/>
        <w:lang w:val="es-ES" w:eastAsia="en-US" w:bidi="ar-SA"/>
      </w:rPr>
    </w:lvl>
    <w:lvl w:ilvl="6">
      <w:numFmt w:val="bullet"/>
      <w:lvlText w:val="•"/>
      <w:lvlJc w:val="left"/>
      <w:pPr>
        <w:ind w:left="3930" w:hanging="284"/>
      </w:pPr>
      <w:rPr>
        <w:rFonts w:hint="default"/>
        <w:lang w:val="es-ES" w:eastAsia="en-US" w:bidi="ar-SA"/>
      </w:rPr>
    </w:lvl>
    <w:lvl w:ilvl="7">
      <w:numFmt w:val="bullet"/>
      <w:lvlText w:val="•"/>
      <w:lvlJc w:val="left"/>
      <w:pPr>
        <w:ind w:left="4663" w:hanging="284"/>
      </w:pPr>
      <w:rPr>
        <w:rFonts w:hint="default"/>
        <w:lang w:val="es-ES" w:eastAsia="en-US" w:bidi="ar-SA"/>
      </w:rPr>
    </w:lvl>
    <w:lvl w:ilvl="8">
      <w:numFmt w:val="bullet"/>
      <w:lvlText w:val="•"/>
      <w:lvlJc w:val="left"/>
      <w:pPr>
        <w:ind w:left="5395" w:hanging="284"/>
      </w:pPr>
      <w:rPr>
        <w:rFonts w:hint="default"/>
        <w:lang w:val="es-ES" w:eastAsia="en-US" w:bidi="ar-SA"/>
      </w:rPr>
    </w:lvl>
  </w:abstractNum>
  <w:abstractNum w:abstractNumId="1" w15:restartNumberingAfterBreak="0">
    <w:nsid w:val="36CF6D41"/>
    <w:multiLevelType w:val="multilevel"/>
    <w:tmpl w:val="D34E1752"/>
    <w:lvl w:ilvl="0">
      <w:start w:val="2"/>
      <w:numFmt w:val="decimal"/>
      <w:lvlText w:val="%1"/>
      <w:lvlJc w:val="left"/>
      <w:pPr>
        <w:ind w:left="535" w:hanging="395"/>
        <w:jc w:val="left"/>
      </w:pPr>
      <w:rPr>
        <w:rFonts w:hint="default"/>
        <w:lang w:val="es-ES" w:eastAsia="en-US" w:bidi="ar-SA"/>
      </w:rPr>
    </w:lvl>
    <w:lvl w:ilvl="1">
      <w:start w:val="1"/>
      <w:numFmt w:val="decimal"/>
      <w:lvlText w:val="%1.%2."/>
      <w:lvlJc w:val="left"/>
      <w:pPr>
        <w:ind w:left="535" w:hanging="395"/>
        <w:jc w:val="left"/>
      </w:pPr>
      <w:rPr>
        <w:rFonts w:ascii="Times New Roman" w:eastAsia="Times New Roman" w:hAnsi="Times New Roman" w:cs="Times New Roman" w:hint="default"/>
        <w:b w:val="0"/>
        <w:bCs w:val="0"/>
        <w:i w:val="0"/>
        <w:iCs w:val="0"/>
        <w:spacing w:val="0"/>
        <w:w w:val="100"/>
        <w:sz w:val="23"/>
        <w:szCs w:val="23"/>
        <w:lang w:val="es-ES" w:eastAsia="en-US" w:bidi="ar-SA"/>
      </w:rPr>
    </w:lvl>
    <w:lvl w:ilvl="2">
      <w:numFmt w:val="bullet"/>
      <w:lvlText w:val="•"/>
      <w:lvlJc w:val="left"/>
      <w:pPr>
        <w:ind w:left="1804" w:hanging="395"/>
      </w:pPr>
      <w:rPr>
        <w:rFonts w:hint="default"/>
        <w:lang w:val="es-ES" w:eastAsia="en-US" w:bidi="ar-SA"/>
      </w:rPr>
    </w:lvl>
    <w:lvl w:ilvl="3">
      <w:numFmt w:val="bullet"/>
      <w:lvlText w:val="•"/>
      <w:lvlJc w:val="left"/>
      <w:pPr>
        <w:ind w:left="2436" w:hanging="395"/>
      </w:pPr>
      <w:rPr>
        <w:rFonts w:hint="default"/>
        <w:lang w:val="es-ES" w:eastAsia="en-US" w:bidi="ar-SA"/>
      </w:rPr>
    </w:lvl>
    <w:lvl w:ilvl="4">
      <w:numFmt w:val="bullet"/>
      <w:lvlText w:val="•"/>
      <w:lvlJc w:val="left"/>
      <w:pPr>
        <w:ind w:left="3068" w:hanging="395"/>
      </w:pPr>
      <w:rPr>
        <w:rFonts w:hint="default"/>
        <w:lang w:val="es-ES" w:eastAsia="en-US" w:bidi="ar-SA"/>
      </w:rPr>
    </w:lvl>
    <w:lvl w:ilvl="5">
      <w:numFmt w:val="bullet"/>
      <w:lvlText w:val="•"/>
      <w:lvlJc w:val="left"/>
      <w:pPr>
        <w:ind w:left="3700" w:hanging="395"/>
      </w:pPr>
      <w:rPr>
        <w:rFonts w:hint="default"/>
        <w:lang w:val="es-ES" w:eastAsia="en-US" w:bidi="ar-SA"/>
      </w:rPr>
    </w:lvl>
    <w:lvl w:ilvl="6">
      <w:numFmt w:val="bullet"/>
      <w:lvlText w:val="•"/>
      <w:lvlJc w:val="left"/>
      <w:pPr>
        <w:ind w:left="4332" w:hanging="395"/>
      </w:pPr>
      <w:rPr>
        <w:rFonts w:hint="default"/>
        <w:lang w:val="es-ES" w:eastAsia="en-US" w:bidi="ar-SA"/>
      </w:rPr>
    </w:lvl>
    <w:lvl w:ilvl="7">
      <w:numFmt w:val="bullet"/>
      <w:lvlText w:val="•"/>
      <w:lvlJc w:val="left"/>
      <w:pPr>
        <w:ind w:left="4964" w:hanging="395"/>
      </w:pPr>
      <w:rPr>
        <w:rFonts w:hint="default"/>
        <w:lang w:val="es-ES" w:eastAsia="en-US" w:bidi="ar-SA"/>
      </w:rPr>
    </w:lvl>
    <w:lvl w:ilvl="8">
      <w:numFmt w:val="bullet"/>
      <w:lvlText w:val="•"/>
      <w:lvlJc w:val="left"/>
      <w:pPr>
        <w:ind w:left="5596" w:hanging="395"/>
      </w:pPr>
      <w:rPr>
        <w:rFonts w:hint="default"/>
        <w:lang w:val="es-ES" w:eastAsia="en-US" w:bidi="ar-SA"/>
      </w:rPr>
    </w:lvl>
  </w:abstractNum>
  <w:abstractNum w:abstractNumId="2" w15:restartNumberingAfterBreak="0">
    <w:nsid w:val="457150E8"/>
    <w:multiLevelType w:val="hybridMultilevel"/>
    <w:tmpl w:val="6700EC92"/>
    <w:lvl w:ilvl="0" w:tplc="068EEC50">
      <w:start w:val="1"/>
      <w:numFmt w:val="lowerLetter"/>
      <w:lvlText w:val="%1."/>
      <w:lvlJc w:val="left"/>
      <w:pPr>
        <w:ind w:left="500" w:hanging="360"/>
      </w:pPr>
      <w:rPr>
        <w:rFonts w:hint="default"/>
      </w:rPr>
    </w:lvl>
    <w:lvl w:ilvl="1" w:tplc="040A0019" w:tentative="1">
      <w:start w:val="1"/>
      <w:numFmt w:val="lowerLetter"/>
      <w:lvlText w:val="%2."/>
      <w:lvlJc w:val="left"/>
      <w:pPr>
        <w:ind w:left="1220" w:hanging="360"/>
      </w:pPr>
    </w:lvl>
    <w:lvl w:ilvl="2" w:tplc="040A001B" w:tentative="1">
      <w:start w:val="1"/>
      <w:numFmt w:val="lowerRoman"/>
      <w:lvlText w:val="%3."/>
      <w:lvlJc w:val="right"/>
      <w:pPr>
        <w:ind w:left="1940" w:hanging="180"/>
      </w:pPr>
    </w:lvl>
    <w:lvl w:ilvl="3" w:tplc="040A000F" w:tentative="1">
      <w:start w:val="1"/>
      <w:numFmt w:val="decimal"/>
      <w:lvlText w:val="%4."/>
      <w:lvlJc w:val="left"/>
      <w:pPr>
        <w:ind w:left="2660" w:hanging="360"/>
      </w:pPr>
    </w:lvl>
    <w:lvl w:ilvl="4" w:tplc="040A0019" w:tentative="1">
      <w:start w:val="1"/>
      <w:numFmt w:val="lowerLetter"/>
      <w:lvlText w:val="%5."/>
      <w:lvlJc w:val="left"/>
      <w:pPr>
        <w:ind w:left="3380" w:hanging="360"/>
      </w:pPr>
    </w:lvl>
    <w:lvl w:ilvl="5" w:tplc="040A001B" w:tentative="1">
      <w:start w:val="1"/>
      <w:numFmt w:val="lowerRoman"/>
      <w:lvlText w:val="%6."/>
      <w:lvlJc w:val="right"/>
      <w:pPr>
        <w:ind w:left="4100" w:hanging="180"/>
      </w:pPr>
    </w:lvl>
    <w:lvl w:ilvl="6" w:tplc="040A000F" w:tentative="1">
      <w:start w:val="1"/>
      <w:numFmt w:val="decimal"/>
      <w:lvlText w:val="%7."/>
      <w:lvlJc w:val="left"/>
      <w:pPr>
        <w:ind w:left="4820" w:hanging="360"/>
      </w:pPr>
    </w:lvl>
    <w:lvl w:ilvl="7" w:tplc="040A0019" w:tentative="1">
      <w:start w:val="1"/>
      <w:numFmt w:val="lowerLetter"/>
      <w:lvlText w:val="%8."/>
      <w:lvlJc w:val="left"/>
      <w:pPr>
        <w:ind w:left="5540" w:hanging="360"/>
      </w:pPr>
    </w:lvl>
    <w:lvl w:ilvl="8" w:tplc="040A001B" w:tentative="1">
      <w:start w:val="1"/>
      <w:numFmt w:val="lowerRoman"/>
      <w:lvlText w:val="%9."/>
      <w:lvlJc w:val="right"/>
      <w:pPr>
        <w:ind w:left="6260" w:hanging="180"/>
      </w:pPr>
    </w:lvl>
  </w:abstractNum>
  <w:abstractNum w:abstractNumId="3" w15:restartNumberingAfterBreak="0">
    <w:nsid w:val="55492A59"/>
    <w:multiLevelType w:val="hybridMultilevel"/>
    <w:tmpl w:val="C478ED04"/>
    <w:lvl w:ilvl="0" w:tplc="33CEC870">
      <w:start w:val="1"/>
      <w:numFmt w:val="decimal"/>
      <w:lvlText w:val="%1."/>
      <w:lvlJc w:val="left"/>
      <w:pPr>
        <w:ind w:left="860" w:hanging="36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1FA0B65E">
      <w:numFmt w:val="bullet"/>
      <w:lvlText w:val="•"/>
      <w:lvlJc w:val="left"/>
      <w:pPr>
        <w:ind w:left="1460" w:hanging="360"/>
      </w:pPr>
      <w:rPr>
        <w:rFonts w:hint="default"/>
        <w:lang w:val="es-ES" w:eastAsia="en-US" w:bidi="ar-SA"/>
      </w:rPr>
    </w:lvl>
    <w:lvl w:ilvl="2" w:tplc="B790C584">
      <w:numFmt w:val="bullet"/>
      <w:lvlText w:val="•"/>
      <w:lvlJc w:val="left"/>
      <w:pPr>
        <w:ind w:left="2060" w:hanging="360"/>
      </w:pPr>
      <w:rPr>
        <w:rFonts w:hint="default"/>
        <w:lang w:val="es-ES" w:eastAsia="en-US" w:bidi="ar-SA"/>
      </w:rPr>
    </w:lvl>
    <w:lvl w:ilvl="3" w:tplc="D4963370">
      <w:numFmt w:val="bullet"/>
      <w:lvlText w:val="•"/>
      <w:lvlJc w:val="left"/>
      <w:pPr>
        <w:ind w:left="2660" w:hanging="360"/>
      </w:pPr>
      <w:rPr>
        <w:rFonts w:hint="default"/>
        <w:lang w:val="es-ES" w:eastAsia="en-US" w:bidi="ar-SA"/>
      </w:rPr>
    </w:lvl>
    <w:lvl w:ilvl="4" w:tplc="C1521102">
      <w:numFmt w:val="bullet"/>
      <w:lvlText w:val="•"/>
      <w:lvlJc w:val="left"/>
      <w:pPr>
        <w:ind w:left="3260" w:hanging="360"/>
      </w:pPr>
      <w:rPr>
        <w:rFonts w:hint="default"/>
        <w:lang w:val="es-ES" w:eastAsia="en-US" w:bidi="ar-SA"/>
      </w:rPr>
    </w:lvl>
    <w:lvl w:ilvl="5" w:tplc="FFB699C2">
      <w:numFmt w:val="bullet"/>
      <w:lvlText w:val="•"/>
      <w:lvlJc w:val="left"/>
      <w:pPr>
        <w:ind w:left="3860" w:hanging="360"/>
      </w:pPr>
      <w:rPr>
        <w:rFonts w:hint="default"/>
        <w:lang w:val="es-ES" w:eastAsia="en-US" w:bidi="ar-SA"/>
      </w:rPr>
    </w:lvl>
    <w:lvl w:ilvl="6" w:tplc="4B36D28C">
      <w:numFmt w:val="bullet"/>
      <w:lvlText w:val="•"/>
      <w:lvlJc w:val="left"/>
      <w:pPr>
        <w:ind w:left="4460" w:hanging="360"/>
      </w:pPr>
      <w:rPr>
        <w:rFonts w:hint="default"/>
        <w:lang w:val="es-ES" w:eastAsia="en-US" w:bidi="ar-SA"/>
      </w:rPr>
    </w:lvl>
    <w:lvl w:ilvl="7" w:tplc="F982BB88">
      <w:numFmt w:val="bullet"/>
      <w:lvlText w:val="•"/>
      <w:lvlJc w:val="left"/>
      <w:pPr>
        <w:ind w:left="5060" w:hanging="360"/>
      </w:pPr>
      <w:rPr>
        <w:rFonts w:hint="default"/>
        <w:lang w:val="es-ES" w:eastAsia="en-US" w:bidi="ar-SA"/>
      </w:rPr>
    </w:lvl>
    <w:lvl w:ilvl="8" w:tplc="C682EB3C">
      <w:numFmt w:val="bullet"/>
      <w:lvlText w:val="•"/>
      <w:lvlJc w:val="left"/>
      <w:pPr>
        <w:ind w:left="5660" w:hanging="360"/>
      </w:pPr>
      <w:rPr>
        <w:rFonts w:hint="default"/>
        <w:lang w:val="es-ES" w:eastAsia="en-US" w:bidi="ar-S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9CA"/>
    <w:rsid w:val="0081272D"/>
    <w:rsid w:val="00D92D9C"/>
    <w:rsid w:val="00E75443"/>
    <w:rsid w:val="00EC19C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147E"/>
  <w15:docId w15:val="{091B8E14-7C1D-A347-82F4-429F8B54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18"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383" w:hanging="243"/>
      <w:outlineLvl w:val="0"/>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69"/>
      <w:ind w:left="140"/>
      <w:jc w:val="both"/>
    </w:pPr>
    <w:rPr>
      <w:sz w:val="23"/>
      <w:szCs w:val="23"/>
    </w:rPr>
  </w:style>
  <w:style w:type="paragraph" w:styleId="Ttulo">
    <w:name w:val="Title"/>
    <w:basedOn w:val="Normal"/>
    <w:uiPriority w:val="10"/>
    <w:qFormat/>
    <w:pPr>
      <w:jc w:val="center"/>
    </w:pPr>
    <w:rPr>
      <w:sz w:val="26"/>
      <w:szCs w:val="26"/>
    </w:rPr>
  </w:style>
  <w:style w:type="paragraph" w:styleId="Prrafodelista">
    <w:name w:val="List Paragraph"/>
    <w:basedOn w:val="Normal"/>
    <w:uiPriority w:val="1"/>
    <w:qFormat/>
    <w:pPr>
      <w:ind w:left="532" w:hanging="392"/>
    </w:pPr>
  </w:style>
  <w:style w:type="paragraph" w:customStyle="1" w:styleId="TableParagraph">
    <w:name w:val="Table Paragraph"/>
    <w:basedOn w:val="Normal"/>
    <w:uiPriority w:val="1"/>
    <w:qFormat/>
  </w:style>
  <w:style w:type="paragraph" w:styleId="Bibliografa">
    <w:name w:val="Bibliography"/>
    <w:aliases w:val="Referencias"/>
    <w:basedOn w:val="Normal"/>
    <w:next w:val="Normal"/>
    <w:link w:val="BibliografaCar"/>
    <w:uiPriority w:val="18"/>
    <w:qFormat/>
    <w:rsid w:val="00E75443"/>
    <w:pPr>
      <w:widowControl/>
      <w:suppressAutoHyphens/>
      <w:autoSpaceDE/>
      <w:autoSpaceDN/>
      <w:spacing w:before="120" w:after="120" w:line="240" w:lineRule="atLeast"/>
      <w:ind w:left="709" w:hanging="709"/>
    </w:pPr>
    <w:rPr>
      <w:rFonts w:eastAsia="Calibri" w:cs="Arial"/>
      <w:sz w:val="20"/>
      <w:lang w:val="es-EC"/>
      <w14:numForm w14:val="oldStyle"/>
      <w14:numSpacing w14:val="proportional"/>
    </w:rPr>
  </w:style>
  <w:style w:type="character" w:customStyle="1" w:styleId="BibliografaCar">
    <w:name w:val="Bibliografía Car"/>
    <w:aliases w:val="Referencias Car"/>
    <w:basedOn w:val="Fuentedeprrafopredeter"/>
    <w:link w:val="Bibliografa"/>
    <w:uiPriority w:val="18"/>
    <w:rsid w:val="00E75443"/>
    <w:rPr>
      <w:rFonts w:ascii="Times New Roman" w:eastAsia="Calibri" w:hAnsi="Times New Roman" w:cs="Arial"/>
      <w:sz w:val="20"/>
      <w:lang w:val="es-EC"/>
      <w14:numForm w14:val="oldStyl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4583</Words>
  <Characters>25208</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Plantilla-Dykinson-Egregius-1(1)</vt:lpstr>
    </vt:vector>
  </TitlesOfParts>
  <Company/>
  <LinksUpToDate>false</LinksUpToDate>
  <CharactersWithSpaces>29732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Plantilla-Dykinson-Egregius-1(1)</dc:title>
  <dc:creator>Outlook</dc:creator>
  <cp:lastModifiedBy>Shirley Janeth Zurita Garzon</cp:lastModifiedBy>
  <cp:revision>2</cp:revision>
  <dcterms:created xsi:type="dcterms:W3CDTF">2026-09-08T03:03:00Z</dcterms:created>
  <dcterms:modified xsi:type="dcterms:W3CDTF">2026-09-08T03:03:00Z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2026-09-03T00:00:00Z</vt:filetime>
  </property>
  <property fmtid="{D5CDD505-2E9C-101B-9397-08002B2CF9AE}" pid="4" name="Creator">
    <vt:lpwstr>Word</vt:lpwstr>
  </property>
  <property fmtid="{D5CDD505-2E9C-101B-9397-08002B2CF9AE}" pid="5" name="LastSaved">
    <vt:filetime>2026-09-06T00:00:00Z</vt:filetime>
  </property>
  <property fmtid="{D5CDD505-2E9C-101B-9397-08002B2CF9AE}" pid="6" name="Producer">
    <vt:lpwstr>macOS Versión 26.6.2 (Compilación 25G83) Quartz PDFContext</vt:lpwstr>
  </property>
  <property fmtid="{D5CDD505-2E9C-101B-9397-08002B2CF9AE}" pid="7" name="GrammarlyDocumentId">
    <vt:lpwstr>beca9aad-b28f-4062-bd0e-ca290d29d39f</vt:lpwstr>
  </property>
</Properties>
</file>