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128D5" w14:textId="77777777" w:rsidR="003667F5" w:rsidRPr="00BE5F2C" w:rsidRDefault="003667F5" w:rsidP="003667F5">
      <w:pPr>
        <w:pStyle w:val="TtCap"/>
        <w:rPr>
          <w:lang w:val="pt-PT" w:eastAsia="es-ES"/>
        </w:rPr>
      </w:pPr>
      <w:r w:rsidRPr="00E2007B">
        <w:rPr>
          <w:lang w:val="pt-PT" w:eastAsia="es-ES"/>
        </w:rPr>
        <w:t>LIBERTAD CONSENSUAL Y MIEDO GRAVE EN EL DERECHO MATRIMONIAL CANÓNICO:  A LA LUZ DE LA JURISPRUDENCIA DE LOS TRIBUNALES ECLESIÁSTICOS ECUATORIANOS</w:t>
      </w:r>
    </w:p>
    <w:p w14:paraId="770863B2" w14:textId="77777777" w:rsidR="003667F5" w:rsidRDefault="003667F5" w:rsidP="003667F5">
      <w:pPr>
        <w:pStyle w:val="Autor"/>
        <w:rPr>
          <w:lang w:eastAsia="es-ES"/>
        </w:rPr>
      </w:pPr>
      <w:r w:rsidRPr="00E2007B">
        <w:rPr>
          <w:lang w:eastAsia="es-ES"/>
        </w:rPr>
        <w:t>ELIZABETH MONSERRATE MERO SÁNCHEZ</w:t>
      </w:r>
    </w:p>
    <w:p w14:paraId="17E5884C" w14:textId="77777777" w:rsidR="003667F5" w:rsidRDefault="003667F5" w:rsidP="003667F5">
      <w:pPr>
        <w:pStyle w:val="Adscripcin"/>
        <w:rPr>
          <w:lang w:eastAsia="es-ES"/>
        </w:rPr>
      </w:pPr>
      <w:r w:rsidRPr="00E2007B">
        <w:rPr>
          <w:lang w:eastAsia="es-ES"/>
        </w:rPr>
        <w:t>Universidad Católica de Santiago de Guayaquil</w:t>
      </w:r>
    </w:p>
    <w:p w14:paraId="5BAA7CFC" w14:textId="77777777" w:rsidR="003667F5" w:rsidRDefault="003667F5" w:rsidP="003667F5">
      <w:pPr>
        <w:rPr>
          <w:lang w:val="pt-PT" w:eastAsia="es-ES"/>
        </w:rPr>
      </w:pPr>
    </w:p>
    <w:p w14:paraId="3689C449" w14:textId="77777777" w:rsidR="003667F5" w:rsidRDefault="003667F5" w:rsidP="003667F5">
      <w:pPr>
        <w:pStyle w:val="Ttulo1"/>
        <w:rPr>
          <w:lang w:val="pt-PT" w:eastAsia="es-ES"/>
        </w:rPr>
      </w:pPr>
      <w:r w:rsidRPr="003C3183">
        <w:rPr>
          <w:lang w:val="pt-PT" w:eastAsia="es-ES"/>
        </w:rPr>
        <w:t>1. INTRODUCCIÓN</w:t>
      </w:r>
      <w:r>
        <w:rPr>
          <w:lang w:val="pt-PT" w:eastAsia="es-ES"/>
        </w:rPr>
        <w:t xml:space="preserve">  </w:t>
      </w:r>
    </w:p>
    <w:p w14:paraId="5E3BFE35" w14:textId="1ABD234E" w:rsidR="003667F5" w:rsidRPr="0005681A" w:rsidRDefault="003667F5" w:rsidP="003667F5">
      <w:pPr>
        <w:rPr>
          <w:lang w:val="pt-PT" w:eastAsia="es-ES"/>
        </w:rPr>
      </w:pPr>
      <w:r w:rsidRPr="0005681A">
        <w:rPr>
          <w:lang w:val="pt-PT" w:eastAsia="es-ES"/>
        </w:rPr>
        <w:t>El consentimiento constituye el fundamento jurídico del matrimonio canónico y expresa una decisión esencialmente personal: el acto mediante el cual los contrayentes se entregan y aceptan mutuamente para constituir el vínculo conyugal. De ahí que la libertad no constituya un elemento accesorio del consentimiento, sino una exigencia vinculada a la propia naturaleza del acto matrimonial.</w:t>
      </w:r>
    </w:p>
    <w:p w14:paraId="3E94215A" w14:textId="650037CF" w:rsidR="003667F5" w:rsidRPr="0005681A" w:rsidRDefault="003667F5" w:rsidP="003667F5">
      <w:pPr>
        <w:rPr>
          <w:lang w:val="pt-PT" w:eastAsia="es-ES"/>
        </w:rPr>
      </w:pPr>
      <w:r w:rsidRPr="0005681A">
        <w:rPr>
          <w:lang w:val="pt-PT" w:eastAsia="es-ES"/>
        </w:rPr>
        <w:t>Esta centralidad explica la especial protección que el ordenamiento canónico concede a la libertad matrimonial. El c. 219 CIC reconoce a los fieles el derecho a ser inmunes de cualquier coacción en la elección del estado de vida, mientras que el c. 1057 § 1 recuerda que matrimonium facit partium consensus, qui nulla humana potestate suppleri valet. Esta tutela comprende tanto la libertad para decidir si se contrae matrimonio como la libertad para elegir a la persona concreta con quien se desea constituir el vínculo (Instituto Martín de Azpilcueta, 2023).</w:t>
      </w:r>
    </w:p>
    <w:p w14:paraId="53D05B53" w14:textId="5469DD2F" w:rsidR="003667F5" w:rsidRPr="0005681A" w:rsidRDefault="003667F5" w:rsidP="003667F5">
      <w:pPr>
        <w:rPr>
          <w:lang w:val="pt-PT" w:eastAsia="es-ES"/>
        </w:rPr>
      </w:pPr>
      <w:r w:rsidRPr="0005681A">
        <w:rPr>
          <w:lang w:val="pt-PT" w:eastAsia="es-ES"/>
        </w:rPr>
        <w:t>La decisión matrimonial, sin embargo, no se adopta al margen del entorno familiar y social. Consejos, expectativas, vínculos de dependencia y circunstancias personales pueden influir en ella sin comprometer necesariamente su validez. La cuestión jurídica surge cuando esa influencia adquiere una intensidad capaz de afectar gravemente la autodeterminación del contrayente. Distinguir entre influencia y verdadera coacción constituye, por ello, una cuestión especialmente delicada en la valoración del consentimiento.</w:t>
      </w:r>
    </w:p>
    <w:p w14:paraId="7B4C72FD" w14:textId="7C573DDF" w:rsidR="003667F5" w:rsidRDefault="003667F5" w:rsidP="003667F5">
      <w:pPr>
        <w:rPr>
          <w:lang w:val="pt-PT" w:eastAsia="es-ES"/>
        </w:rPr>
      </w:pPr>
      <w:r w:rsidRPr="0005681A">
        <w:rPr>
          <w:lang w:val="pt-PT" w:eastAsia="es-ES"/>
        </w:rPr>
        <w:lastRenderedPageBreak/>
        <w:t>Dentro de este marco adquiere particular relevancia el c. 1103 CIC, que tutela la libertad matrimonial frente a la violencia o al miedo grave proveniente de una causa externa cuando el contrayente se ve obligado a elegir el matrimonio para librarse del mal temido.</w:t>
      </w:r>
      <w:r>
        <w:rPr>
          <w:lang w:val="pt-PT" w:eastAsia="es-ES"/>
        </w:rPr>
        <w:t xml:space="preserve"> </w:t>
      </w:r>
    </w:p>
    <w:p w14:paraId="3EE44D12" w14:textId="77777777" w:rsidR="003667F5" w:rsidRDefault="003667F5" w:rsidP="003667F5">
      <w:pPr>
        <w:rPr>
          <w:lang w:val="pt-PT" w:eastAsia="es-ES"/>
        </w:rPr>
      </w:pPr>
      <w:r>
        <w:rPr>
          <w:lang w:val="pt-PT" w:eastAsia="es-ES"/>
        </w:rPr>
        <w:t xml:space="preserve">Al examinar </w:t>
      </w:r>
      <w:r w:rsidRPr="0005681A">
        <w:rPr>
          <w:lang w:val="pt-PT" w:eastAsia="es-ES"/>
        </w:rPr>
        <w:t>esta cuestión a partir de la jurisprudencia de los tribunales eclesiásticos ecuatorianos</w:t>
      </w:r>
      <w:r>
        <w:rPr>
          <w:lang w:val="pt-PT" w:eastAsia="es-ES"/>
        </w:rPr>
        <w:t>, l</w:t>
      </w:r>
      <w:r w:rsidRPr="0005681A">
        <w:rPr>
          <w:lang w:val="pt-PT" w:eastAsia="es-ES"/>
        </w:rPr>
        <w:t>os casos permiten observar cómo se valoran determinadas presiones familiares y circunstancias sociales cuando se alega el c. 1103 CIC, así como el papel del temor reverencial y la relación entre actuación externa, miedo y decisión matrimonial. La jurisprudencia ecuatoriana ofrece así un campo concreto para precisar la frontera entre influencias compatibles con la libertad matrimonial y aquellas que comprometen jurídicamente el consentimiento.</w:t>
      </w:r>
    </w:p>
    <w:p w14:paraId="576D7A70" w14:textId="77777777" w:rsidR="003667F5" w:rsidRDefault="003667F5" w:rsidP="003667F5">
      <w:pPr>
        <w:pStyle w:val="Ttulo1"/>
        <w:rPr>
          <w:lang w:val="pt-PT" w:eastAsia="es-ES"/>
        </w:rPr>
      </w:pPr>
      <w:r w:rsidRPr="00703E04">
        <w:rPr>
          <w:lang w:val="pt-PT" w:eastAsia="es-ES"/>
        </w:rPr>
        <w:t>2. LA LIBERTAD COMO EXIGENCIA DEL CONSENTIMIENTO MATRIMONIAL</w:t>
      </w:r>
    </w:p>
    <w:p w14:paraId="1DFEFECB" w14:textId="2246C984" w:rsidR="003667F5" w:rsidRPr="00130BD9" w:rsidRDefault="003667F5" w:rsidP="003667F5">
      <w:pPr>
        <w:rPr>
          <w:lang w:val="pt-PT" w:eastAsia="es-ES"/>
        </w:rPr>
      </w:pPr>
      <w:r w:rsidRPr="00130BD9">
        <w:rPr>
          <w:lang w:val="pt-PT" w:eastAsia="es-ES"/>
        </w:rPr>
        <w:t>El Derecho matrimonial canónico protege la libertad del consentimiento porque tutela una decisión que pertenece de manera exclusiva a los propios contrayentes. El matrimonio no surge simplemente de la observancia de una forma externa, sino de un acto personal de voluntad mediante el cual cada uno se entrega y acepta al otro para constituir el vínculo conyugal. En este sentido, la libertad se encuentra vinculada a la dignidad de la persona y a su capacidad de autodeterminación personal ante una opción que compromete de manera estable su estado de vida (Viladrich, 1998).</w:t>
      </w:r>
    </w:p>
    <w:p w14:paraId="5A817EFF" w14:textId="47662F36" w:rsidR="003667F5" w:rsidRPr="00130BD9" w:rsidRDefault="003667F5" w:rsidP="003667F5">
      <w:pPr>
        <w:rPr>
          <w:lang w:val="pt-PT" w:eastAsia="es-ES"/>
        </w:rPr>
      </w:pPr>
      <w:r w:rsidRPr="00130BD9">
        <w:rPr>
          <w:lang w:val="pt-PT" w:eastAsia="es-ES"/>
        </w:rPr>
        <w:t>El carácter personalísimo del consentimiento explica que la decisión matrimonial no pueda ser sustituida por la voluntad de un tercero. La doctrina ha destacado que el acto de entrega y aceptación recíproca pe</w:t>
      </w:r>
      <w:r w:rsidR="00FD772D">
        <w:rPr>
          <w:lang w:val="pt-PT" w:eastAsia="es-ES"/>
        </w:rPr>
        <w:t>r</w:t>
      </w:r>
      <w:r w:rsidRPr="00130BD9">
        <w:rPr>
          <w:lang w:val="pt-PT" w:eastAsia="es-ES"/>
        </w:rPr>
        <w:t>tenece exclusivamente a los contrayentes (Viladrich, 1998). Esta autonomía no significa desconocer la dimensión familiar y social del matrimonio, sino afirmar que ninguna autoridad familiar, conveniencia social o interés ajeno puede ocupar el lugar de la voluntad de quienes constituyen el vínculo.</w:t>
      </w:r>
    </w:p>
    <w:p w14:paraId="34F1E0E4" w14:textId="2C78C12E" w:rsidR="003667F5" w:rsidRPr="00130BD9" w:rsidRDefault="00FD772D" w:rsidP="003667F5">
      <w:pPr>
        <w:rPr>
          <w:lang w:val="pt-PT" w:eastAsia="es-ES"/>
        </w:rPr>
      </w:pPr>
      <w:r>
        <w:rPr>
          <w:lang w:val="pt-PT" w:eastAsia="es-ES"/>
        </w:rPr>
        <w:t xml:space="preserve">La </w:t>
      </w:r>
      <w:r w:rsidR="003667F5" w:rsidRPr="00130BD9">
        <w:rPr>
          <w:lang w:val="pt-PT" w:eastAsia="es-ES"/>
        </w:rPr>
        <w:t xml:space="preserve">libertad no equivale a ausencia de toda influencia. Las decisiones humanas, y particularmente aquellas que comprometen el propio </w:t>
      </w:r>
      <w:r w:rsidR="003667F5" w:rsidRPr="00130BD9">
        <w:rPr>
          <w:lang w:val="pt-PT" w:eastAsia="es-ES"/>
        </w:rPr>
        <w:lastRenderedPageBreak/>
        <w:t>proyecto de vida, se adoptan dentro de relaciones familiares, afectivas y sociales que pueden incidir en ellas sin privarlas necesariamente de su carácter libre</w:t>
      </w:r>
      <w:r w:rsidR="0091204C">
        <w:rPr>
          <w:lang w:val="pt-PT" w:eastAsia="es-ES"/>
        </w:rPr>
        <w:t>.</w:t>
      </w:r>
    </w:p>
    <w:p w14:paraId="3E4D6604" w14:textId="67597662" w:rsidR="003667F5" w:rsidRDefault="003667F5" w:rsidP="003667F5">
      <w:pPr>
        <w:rPr>
          <w:lang w:val="pt-PT" w:eastAsia="es-ES"/>
        </w:rPr>
      </w:pPr>
      <w:r w:rsidRPr="00130BD9">
        <w:rPr>
          <w:lang w:val="pt-PT" w:eastAsia="es-ES"/>
        </w:rPr>
        <w:t>La cuestión jurídicamente relevante surge cuando aquella influencia deja de acompañar la decisión y adquiere una intensidad capaz de condicionar gravemente la voluntad. No basta, por ello, constatar la existencia de insistencias, conflictos familiares o circunstancias difíciles; es necesario determinar si el contrayente conservó un espacio real de autodeterminación o si terminó eligiendo el matrimonio como consecuencia de una coacción externa. Es precisamente en esta frontera donde el c. 1103 CIC adquiere su función específica de tutela, al proteger al contrayente frente a aquellas formas de violencia o miedo provenientes de una causa externa que comprometen la libertad de la elección matrimonial.</w:t>
      </w:r>
    </w:p>
    <w:p w14:paraId="3A4F8377" w14:textId="77777777" w:rsidR="003667F5" w:rsidRDefault="003667F5" w:rsidP="003667F5">
      <w:pPr>
        <w:pStyle w:val="Ttulo1"/>
        <w:rPr>
          <w:lang w:val="pt-PT" w:eastAsia="es-ES"/>
        </w:rPr>
      </w:pPr>
      <w:r w:rsidRPr="004E6644">
        <w:rPr>
          <w:lang w:val="pt-PT" w:eastAsia="es-ES"/>
        </w:rPr>
        <w:t>3. LA LIBERTAD DEL CONSENTIMIENTO MATRIMONIAL: FALTA DE LIBERTAD INTERNA Y COACCIÓN EXTERNA</w:t>
      </w:r>
    </w:p>
    <w:p w14:paraId="1773482C" w14:textId="5212557D" w:rsidR="003667F5" w:rsidRPr="00130BD9" w:rsidRDefault="003667F5" w:rsidP="003667F5">
      <w:pPr>
        <w:rPr>
          <w:lang w:val="pt-PT" w:eastAsia="es-ES"/>
        </w:rPr>
      </w:pPr>
      <w:r w:rsidRPr="00130BD9">
        <w:rPr>
          <w:lang w:val="pt-PT" w:eastAsia="es-ES"/>
        </w:rPr>
        <w:t>La libertad necesaria para prestar un consentimiento matrimonial válido puede verse comprometida de maneras distintas. Esto resulta especialmente importante al comparar el grave defecto de discreción de juicio del c. 1095, 2 con el miedo contemplado en el c. 1103 CIC. Ambos capítulos pueden afectar la libertad de la decisión matrimonial, pero responden a realidades jurídicas diferentes y no deben confundirse.</w:t>
      </w:r>
    </w:p>
    <w:p w14:paraId="3CA46E97" w14:textId="011C0577" w:rsidR="003667F5" w:rsidRPr="00130BD9" w:rsidRDefault="003667F5" w:rsidP="003667F5">
      <w:pPr>
        <w:rPr>
          <w:lang w:val="pt-PT" w:eastAsia="es-ES"/>
        </w:rPr>
      </w:pPr>
      <w:r w:rsidRPr="00130BD9">
        <w:rPr>
          <w:lang w:val="pt-PT" w:eastAsia="es-ES"/>
        </w:rPr>
        <w:t>El c. 1095, 2 declara incapaces de contraer matrimonio a quienes padecen un grave defecto de discreción de juicio acerca de los derechos y deberes esenciales del matrimonio. La discreción de juicio no se reduce al conocimiento intelectual, sino que comprende la capacidad de comprender, valorar críticamente, deliberar y elegir. La dimensión electiva forma parte de esa discreción, pues no basta conocer aquello que se hace: es necesario poseer libertad interna suficiente para una verdadera elección matrimonial.</w:t>
      </w:r>
    </w:p>
    <w:p w14:paraId="57C0BC3D" w14:textId="77777777" w:rsidR="0091204C" w:rsidRDefault="003667F5" w:rsidP="003667F5">
      <w:pPr>
        <w:rPr>
          <w:lang w:val="pt-PT" w:eastAsia="es-ES"/>
        </w:rPr>
      </w:pPr>
      <w:r w:rsidRPr="00130BD9">
        <w:rPr>
          <w:lang w:val="pt-PT" w:eastAsia="es-ES"/>
        </w:rPr>
        <w:t xml:space="preserve">La llamada falta de libertad interna no constituye, en consecuencia, un capítulo autónomo de nulidad, sino que se sitúa dentro del grave defecto de discreción de juicio. Determinados condicionamientos procedentes </w:t>
      </w:r>
      <w:r w:rsidRPr="00130BD9">
        <w:rPr>
          <w:lang w:val="pt-PT" w:eastAsia="es-ES"/>
        </w:rPr>
        <w:lastRenderedPageBreak/>
        <w:t xml:space="preserve">del </w:t>
      </w:r>
      <w:r w:rsidR="0091204C">
        <w:rPr>
          <w:lang w:val="pt-PT" w:eastAsia="es-ES"/>
        </w:rPr>
        <w:t xml:space="preserve">contrayente </w:t>
      </w:r>
      <w:r w:rsidRPr="00130BD9">
        <w:rPr>
          <w:lang w:val="pt-PT" w:eastAsia="es-ES"/>
        </w:rPr>
        <w:t>pueden afectar gravemente el proceso mediante el cual este valora las razones de su decisión y llega a la elección</w:t>
      </w:r>
      <w:r w:rsidR="0091204C">
        <w:rPr>
          <w:lang w:val="pt-PT" w:eastAsia="es-ES"/>
        </w:rPr>
        <w:t xml:space="preserve">. </w:t>
      </w:r>
    </w:p>
    <w:p w14:paraId="0B336FF3" w14:textId="0D88E4DD" w:rsidR="003667F5" w:rsidRPr="00130BD9" w:rsidRDefault="003667F5" w:rsidP="003667F5">
      <w:pPr>
        <w:rPr>
          <w:lang w:val="pt-PT" w:eastAsia="es-ES"/>
        </w:rPr>
      </w:pPr>
      <w:r w:rsidRPr="00130BD9">
        <w:rPr>
          <w:lang w:val="pt-PT" w:eastAsia="es-ES"/>
        </w:rPr>
        <w:t>Concepciones profundamente arraigadas, prejuicios, experiencias personales, condicionamientos psicológicos o determinadas formas de percibir la realidad pueden incidir en ese proceso interno. Sin embargo, su sola existencia no determina una incapacidad consensual. Para adquirir relevancia conforme al c. 1095, 2 deben alcanzar una gravedad tal que afecten la discreción de juicio necesaria para realizar la elección matrimonial (Franceschi, 2011).</w:t>
      </w:r>
    </w:p>
    <w:p w14:paraId="4F5A6FA1" w14:textId="27ADD810" w:rsidR="003667F5" w:rsidRPr="00130BD9" w:rsidRDefault="003667F5" w:rsidP="003667F5">
      <w:pPr>
        <w:rPr>
          <w:lang w:val="pt-PT" w:eastAsia="es-ES"/>
        </w:rPr>
      </w:pPr>
      <w:r w:rsidRPr="00130BD9">
        <w:rPr>
          <w:lang w:val="pt-PT" w:eastAsia="es-ES"/>
        </w:rPr>
        <w:t>La situación es distinta en el c. 1103. En este supuesto, el contrayente conserva la discreción de juicio y, con ella, su capacidad para comprender la realidad matrimonial, valorar las circunstancias, deliberar y elegir. Precisamente porque mantiene esa capacidad crítica y deliberativa puede valorar el mal que teme y optar por el matrimonio como medio para evitarlo. Existe una verdadera elección matrimonial, pero la libertad con la que se realiza se encuentra gravemente condicionada por una coacción que procede del exterior.</w:t>
      </w:r>
    </w:p>
    <w:p w14:paraId="5B794FB9" w14:textId="5346AE36" w:rsidR="003667F5" w:rsidRDefault="003667F5" w:rsidP="003667F5">
      <w:pPr>
        <w:rPr>
          <w:lang w:val="pt-PT" w:eastAsia="es-ES"/>
        </w:rPr>
      </w:pPr>
      <w:r w:rsidRPr="00130BD9">
        <w:rPr>
          <w:lang w:val="pt-PT" w:eastAsia="es-ES"/>
        </w:rPr>
        <w:t>La semejanza entre ambos capítulos se encuentra en la afectación de la libertad de elección; la diferencia, en su origen y modo. En el c. 1095, 2, los condicionamientos internos, cuando alcanzan la gravedad requerida, afectan la discreción de juicio y la capacidad de elección. En el c. 1103, esa capacidad permanece: el sujeto comprende, valora y delibera, pero una actuación externa incide sobre su voluntad y lo conduce a elegir el matrimonio frente al mal que teme. Esta distinción permite calificar correctamente situaciones fácticamente semejantes, pero jurídicamente distintas (Franceschi, 2006; Gil de las Heras, 1982).</w:t>
      </w:r>
    </w:p>
    <w:p w14:paraId="57F45D0C" w14:textId="77777777" w:rsidR="003667F5" w:rsidRPr="00804A0F" w:rsidRDefault="003667F5" w:rsidP="003667F5">
      <w:pPr>
        <w:pStyle w:val="Ttulo1"/>
        <w:rPr>
          <w:lang w:val="pt-PT" w:eastAsia="es-ES"/>
        </w:rPr>
      </w:pPr>
      <w:r w:rsidRPr="00804A0F">
        <w:rPr>
          <w:lang w:val="pt-PT" w:eastAsia="es-ES"/>
        </w:rPr>
        <w:t>4. RELEVANCIA DEL MIEDO GRAVE EN LA VALIDEZ DEL CONSENTIMIENTO MATRIMONIAL</w:t>
      </w:r>
    </w:p>
    <w:p w14:paraId="54A28454" w14:textId="6FE1EBC5" w:rsidR="003667F5" w:rsidRPr="00804A0F" w:rsidRDefault="003667F5" w:rsidP="003667F5">
      <w:pPr>
        <w:rPr>
          <w:lang w:val="pt-PT" w:eastAsia="es-ES"/>
        </w:rPr>
      </w:pPr>
      <w:r w:rsidRPr="00804A0F">
        <w:rPr>
          <w:lang w:val="pt-PT" w:eastAsia="es-ES"/>
        </w:rPr>
        <w:t xml:space="preserve">Una vez precisado que en el c. 1103 CIC el contrayente conserva su capacidad de comprender, valorar y elegir, corresponde determinar cuándo el miedo producido por una coacción externa alcanza relevancia jurídica. El miedo no supone ausencia total de voluntad: existe una verdadera elección matrimonial, aunque gravemente condicionada. </w:t>
      </w:r>
      <w:r w:rsidRPr="00804A0F">
        <w:rPr>
          <w:lang w:val="pt-PT" w:eastAsia="es-ES"/>
        </w:rPr>
        <w:lastRenderedPageBreak/>
        <w:t>Como señala Viladrich, en la elección realizada bajo miedo existe voluntad matrimonial, aunque forzada por la coacción; por ello, el metus constituye un vicio del consentimiento y no su ausencia absoluta (Viladrich, 2002).</w:t>
      </w:r>
    </w:p>
    <w:p w14:paraId="79BB64BA" w14:textId="090BE7E1" w:rsidR="003667F5" w:rsidRPr="00804A0F" w:rsidRDefault="003667F5" w:rsidP="003667F5">
      <w:pPr>
        <w:rPr>
          <w:lang w:val="pt-PT" w:eastAsia="es-ES"/>
        </w:rPr>
      </w:pPr>
      <w:r w:rsidRPr="00804A0F">
        <w:rPr>
          <w:lang w:val="pt-PT" w:eastAsia="es-ES"/>
        </w:rPr>
        <w:t>La doctrina canónica ha definido tradicionalmente el miedo como una perturbación o trepidación del ánimo ante la amenaza de un mal presente o futuro. Para que esta situación tenga eficacia invalidante en el matrimonio, el c. 1103 exige que el miedo sea grave, provenga de una causa externa y determine causalmente la elección matrimonial. A estos elementos se unen la antecedencia y la indeclinabilidad. La cuestión decisiva no consiste solamente en comprobar que la persona tuvo miedo, sino en reconstruir el proceso que la condujo desde la coacción sufrida hasta la decisión de casarse (Caberletti, 2003; Ortiz, 2003).</w:t>
      </w:r>
    </w:p>
    <w:p w14:paraId="25142816" w14:textId="00AAFEE1" w:rsidR="003667F5" w:rsidRPr="00804A0F" w:rsidRDefault="003667F5" w:rsidP="003667F5">
      <w:pPr>
        <w:rPr>
          <w:lang w:val="pt-PT" w:eastAsia="es-ES"/>
        </w:rPr>
      </w:pPr>
      <w:r w:rsidRPr="00804A0F">
        <w:rPr>
          <w:lang w:val="pt-PT" w:eastAsia="es-ES"/>
        </w:rPr>
        <w:t>La gravedad no se mide únicamente por la entidad objetiva de la amenaza. Debe ponderarse también la situación concreta de quien padece el miedo: edad, dependencia económica o afectiva, personalidad, educación, contexto familiar, embarazo no planificado, vulnerabilidad, costumbres del entorno y capacidad real de resistir o buscar ayuda. Esta valoración subjetiva no convierte el miedo en una impresión arbitraria, sino que exige explicar por qué, en aquella persona y en aquellas circunstancias, el mal temido tuvo fuerza suficiente para condicionar gravemente su libertad matrimonial (Caberletti, 2003; Tribunal de la Rota Romana, 2000).</w:t>
      </w:r>
    </w:p>
    <w:p w14:paraId="115298DB" w14:textId="3B00C153" w:rsidR="003667F5" w:rsidRPr="00804A0F" w:rsidRDefault="003667F5" w:rsidP="003667F5">
      <w:pPr>
        <w:rPr>
          <w:lang w:val="pt-PT" w:eastAsia="es-ES"/>
        </w:rPr>
      </w:pPr>
      <w:r w:rsidRPr="00804A0F">
        <w:rPr>
          <w:lang w:val="pt-PT" w:eastAsia="es-ES"/>
        </w:rPr>
        <w:t>En una sentencia coram Felici se señala que debe atenderse también al ingenio y a la constitución psicofísica de quien padece el miedo (Tribunal de la Rota Romana, 1960).</w:t>
      </w:r>
    </w:p>
    <w:p w14:paraId="28BEBA44" w14:textId="72C7D17B" w:rsidR="003667F5" w:rsidRPr="00804A0F" w:rsidRDefault="003667F5" w:rsidP="003667F5">
      <w:pPr>
        <w:rPr>
          <w:lang w:val="pt-PT" w:eastAsia="es-ES"/>
        </w:rPr>
      </w:pPr>
      <w:r w:rsidRPr="00804A0F">
        <w:rPr>
          <w:lang w:val="pt-PT" w:eastAsia="es-ES"/>
        </w:rPr>
        <w:t>El mal temido puede recaer sobre la integridad física, la libertad, el patrimonio, la reputación, el trabajo o una persona cercana. La jurisprudencia ha considerado amenazas de muerte o lesiones graves, prisión, difamación, pérdida de bienes o desheredación. Estas situaciones no producen automáticamente la nulidad; importa su eficacia concreta sobre la persona intimidada.</w:t>
      </w:r>
    </w:p>
    <w:p w14:paraId="37FC78BA" w14:textId="300488E8" w:rsidR="003667F5" w:rsidRPr="00804A0F" w:rsidRDefault="003667F5" w:rsidP="003667F5">
      <w:pPr>
        <w:rPr>
          <w:lang w:val="pt-PT" w:eastAsia="es-ES"/>
        </w:rPr>
      </w:pPr>
      <w:r w:rsidRPr="00804A0F">
        <w:rPr>
          <w:lang w:val="pt-PT" w:eastAsia="es-ES"/>
        </w:rPr>
        <w:t xml:space="preserve">A la gravedad se añade la extrinsecidad. El miedo canónicamente relevante debe proceder de una causa externa al sujeto. La perturbación </w:t>
      </w:r>
      <w:r w:rsidRPr="00804A0F">
        <w:rPr>
          <w:lang w:val="pt-PT" w:eastAsia="es-ES"/>
        </w:rPr>
        <w:lastRenderedPageBreak/>
        <w:t>se produce en el interior de quien la experimenta, pero su origen debe encontrarse fuera de él. En los supuestos contemplados por el c. 1103, esta causa se concreta ordinariamente en una actuación humana y libre, proveniente del otro contrayente o de un tercero. El miedo ab extrinseco se distingue así del temor nacido exclusivamente de un estado interno de ánimo.</w:t>
      </w:r>
    </w:p>
    <w:p w14:paraId="6BB04FFC" w14:textId="302EBF8D" w:rsidR="003667F5" w:rsidRPr="00804A0F" w:rsidRDefault="003667F5" w:rsidP="003667F5">
      <w:pPr>
        <w:rPr>
          <w:lang w:val="pt-PT" w:eastAsia="es-ES"/>
        </w:rPr>
      </w:pPr>
      <w:r w:rsidRPr="00804A0F">
        <w:rPr>
          <w:lang w:val="pt-PT" w:eastAsia="es-ES"/>
        </w:rPr>
        <w:t>Ahora bien, comprobar la existencia de una causa externa no es suficiente. Entre esa actuación, el miedo sufrido y el matrimonio debe existir un verdadero nexo de causalidad. En este punto cobra importancia la antecedencia del miedo: el matrimonio debe celebrarse por causa del miedo y no simplemente con miedo. Para que opere el c. 1103, el miedo debe anteceder causalmente a la elección y conservar eficacia en el momento en que se presta el consentimiento. La distinción tradicional entre matrimonio celebrado ex metu y matrimonio celebrado cum metu expresa precisamente esta diferencia (Ortiz, 2003; Tribunal de la Rota Romana, 1931).</w:t>
      </w:r>
    </w:p>
    <w:p w14:paraId="65F95D46" w14:textId="0C776110" w:rsidR="003667F5" w:rsidRPr="00804A0F" w:rsidRDefault="003667F5" w:rsidP="003667F5">
      <w:pPr>
        <w:rPr>
          <w:lang w:val="pt-PT" w:eastAsia="es-ES"/>
        </w:rPr>
      </w:pPr>
      <w:r w:rsidRPr="00804A0F">
        <w:rPr>
          <w:lang w:val="pt-PT" w:eastAsia="es-ES"/>
        </w:rPr>
        <w:t>La relación causal exige reconstruir el proceso del contrayente: una actuación externa le presenta la posibilidad de sufrir un mal; este valora sus consecuencias y, conservando su capacidad deliberativa, considera el matrimonio como forma de evitarlo. Se trata de una elección que no habría realizado en las mismas condiciones sin la coacción y cuyo proceso debe ser racionalmente explicable.</w:t>
      </w:r>
    </w:p>
    <w:p w14:paraId="2A7C2178" w14:textId="67F46C5F" w:rsidR="003667F5" w:rsidRPr="00804A0F" w:rsidRDefault="003667F5" w:rsidP="003667F5">
      <w:pPr>
        <w:rPr>
          <w:lang w:val="pt-PT" w:eastAsia="es-ES"/>
        </w:rPr>
      </w:pPr>
      <w:r w:rsidRPr="00804A0F">
        <w:rPr>
          <w:lang w:val="pt-PT" w:eastAsia="es-ES"/>
        </w:rPr>
        <w:t>La causalidad puede presentarse tanto en el miedo directo</w:t>
      </w:r>
      <w:r w:rsidR="002205D8">
        <w:rPr>
          <w:lang w:val="pt-PT" w:eastAsia="es-ES"/>
        </w:rPr>
        <w:t xml:space="preserve">, </w:t>
      </w:r>
      <w:r w:rsidRPr="00804A0F">
        <w:rPr>
          <w:lang w:val="pt-PT" w:eastAsia="es-ES"/>
        </w:rPr>
        <w:t>cuando la actuación del agente está expresamente dirigida a obtener la celebración del matrimonio</w:t>
      </w:r>
      <w:r w:rsidR="002205D8">
        <w:rPr>
          <w:lang w:val="pt-PT" w:eastAsia="es-ES"/>
        </w:rPr>
        <w:t xml:space="preserve">; o en el </w:t>
      </w:r>
      <w:r w:rsidRPr="00804A0F">
        <w:rPr>
          <w:lang w:val="pt-PT" w:eastAsia="es-ES"/>
        </w:rPr>
        <w:t xml:space="preserve"> miedo indirecto, en </w:t>
      </w:r>
      <w:r w:rsidR="002205D8">
        <w:rPr>
          <w:lang w:val="pt-PT" w:eastAsia="es-ES"/>
        </w:rPr>
        <w:t xml:space="preserve">que </w:t>
      </w:r>
      <w:r w:rsidRPr="00804A0F">
        <w:rPr>
          <w:lang w:val="pt-PT" w:eastAsia="es-ES"/>
        </w:rPr>
        <w:t>la coacción no se ejerce necesariamente con esa finalidad, sino que es el propio contrayente quien</w:t>
      </w:r>
      <w:r w:rsidR="002205D8">
        <w:rPr>
          <w:lang w:val="pt-PT" w:eastAsia="es-ES"/>
        </w:rPr>
        <w:t xml:space="preserve"> </w:t>
      </w:r>
      <w:r w:rsidRPr="00804A0F">
        <w:rPr>
          <w:lang w:val="pt-PT" w:eastAsia="es-ES"/>
        </w:rPr>
        <w:t>llega a concluir que el matrimonio constituye el medio para librarse de</w:t>
      </w:r>
      <w:r w:rsidR="002205D8">
        <w:rPr>
          <w:lang w:val="pt-PT" w:eastAsia="es-ES"/>
        </w:rPr>
        <w:t>l mal que teme. L</w:t>
      </w:r>
      <w:r w:rsidRPr="00804A0F">
        <w:rPr>
          <w:lang w:val="pt-PT" w:eastAsia="es-ES"/>
        </w:rPr>
        <w:t xml:space="preserve">a coacción externa </w:t>
      </w:r>
      <w:r w:rsidR="002205D8">
        <w:rPr>
          <w:lang w:val="pt-PT" w:eastAsia="es-ES"/>
        </w:rPr>
        <w:t xml:space="preserve">debe producir </w:t>
      </w:r>
      <w:r w:rsidRPr="00804A0F">
        <w:rPr>
          <w:lang w:val="pt-PT" w:eastAsia="es-ES"/>
        </w:rPr>
        <w:t>un temor que condu</w:t>
      </w:r>
      <w:r w:rsidR="002205D8">
        <w:rPr>
          <w:lang w:val="pt-PT" w:eastAsia="es-ES"/>
        </w:rPr>
        <w:t>zca</w:t>
      </w:r>
      <w:r w:rsidRPr="00804A0F">
        <w:rPr>
          <w:lang w:val="pt-PT" w:eastAsia="es-ES"/>
        </w:rPr>
        <w:t xml:space="preserve"> causalmente a elegir el matrimonio (Ortiz, 2003).</w:t>
      </w:r>
    </w:p>
    <w:p w14:paraId="771CC6AA" w14:textId="0D95229C" w:rsidR="003667F5" w:rsidRPr="00804A0F" w:rsidRDefault="003667F5" w:rsidP="003667F5">
      <w:pPr>
        <w:rPr>
          <w:lang w:val="pt-PT" w:eastAsia="es-ES"/>
        </w:rPr>
      </w:pPr>
      <w:r w:rsidRPr="00804A0F">
        <w:rPr>
          <w:lang w:val="pt-PT" w:eastAsia="es-ES"/>
        </w:rPr>
        <w:t xml:space="preserve">Dentro de este recorrido puede adquirir importancia la aversión, dirigida al matrimonio mismo o al matrimonio con aquella persona concreta. Si el contrayente manifestaba una verdadera resistencia a celebrar el vínculo y termina aceptándolo después de la coacción sufrida. La aversión no debe confundirse con la simple ausencia de </w:t>
      </w:r>
      <w:r w:rsidRPr="00804A0F">
        <w:rPr>
          <w:lang w:val="pt-PT" w:eastAsia="es-ES"/>
        </w:rPr>
        <w:lastRenderedPageBreak/>
        <w:t>amor o con las dudas anteriores a la boda, ni demuestra por sí sola la existencia de miedo (Tribunal de la Rota Romana, 1929).</w:t>
      </w:r>
    </w:p>
    <w:p w14:paraId="25FE724D" w14:textId="66D7C74D" w:rsidR="003667F5" w:rsidRPr="00804A0F" w:rsidRDefault="003667F5" w:rsidP="003667F5">
      <w:pPr>
        <w:rPr>
          <w:lang w:val="pt-PT" w:eastAsia="es-ES"/>
        </w:rPr>
      </w:pPr>
      <w:r w:rsidRPr="00804A0F">
        <w:rPr>
          <w:lang w:val="pt-PT" w:eastAsia="es-ES"/>
        </w:rPr>
        <w:t>Finalmente, la indeclinabilidad expresa el modo en que el sujeto percibe la salida al mal temido. No significa que objetivamente no existiera ninguna otra alternativa imaginable. Basta con que, atendidas sus circunstancias concretas</w:t>
      </w:r>
      <w:r w:rsidR="002205D8">
        <w:rPr>
          <w:lang w:val="pt-PT" w:eastAsia="es-ES"/>
        </w:rPr>
        <w:t xml:space="preserve">. </w:t>
      </w:r>
      <w:r w:rsidRPr="00804A0F">
        <w:rPr>
          <w:lang w:val="pt-PT" w:eastAsia="es-ES"/>
        </w:rPr>
        <w:t>Esta apreciación puede ser personal y condicionada por sus circunstancias, pero debe poder ser comprendida y explicada jurídicamente (Ortiz, 2003).</w:t>
      </w:r>
    </w:p>
    <w:p w14:paraId="2D73C845" w14:textId="6548B581" w:rsidR="003667F5" w:rsidRPr="00187058" w:rsidRDefault="003667F5" w:rsidP="003667F5">
      <w:pPr>
        <w:rPr>
          <w:color w:val="000000" w:themeColor="text1"/>
          <w:lang w:val="pt-PT" w:eastAsia="es-ES"/>
        </w:rPr>
      </w:pPr>
      <w:r w:rsidRPr="00804A0F">
        <w:rPr>
          <w:lang w:val="pt-PT" w:eastAsia="es-ES"/>
        </w:rPr>
        <w:t xml:space="preserve">Estos elementos permiten determinar si el miedo acompañó simplemente la decisión matrimonial o tuvo verdadera eficacia </w:t>
      </w:r>
      <w:r w:rsidRPr="00187058">
        <w:rPr>
          <w:color w:val="000000" w:themeColor="text1"/>
          <w:lang w:val="pt-PT" w:eastAsia="es-ES"/>
        </w:rPr>
        <w:t>invalidante sobre el consentimiento.</w:t>
      </w:r>
    </w:p>
    <w:p w14:paraId="4DD6BFCE" w14:textId="77777777" w:rsidR="003667F5" w:rsidRPr="00187058" w:rsidRDefault="003667F5" w:rsidP="003667F5">
      <w:pPr>
        <w:pStyle w:val="Ttulo1"/>
        <w:rPr>
          <w:color w:val="000000" w:themeColor="text1"/>
          <w:lang w:val="pt-PT" w:eastAsia="es-ES"/>
        </w:rPr>
      </w:pPr>
      <w:r w:rsidRPr="00187058">
        <w:rPr>
          <w:color w:val="000000" w:themeColor="text1"/>
          <w:lang w:val="pt-PT" w:eastAsia="es-ES"/>
        </w:rPr>
        <w:t>5. DE LA INFLUENCIA A LA COACCIÓN: AUTORIDAD FAMILIAR Y TEMOR REVERENCIAL</w:t>
      </w:r>
    </w:p>
    <w:p w14:paraId="42891947" w14:textId="3167F7CC" w:rsidR="003667F5" w:rsidRPr="00187058" w:rsidRDefault="003667F5" w:rsidP="003667F5">
      <w:pPr>
        <w:rPr>
          <w:color w:val="000000" w:themeColor="text1"/>
          <w:lang w:val="pt-PT" w:eastAsia="es-ES"/>
        </w:rPr>
      </w:pPr>
      <w:r w:rsidRPr="00187058">
        <w:rPr>
          <w:color w:val="000000" w:themeColor="text1"/>
          <w:lang w:val="pt-PT" w:eastAsia="es-ES"/>
        </w:rPr>
        <w:t>El temor reverencial merece una consideración particular porque sitúa la libertad matrimonial dentro de relaciones que, en principio, son legítimas. El respeto, la obediencia, el afecto o la dependencia familiar no constituyen por sí mismos coacción, pero pueden adquirir relevancia jurídica cuando quien ejerce autoridad utiliza esa relación para presionar al contrayente hasta condicionar gravemente su decisión matrimonial.</w:t>
      </w:r>
    </w:p>
    <w:p w14:paraId="209B91A9" w14:textId="66076016" w:rsidR="003667F5" w:rsidRPr="00187058" w:rsidRDefault="003667F5" w:rsidP="003667F5">
      <w:pPr>
        <w:rPr>
          <w:color w:val="000000" w:themeColor="text1"/>
          <w:lang w:val="pt-PT" w:eastAsia="es-ES"/>
        </w:rPr>
      </w:pPr>
      <w:r w:rsidRPr="00187058">
        <w:rPr>
          <w:color w:val="000000" w:themeColor="text1"/>
          <w:lang w:val="pt-PT" w:eastAsia="es-ES"/>
        </w:rPr>
        <w:t>El temor reverencial no constituye una causa autónoma de nulidad ni un miedo de naturaleza distinta del previsto en el c. 1103 CIC. Se trata de una modalidad particular del miedo grave y, por tanto, debe reunir los mismos elementos necesarios para adquirir eficacia invalidante. Su nota característica se encuentra en la relación existente entre quien infunde el miedo y quien lo padece: una relación de autoridad, dependencia o subordinación afectiva. Esta situación se presenta especialmente entre padres e hijos, aunque puede producirse también respecto de otras personas que ejercen una verdadera autoridad sobre el contrayente (Ortiz, 2006).</w:t>
      </w:r>
    </w:p>
    <w:p w14:paraId="0B2FC435" w14:textId="5A4D11B5" w:rsidR="003667F5" w:rsidRPr="00187058" w:rsidRDefault="003667F5" w:rsidP="003667F5">
      <w:pPr>
        <w:rPr>
          <w:color w:val="000000" w:themeColor="text1"/>
          <w:lang w:val="pt-PT" w:eastAsia="es-ES"/>
        </w:rPr>
      </w:pPr>
      <w:r w:rsidRPr="00187058">
        <w:rPr>
          <w:color w:val="000000" w:themeColor="text1"/>
          <w:lang w:val="pt-PT" w:eastAsia="es-ES"/>
        </w:rPr>
        <w:t xml:space="preserve">La cuestión adquiere particular complejidad porque el ejercicio de la autoridad familiar no se opone, en sí mismo, a la libertad matrimonial. </w:t>
      </w:r>
      <w:r w:rsidRPr="00187058">
        <w:rPr>
          <w:color w:val="000000" w:themeColor="text1"/>
          <w:lang w:val="pt-PT" w:eastAsia="es-ES"/>
        </w:rPr>
        <w:lastRenderedPageBreak/>
        <w:t>Los padres tienen una función de orientación y acompañamiento respecto de sus hijos y pueden aconsejarlos prudentemente en una decisión tan importante como el matrimonio. El Concilio Vaticano II reconoce expresamente esta función cuando señala que corresponde a los padres o tutores guiar a los jóvenes mediante prudentes consejos, pero establece al mismo tiempo un límite claro: deben evitar toda coacción directa o indirecta que los lleve a casarse o a elegir determinada persona (Concilio Vaticano II, 1965, n. 52). La autoridad familiar encuentra así su límite en una decisión que corresponde personalmente a quien ha de contraer matrimonio.</w:t>
      </w:r>
    </w:p>
    <w:p w14:paraId="4286E77E" w14:textId="63D399B3" w:rsidR="003667F5" w:rsidRPr="00187058" w:rsidRDefault="003667F5" w:rsidP="003667F5">
      <w:pPr>
        <w:rPr>
          <w:color w:val="000000" w:themeColor="text1"/>
          <w:lang w:val="pt-PT" w:eastAsia="es-ES"/>
        </w:rPr>
      </w:pPr>
      <w:r w:rsidRPr="00187058">
        <w:rPr>
          <w:color w:val="000000" w:themeColor="text1"/>
          <w:lang w:val="pt-PT" w:eastAsia="es-ES"/>
        </w:rPr>
        <w:t>El problema surge cuando esa intervención se transforma en una presión que coloca al contrayente ante consecuencias que percibe como graves si decide actuar en contra de la voluntad de quien ejerce la autoridad.</w:t>
      </w:r>
    </w:p>
    <w:p w14:paraId="4C6B9621" w14:textId="47BC4311" w:rsidR="003667F5" w:rsidRPr="00187058" w:rsidRDefault="003667F5" w:rsidP="003667F5">
      <w:pPr>
        <w:rPr>
          <w:color w:val="000000" w:themeColor="text1"/>
          <w:lang w:val="pt-PT" w:eastAsia="es-ES"/>
        </w:rPr>
      </w:pPr>
      <w:r w:rsidRPr="00187058">
        <w:rPr>
          <w:color w:val="000000" w:themeColor="text1"/>
          <w:lang w:val="pt-PT" w:eastAsia="es-ES"/>
        </w:rPr>
        <w:t>En este punto se encuentra el límite entre influencia y coacción. No es tanto la existencia de una relación de autoridad lo que determina la relevancia jurídica, sino la manera en que esa autoridad es ejercida y el efecto que produce sobre la persona concreta. La doctrina canónica y la jurisprudencia rotal han advertido que la coacción propia del temor reverencial no siempre adopta la forma de una amenaza explícita. Puede manifestarse mediante mandatos insistentes, recriminaciones, ruegos reiterados, actitudes autoritarias o presiones afectivas que llegan a producir una verdadera perturbación del ánimo (Ortiz, 2006; Tribunal de la Rota Romana, 1993).</w:t>
      </w:r>
    </w:p>
    <w:p w14:paraId="566B4328" w14:textId="044DC86F" w:rsidR="003667F5" w:rsidRPr="00187058" w:rsidRDefault="003667F5" w:rsidP="003667F5">
      <w:pPr>
        <w:rPr>
          <w:color w:val="000000" w:themeColor="text1"/>
          <w:lang w:val="pt-PT" w:eastAsia="es-ES"/>
        </w:rPr>
      </w:pPr>
      <w:r w:rsidRPr="00187058">
        <w:rPr>
          <w:color w:val="000000" w:themeColor="text1"/>
          <w:lang w:val="pt-PT" w:eastAsia="es-ES"/>
        </w:rPr>
        <w:t>No basta, sin embargo, con que el contrayente tema disgustar a sus padres o producirles una contrariedad. El temor reverencial jurídicamente relevante exige algo más que el respeto ordinario debido a una persona investida de autoridad. Debe existir el temor de un mal suficientemente grave que, atendidas las circunstancias concretas, llegue a influir causalmente en la elección matrimonial.</w:t>
      </w:r>
    </w:p>
    <w:p w14:paraId="6BFC4732" w14:textId="5453DCD8" w:rsidR="003667F5" w:rsidRPr="00187058" w:rsidRDefault="003667F5" w:rsidP="003667F5">
      <w:pPr>
        <w:rPr>
          <w:color w:val="000000" w:themeColor="text1"/>
          <w:lang w:val="pt-PT" w:eastAsia="es-ES"/>
        </w:rPr>
      </w:pPr>
      <w:r w:rsidRPr="00187058">
        <w:rPr>
          <w:color w:val="000000" w:themeColor="text1"/>
          <w:lang w:val="pt-PT" w:eastAsia="es-ES"/>
        </w:rPr>
        <w:t xml:space="preserve">Uno de los supuestos tradicionalmente vinculados al temor reverencial es la denominada diuturna indignatio. Esta expresión hace referencia a una indignación grave y duradera de la persona cuya autoridad reconoce el contrayente. No se trata de un simple enojo pasajero o de </w:t>
      </w:r>
      <w:r w:rsidRPr="00187058">
        <w:rPr>
          <w:color w:val="000000" w:themeColor="text1"/>
          <w:lang w:val="pt-PT" w:eastAsia="es-ES"/>
        </w:rPr>
        <w:lastRenderedPageBreak/>
        <w:t>la incomodidad que puede producir un desacuerdo familiar, sino del temor a un deterioro persistente de una relación particularmente significativa (Ortiz, 2003; Ortiz, 2006).</w:t>
      </w:r>
    </w:p>
    <w:p w14:paraId="4844380F" w14:textId="745BD965" w:rsidR="003667F5" w:rsidRPr="00187058" w:rsidRDefault="003667F5" w:rsidP="003667F5">
      <w:pPr>
        <w:rPr>
          <w:color w:val="000000" w:themeColor="text1"/>
          <w:lang w:val="pt-PT" w:eastAsia="es-ES"/>
        </w:rPr>
      </w:pPr>
      <w:r w:rsidRPr="00187058">
        <w:rPr>
          <w:color w:val="000000" w:themeColor="text1"/>
          <w:lang w:val="pt-PT" w:eastAsia="es-ES"/>
        </w:rPr>
        <w:t>El mal temido puede adquirir manifestaciones concretas, como la pérdida del afecto o de la protección familiar, la expulsión del hogar, la pérdida del sustento económico, la ruptura de la relación familiar o la privación de apoyos esenciales para la vida del contrayente. Una misma amenaza puede resultar resistible para una persona plenamente independiente y adquirir, en cambio, una gravedad considerable para quien depende económica o afectivamente de la persona que la formula. De ahí que resulte necesario valorar conjuntamente la relación de autoridad, las circunstancias personales del contrayente y la naturaleza del mal que este teme.</w:t>
      </w:r>
    </w:p>
    <w:p w14:paraId="7C276AB1" w14:textId="62ED15AE" w:rsidR="003667F5" w:rsidRPr="00187058" w:rsidRDefault="003667F5" w:rsidP="003667F5">
      <w:pPr>
        <w:rPr>
          <w:color w:val="000000" w:themeColor="text1"/>
          <w:lang w:val="pt-PT" w:eastAsia="es-ES"/>
        </w:rPr>
      </w:pPr>
      <w:r w:rsidRPr="00187058">
        <w:rPr>
          <w:color w:val="000000" w:themeColor="text1"/>
          <w:lang w:val="pt-PT" w:eastAsia="es-ES"/>
        </w:rPr>
        <w:t>No basta, por ello, la mera existencia formal de un vínculo familiar. Es necesario examinar cómo se desenvolvía realmente esa relación y hasta qué punto la persona que ejercía la presión tenía capacidad para provocar en el contrayente el mal temido. Deben considerarse también la edad, el grado de independencia, la personalidad, las relaciones familiares y las posibilidades reales de resistencia de quien afirma haber padecido el miedo.</w:t>
      </w:r>
    </w:p>
    <w:p w14:paraId="0F3500F0" w14:textId="3C65AFFE" w:rsidR="003667F5" w:rsidRPr="00187058" w:rsidRDefault="003667F5" w:rsidP="003667F5">
      <w:pPr>
        <w:rPr>
          <w:color w:val="000000" w:themeColor="text1"/>
          <w:lang w:val="pt-PT" w:eastAsia="es-ES"/>
        </w:rPr>
      </w:pPr>
      <w:r w:rsidRPr="00187058">
        <w:rPr>
          <w:color w:val="000000" w:themeColor="text1"/>
          <w:lang w:val="pt-PT" w:eastAsia="es-ES"/>
        </w:rPr>
        <w:t>También aquí resulta indispensable mantener el nexo causal estudiado en el epígrafe anterior. La existencia de autoridad, dependencia o incluso de una grave indignación familiar no produce automáticamente la nulidad matrimonial. Debe demostrarse que aquella actuación generó efectivamente miedo en el contrayente y que este, para evitar el mal que temía, terminó eligiendo el matrimonio.</w:t>
      </w:r>
    </w:p>
    <w:p w14:paraId="7F71BBBE" w14:textId="06219C78" w:rsidR="003667F5" w:rsidRPr="00187058" w:rsidRDefault="003667F5" w:rsidP="003667F5">
      <w:pPr>
        <w:rPr>
          <w:color w:val="000000" w:themeColor="text1"/>
          <w:lang w:val="pt-PT" w:eastAsia="es-ES"/>
        </w:rPr>
      </w:pPr>
      <w:r w:rsidRPr="00187058">
        <w:rPr>
          <w:color w:val="000000" w:themeColor="text1"/>
          <w:lang w:val="pt-PT" w:eastAsia="es-ES"/>
        </w:rPr>
        <w:t xml:space="preserve">Desde esta perspectiva, el temor reverencial permite apreciar con especial claridad la diferencia entre acompañar una decisión y condicionarla gravemente. La autoridad familiar puede orientar, aconsejar e incluso expresar con firmeza su parecer, pero no puede convertirse en el medio mediante el cual se imponga una decisión que corresponde exclusivamente al contrayente. Cuando el temor a las consecuencias de contrariar a quien ejerce esa autoridad conduce a la persona a celebrar un matrimonio para evitar el mal que teme, la </w:t>
      </w:r>
      <w:r w:rsidRPr="00187058">
        <w:rPr>
          <w:color w:val="000000" w:themeColor="text1"/>
          <w:lang w:val="pt-PT" w:eastAsia="es-ES"/>
        </w:rPr>
        <w:lastRenderedPageBreak/>
        <w:t>influencia ha superado el ámbito del consejo y puede adquirir las características de la coacción contemplada en el c. 1103 CIC.</w:t>
      </w:r>
    </w:p>
    <w:p w14:paraId="493C6FF1" w14:textId="754C3C62" w:rsidR="003667F5" w:rsidRPr="00187058" w:rsidRDefault="003667F5" w:rsidP="003667F5">
      <w:pPr>
        <w:rPr>
          <w:color w:val="000000" w:themeColor="text1"/>
          <w:lang w:val="pt-PT" w:eastAsia="es-ES"/>
        </w:rPr>
      </w:pPr>
      <w:r w:rsidRPr="00187058">
        <w:rPr>
          <w:color w:val="000000" w:themeColor="text1"/>
          <w:lang w:val="pt-PT" w:eastAsia="es-ES"/>
        </w:rPr>
        <w:t>La identificación de ese límite resulta especialmente compleja en la práctica judicial, pues las dinámicas familiares no siempre se manifiestan mediante una amenaza única o fácilmente identificable. En ocasiones es necesario reconstruir una sucesión de conductas, formas de dependencia y circunstancias personales para determinar si la decisión matrimonial continuó siendo verdaderamente propia o quedó gravemente condicionada por el temor. Los casos examinados por los tribunales eclesiásticos ecuatorianos permitirán observar, en el siguiente apartado, cómo estos criterios jurídicos se manifiestan en situaciones concretas de nulidad matrimonial.</w:t>
      </w:r>
    </w:p>
    <w:p w14:paraId="2E9F5D93" w14:textId="77777777" w:rsidR="003667F5" w:rsidRPr="00187058" w:rsidRDefault="003667F5" w:rsidP="00FD772D">
      <w:pPr>
        <w:pStyle w:val="Ttulo1"/>
        <w:rPr>
          <w:color w:val="000000" w:themeColor="text1"/>
          <w:lang w:val="pt-PT" w:eastAsia="es-ES"/>
        </w:rPr>
      </w:pPr>
      <w:r w:rsidRPr="00187058">
        <w:rPr>
          <w:color w:val="000000" w:themeColor="text1"/>
          <w:lang w:val="pt-PT" w:eastAsia="es-ES"/>
        </w:rPr>
        <w:t>6. LA LIBERTAD MATRIMONIAL EN LA JURISPRUDENCIA ECLESIÁSTICA ECUATORIANA</w:t>
      </w:r>
    </w:p>
    <w:p w14:paraId="32D58EE5" w14:textId="31EEA71A" w:rsidR="003667F5" w:rsidRPr="00187058" w:rsidRDefault="003667F5" w:rsidP="00FD772D">
      <w:pPr>
        <w:rPr>
          <w:color w:val="000000" w:themeColor="text1"/>
          <w:lang w:val="pt-PT" w:eastAsia="es-ES"/>
        </w:rPr>
      </w:pPr>
      <w:r w:rsidRPr="00187058">
        <w:rPr>
          <w:color w:val="000000" w:themeColor="text1"/>
          <w:lang w:val="pt-PT" w:eastAsia="es-ES"/>
        </w:rPr>
        <w:t>El estudio de la jurisprudencia ecuatoriana permite observar cómo los criterios anteriormente expuestos se manifiestan en situaciones concretas. Una primera fuente está constituida por 32 sentencias del Tribunal Nacional de Apelación del Ecuador correspondientes al período 2010-2015, en las que el c. 1103 fue alegado como capítulo de nulidad. Este arco temporal responde a la dinámica procesal entonces vigente, que exigía una segunda sentencia conforme para que la declaración de nulidad adquiriera ejecutividad (Mero Sánchez, 2025).</w:t>
      </w:r>
    </w:p>
    <w:p w14:paraId="45D7AD66" w14:textId="77777777" w:rsidR="003667F5" w:rsidRPr="00187058" w:rsidRDefault="003667F5" w:rsidP="00FD772D">
      <w:pPr>
        <w:rPr>
          <w:color w:val="000000" w:themeColor="text1"/>
          <w:lang w:val="pt-PT" w:eastAsia="es-ES"/>
        </w:rPr>
      </w:pPr>
      <w:r w:rsidRPr="00187058">
        <w:rPr>
          <w:color w:val="000000" w:themeColor="text1"/>
          <w:lang w:val="pt-PT" w:eastAsia="es-ES"/>
        </w:rPr>
        <w:t>La reforma introducida por el Motu Proprio Mitis Iudex Dominus Iesus modificó este sistema al suprimir la necesidad de una segunda sentencia conforme de oficio. A partir de entonces, las sentencias afirmativas de primera instancia dejaron de llegar necesariamente al Tribunal Nacional de Apelación. El estudio de la casuística ecuatoriana, sin embargo, tuvo continuidad mediante el análisis de las decisiones dictadas en primera instancia (Francisco, 2015).</w:t>
      </w:r>
    </w:p>
    <w:p w14:paraId="7E240375" w14:textId="79D5B910" w:rsidR="003667F5" w:rsidRPr="00187058" w:rsidRDefault="003667F5" w:rsidP="00FD772D">
      <w:pPr>
        <w:rPr>
          <w:color w:val="000000" w:themeColor="text1"/>
          <w:lang w:val="pt-PT" w:eastAsia="es-ES"/>
        </w:rPr>
      </w:pPr>
      <w:r w:rsidRPr="00187058">
        <w:rPr>
          <w:color w:val="000000" w:themeColor="text1"/>
          <w:lang w:val="pt-PT" w:eastAsia="es-ES"/>
        </w:rPr>
        <w:t xml:space="preserve">Las sentencias del Tribunal Nacional de Apelación muestran que el miedo grave aparece vinculado a diversas circunstancias personales y familiares. Entre ellas destaca el embarazo no planificado, presente en el 22 % de los casos cuando la coacción recae sobre la mujer y en el 7 </w:t>
      </w:r>
      <w:r w:rsidRPr="00187058">
        <w:rPr>
          <w:color w:val="000000" w:themeColor="text1"/>
          <w:lang w:val="pt-PT" w:eastAsia="es-ES"/>
        </w:rPr>
        <w:lastRenderedPageBreak/>
        <w:t>% cuando recae sobre el hombre. El temor reverencial aparece, por su parte, en el 17 % de las sentencias examinadas, principalmente en contextos de autoridad o dependencia familiar (Mero Sánchez, 2025).</w:t>
      </w:r>
    </w:p>
    <w:p w14:paraId="46A5A4CD" w14:textId="30834D57" w:rsidR="003667F5" w:rsidRPr="00187058" w:rsidRDefault="003667F5" w:rsidP="00FD772D">
      <w:pPr>
        <w:rPr>
          <w:color w:val="000000" w:themeColor="text1"/>
          <w:lang w:val="pt-PT" w:eastAsia="es-ES"/>
        </w:rPr>
      </w:pPr>
      <w:r w:rsidRPr="00187058">
        <w:rPr>
          <w:color w:val="000000" w:themeColor="text1"/>
          <w:lang w:val="pt-PT" w:eastAsia="es-ES"/>
        </w:rPr>
        <w:t>También se presentan situaciones relacionadas con dependencia familiar, minoría de edad, temor a la prisión, preocupación por la reputación o conflictos dentro del entorno familiar. Estas circunstancias no constituyen por sí mismas causas de nulidad. Su relevancia aparece cuando se vinculan con una actuación externa que provoca un miedo grave y conduce al contrayente a considerar el matrimonio como medio para evitar el mal temido.</w:t>
      </w:r>
    </w:p>
    <w:p w14:paraId="5BB02BB5" w14:textId="13064CBE" w:rsidR="003667F5" w:rsidRPr="00187058" w:rsidRDefault="003667F5" w:rsidP="00FD772D">
      <w:pPr>
        <w:rPr>
          <w:color w:val="000000" w:themeColor="text1"/>
          <w:lang w:val="pt-PT" w:eastAsia="es-ES"/>
        </w:rPr>
      </w:pPr>
      <w:r w:rsidRPr="00187058">
        <w:rPr>
          <w:color w:val="000000" w:themeColor="text1"/>
          <w:lang w:val="pt-PT" w:eastAsia="es-ES"/>
        </w:rPr>
        <w:t>La continuidad del fenómeno puede observarse en las sentencias de primera instancia. Entre 2017 y 2025 se registraron 353 sentencias por el c. 1103 en los tribunales eclesiásticos ecuatorianos analizados. La reforma procesal modificó, por tanto, la instancia en la que estas causas resultan principalmente observables, pero no eliminó la presencia del miedo grave como capítulo de nulidad matrimonial (Mero Sánchez, 2026).</w:t>
      </w:r>
    </w:p>
    <w:p w14:paraId="453D961A" w14:textId="77777777" w:rsidR="00F10780" w:rsidRPr="00187058" w:rsidRDefault="003667F5" w:rsidP="00F10780">
      <w:pPr>
        <w:rPr>
          <w:color w:val="000000" w:themeColor="text1"/>
          <w:lang w:val="pt-PT" w:eastAsia="es-ES"/>
        </w:rPr>
      </w:pPr>
      <w:r w:rsidRPr="00187058">
        <w:rPr>
          <w:color w:val="000000" w:themeColor="text1"/>
          <w:lang w:val="pt-PT" w:eastAsia="es-ES"/>
        </w:rPr>
        <w:t>La jurisprudencia ecuatoriana permite así constatar que circunstancias como el embarazo no planificado, la dependencia familiar o el temor reverencial solo adquieren relevancia canónica cuando se insertan en una situación de coacción externa capaz de influir causalmente en la elección matrimonial. De este modo, el análisis de los casos concretos confirma la necesidad de distinguir entre las circunstancias que rodean una decisión difícil y aquellas que llegan a comprometer jurídicamente la libertad del consentimiento (Mero Sánchez, 2025; Zuanazzi, 2018).</w:t>
      </w:r>
    </w:p>
    <w:p w14:paraId="1AA70899" w14:textId="565B631E" w:rsidR="00F10780" w:rsidRPr="00187058" w:rsidRDefault="00F10780" w:rsidP="00D74B17">
      <w:pPr>
        <w:pStyle w:val="Ttulo1"/>
        <w:rPr>
          <w:color w:val="000000" w:themeColor="text1"/>
        </w:rPr>
      </w:pPr>
      <w:r w:rsidRPr="00187058">
        <w:rPr>
          <w:color w:val="000000" w:themeColor="text1"/>
        </w:rPr>
        <w:t>7. DISCUSIÓN</w:t>
      </w:r>
    </w:p>
    <w:p w14:paraId="6F2514A2" w14:textId="15019D71" w:rsidR="00F10780" w:rsidRPr="00187058" w:rsidRDefault="00F10780" w:rsidP="00F10780">
      <w:pPr>
        <w:rPr>
          <w:color w:val="000000" w:themeColor="text1"/>
          <w:lang w:val="pt-PT" w:eastAsia="es-ES"/>
        </w:rPr>
      </w:pPr>
      <w:r w:rsidRPr="00187058">
        <w:rPr>
          <w:color w:val="000000" w:themeColor="text1"/>
          <w:lang w:val="pt-PT" w:eastAsia="es-ES"/>
        </w:rPr>
        <w:t xml:space="preserve">Los resultados de la jurisprudencia ecuatoriana examinada confirman que la relevancia jurídica del miedo grave no puede determinarse únicamente a partir de la presencia de circunstancias objetivamente difíciles en torno a la celebración del matrimonio. El embarazo no planificado, la dependencia familiar o el temor a contrariar a quien ejerce autoridad aparecen en las sentencias estudiadas como contextos particularmente significativos, pero solo adquieren eficacia invalidante </w:t>
      </w:r>
      <w:r w:rsidRPr="00187058">
        <w:rPr>
          <w:color w:val="000000" w:themeColor="text1"/>
          <w:lang w:val="pt-PT" w:eastAsia="es-ES"/>
        </w:rPr>
        <w:lastRenderedPageBreak/>
        <w:t>cuando puede establecerse una actuación externa capaz de provocar un miedo grave y una relación causal entre ese miedo y la decisión de contraer matrimonio. Esta constatación resulta coherente con los planteamientos de Caberletti (2003) y Ortiz (2003, 2006), quienes destacan la necesidad de valorar conjuntamente la gravedad, la extrinsecidad y la incidencia causal del miedo sobre la elección matrimonial, y también con el análisis de Zuanazzi (2018), que advierte que situaciones como el embarazo inesperado no poseen por sí mismas un valor determinante para la nulidad. Los datos ecuatorianos permiten, por tanto, observar en situaciones concretas una exigencia central del c. 1103 CIC: distinguir entre las circunstancias que pueden influir o ejercer presión sobre el contrayente y aquellas en las que la coacción externa alcanza una intensidad suficiente para comprometer jurídicamente la libertad del consentimiento.</w:t>
      </w:r>
    </w:p>
    <w:p w14:paraId="08E979D1" w14:textId="050C793F" w:rsidR="003667F5" w:rsidRPr="00187058" w:rsidRDefault="00F10780" w:rsidP="007968F0">
      <w:pPr>
        <w:pStyle w:val="Ttulo1"/>
        <w:rPr>
          <w:color w:val="000000" w:themeColor="text1"/>
          <w:lang w:val="pt-PT" w:eastAsia="es-ES"/>
        </w:rPr>
      </w:pPr>
      <w:r w:rsidRPr="00187058">
        <w:rPr>
          <w:color w:val="000000" w:themeColor="text1"/>
          <w:lang w:val="pt-PT" w:eastAsia="es-ES"/>
        </w:rPr>
        <w:t>8</w:t>
      </w:r>
      <w:r w:rsidR="003667F5" w:rsidRPr="00187058">
        <w:rPr>
          <w:color w:val="000000" w:themeColor="text1"/>
          <w:lang w:val="pt-PT" w:eastAsia="es-ES"/>
        </w:rPr>
        <w:t>. CONCLUSIONES</w:t>
      </w:r>
    </w:p>
    <w:p w14:paraId="7FF309C2" w14:textId="73BAD2FC" w:rsidR="003667F5" w:rsidRPr="00187058" w:rsidRDefault="003667F5" w:rsidP="007968F0">
      <w:pPr>
        <w:rPr>
          <w:color w:val="000000" w:themeColor="text1"/>
          <w:lang w:val="pt-PT" w:eastAsia="es-ES"/>
        </w:rPr>
      </w:pPr>
      <w:r w:rsidRPr="00187058">
        <w:rPr>
          <w:color w:val="000000" w:themeColor="text1"/>
          <w:lang w:val="pt-PT" w:eastAsia="es-ES"/>
        </w:rPr>
        <w:t>La libertad constituye una exigencia esencial del consentimiento matrimonial canónico. El carácter personalísimo de la decisión de contraer matrimonio implica que esta debe proceder de los propios contrayentes y no puede ser sustituida por la voluntad de terceros. La tutela de esta libertad responde al reconocimiento de la persona como sujeto capaz de decidir responsablemente acerca de su propio estado de vida.</w:t>
      </w:r>
    </w:p>
    <w:p w14:paraId="29CA5894" w14:textId="14B8C23B" w:rsidR="003667F5" w:rsidRPr="00187058" w:rsidRDefault="003667F5" w:rsidP="007968F0">
      <w:pPr>
        <w:rPr>
          <w:color w:val="000000" w:themeColor="text1"/>
          <w:lang w:val="pt-PT" w:eastAsia="es-ES"/>
        </w:rPr>
      </w:pPr>
      <w:r w:rsidRPr="00187058">
        <w:rPr>
          <w:color w:val="000000" w:themeColor="text1"/>
          <w:lang w:val="pt-PT" w:eastAsia="es-ES"/>
        </w:rPr>
        <w:t>Desde esta perspectiva, el c. 1103 CIC adquiere relevancia cuando una actuación externa provoca un miedo grave que incide causalmente en la elección matrimonial. El contrayente conserva su capacidad de comprender, valorar y decidir, pero elige el matrimonio para evitar el mal que teme. Por ello, la gravedad, la extrinsecidad, la causalidad y la indeclinabilidad deben valorarse conjuntamente y atendiendo a las circunstancias concretas de la persona.</w:t>
      </w:r>
    </w:p>
    <w:p w14:paraId="52B4FE68" w14:textId="17298FEE" w:rsidR="003667F5" w:rsidRPr="00187058" w:rsidRDefault="003667F5" w:rsidP="007968F0">
      <w:pPr>
        <w:rPr>
          <w:color w:val="000000" w:themeColor="text1"/>
          <w:lang w:val="pt-PT" w:eastAsia="es-ES"/>
        </w:rPr>
      </w:pPr>
      <w:r w:rsidRPr="00187058">
        <w:rPr>
          <w:color w:val="000000" w:themeColor="text1"/>
          <w:lang w:val="pt-PT" w:eastAsia="es-ES"/>
        </w:rPr>
        <w:t xml:space="preserve">El temor reverencial constituye una manifestación especialmente compleja del miedo grave, porque se desarrolla dentro de relaciones de autoridad, dependencia o especial afecto que, en principio, son legítimas. La intervención familiar adquiere relevancia jurídica cuando </w:t>
      </w:r>
      <w:r w:rsidRPr="00187058">
        <w:rPr>
          <w:color w:val="000000" w:themeColor="text1"/>
          <w:lang w:val="pt-PT" w:eastAsia="es-ES"/>
        </w:rPr>
        <w:lastRenderedPageBreak/>
        <w:t>el temor a las consecuencias de contrariar a quien ejerce autoridad alcanza una intensidad capaz de condicionar gravemente la elección matrimonial. La dificultad consiste, por tanto, en determinar cuándo la influencia deja de acompañar la decisión y se transforma en verdadera coacción.</w:t>
      </w:r>
    </w:p>
    <w:p w14:paraId="0490B10E" w14:textId="1FA034E4" w:rsidR="003667F5" w:rsidRPr="00187058" w:rsidRDefault="003667F5" w:rsidP="007968F0">
      <w:pPr>
        <w:rPr>
          <w:color w:val="000000" w:themeColor="text1"/>
          <w:lang w:val="pt-PT" w:eastAsia="es-ES"/>
        </w:rPr>
      </w:pPr>
      <w:r w:rsidRPr="00187058">
        <w:rPr>
          <w:color w:val="000000" w:themeColor="text1"/>
          <w:lang w:val="pt-PT" w:eastAsia="es-ES"/>
        </w:rPr>
        <w:t>La jurisprudencia estudiada muestra que las causas de nulidad por miedo grave mantienen una presencia significativa en los tribunales eclesiásticos ecuatorianos.</w:t>
      </w:r>
    </w:p>
    <w:p w14:paraId="0E17FB02" w14:textId="77777777" w:rsidR="00D74B17" w:rsidRPr="00187058" w:rsidRDefault="003667F5" w:rsidP="00D74B17">
      <w:pPr>
        <w:rPr>
          <w:color w:val="000000" w:themeColor="text1"/>
          <w:lang w:val="pt-PT" w:eastAsia="es-ES"/>
        </w:rPr>
      </w:pPr>
      <w:r w:rsidRPr="00187058">
        <w:rPr>
          <w:color w:val="000000" w:themeColor="text1"/>
          <w:lang w:val="pt-PT" w:eastAsia="es-ES"/>
        </w:rPr>
        <w:t xml:space="preserve">Los resultados de las sentencias estudiadas permiten identificar algunas circunstancias especialmente recurrentes en las causas tramitadas por miedo grave. Entre ellas destaca el embarazo no planificado, presente en el 22 % de los casos cuando la coacción recae sobre la mujer y en el 7 % cuando recae sobre el hombre, mientras que el temor reverencial aparece en el 17 % de las decisiones examinadas. Junto a estas situaciones se observan relaciones de dependencia familiar y otros contextos en los que el contrayente teme consecuencias que considera difíciles de afrontar. Estos datos muestran que la relevancia del c. 1103 no depende de la sola existencia de circunstancias personales o familiares adversas, sino de la manera en que una actuación externa se sirve de ellas </w:t>
      </w:r>
      <w:bookmarkStart w:id="0" w:name="_GoBack"/>
      <w:bookmarkEnd w:id="0"/>
      <w:r w:rsidRPr="00187058">
        <w:rPr>
          <w:color w:val="000000" w:themeColor="text1"/>
          <w:lang w:val="pt-PT" w:eastAsia="es-ES"/>
        </w:rPr>
        <w:t>para provocar un miedo grave y orientar causalmente la elección del matrimonio. La jurisprudencia ecuatoriana confirma así la necesidad de valorar cada caso desde la situación concreta del contrayente y desde la eficacia real que la coacción tuvo sobre su libertad matrimonial (Mero Sánchez, 2025).</w:t>
      </w:r>
    </w:p>
    <w:p w14:paraId="17634E63" w14:textId="6F1BC885" w:rsidR="003667F5" w:rsidRPr="00187058" w:rsidRDefault="00D74B17" w:rsidP="00D74B17">
      <w:pPr>
        <w:pStyle w:val="Ttulo1"/>
        <w:rPr>
          <w:color w:val="000000" w:themeColor="text1"/>
          <w:lang w:val="pt-PT" w:eastAsia="es-ES"/>
        </w:rPr>
      </w:pPr>
      <w:r w:rsidRPr="00187058">
        <w:rPr>
          <w:color w:val="000000" w:themeColor="text1"/>
          <w:lang w:val="it-IT"/>
        </w:rPr>
        <w:t xml:space="preserve">9. </w:t>
      </w:r>
      <w:r w:rsidR="003667F5" w:rsidRPr="00187058">
        <w:rPr>
          <w:color w:val="000000" w:themeColor="text1"/>
          <w:lang w:val="it-IT"/>
        </w:rPr>
        <w:t>Referencias</w:t>
      </w:r>
    </w:p>
    <w:p w14:paraId="044D4D05" w14:textId="77777777" w:rsidR="00D74B17" w:rsidRPr="00187058" w:rsidRDefault="00D74B17" w:rsidP="00D74B17">
      <w:pPr>
        <w:pStyle w:val="Bibliografa"/>
        <w:rPr>
          <w:color w:val="000000" w:themeColor="text1"/>
          <w:lang w:val="es-MX"/>
        </w:rPr>
      </w:pPr>
      <w:r w:rsidRPr="00187058">
        <w:rPr>
          <w:color w:val="000000" w:themeColor="text1"/>
          <w:lang w:val="it-IT"/>
        </w:rPr>
        <w:t xml:space="preserve">Caberletti, G. (2003). I requisiti del </w:t>
      </w:r>
      <w:r w:rsidRPr="00187058">
        <w:rPr>
          <w:i/>
          <w:iCs/>
          <w:color w:val="000000" w:themeColor="text1"/>
          <w:lang w:val="it-IT"/>
        </w:rPr>
        <w:t>metus</w:t>
      </w:r>
      <w:r w:rsidRPr="00187058">
        <w:rPr>
          <w:color w:val="000000" w:themeColor="text1"/>
          <w:lang w:val="it-IT"/>
        </w:rPr>
        <w:t xml:space="preserve"> invalidante il consenso coniugale. En P. A. Bonnet &amp; C. Gullo (Eds.), </w:t>
      </w:r>
      <w:r w:rsidRPr="00187058">
        <w:rPr>
          <w:i/>
          <w:iCs/>
          <w:color w:val="000000" w:themeColor="text1"/>
          <w:lang w:val="it-IT"/>
        </w:rPr>
        <w:t>Diritto matrimoniale canonico. 2: Il consenso</w:t>
      </w:r>
      <w:r w:rsidRPr="00187058">
        <w:rPr>
          <w:color w:val="000000" w:themeColor="text1"/>
          <w:lang w:val="it-IT"/>
        </w:rPr>
        <w:t xml:space="preserve"> (pp. 587–603). </w:t>
      </w:r>
      <w:r w:rsidRPr="00187058">
        <w:rPr>
          <w:color w:val="000000" w:themeColor="text1"/>
          <w:lang w:val="es-MX"/>
        </w:rPr>
        <w:t>Libreria Editrice Vaticana.</w:t>
      </w:r>
    </w:p>
    <w:p w14:paraId="249073A3"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Concilio Vaticano II. (1965). Constitución pastoral </w:t>
      </w:r>
      <w:r w:rsidRPr="00187058">
        <w:rPr>
          <w:i/>
          <w:iCs/>
          <w:color w:val="000000" w:themeColor="text1"/>
          <w:lang w:val="es-MX"/>
        </w:rPr>
        <w:t xml:space="preserve">Gaudium et </w:t>
      </w:r>
      <w:proofErr w:type="spellStart"/>
      <w:r w:rsidRPr="00187058">
        <w:rPr>
          <w:i/>
          <w:iCs/>
          <w:color w:val="000000" w:themeColor="text1"/>
          <w:lang w:val="es-MX"/>
        </w:rPr>
        <w:t>spes</w:t>
      </w:r>
      <w:proofErr w:type="spellEnd"/>
      <w:r w:rsidRPr="00187058">
        <w:rPr>
          <w:color w:val="000000" w:themeColor="text1"/>
          <w:lang w:val="es-MX"/>
        </w:rPr>
        <w:t xml:space="preserve">. </w:t>
      </w:r>
      <w:r w:rsidRPr="00187058">
        <w:rPr>
          <w:i/>
          <w:iCs/>
          <w:color w:val="000000" w:themeColor="text1"/>
          <w:lang w:val="es-MX"/>
        </w:rPr>
        <w:t xml:space="preserve">Acta </w:t>
      </w:r>
      <w:proofErr w:type="spellStart"/>
      <w:r w:rsidRPr="00187058">
        <w:rPr>
          <w:i/>
          <w:iCs/>
          <w:color w:val="000000" w:themeColor="text1"/>
          <w:lang w:val="es-MX"/>
        </w:rPr>
        <w:t>Apostolicae</w:t>
      </w:r>
      <w:proofErr w:type="spellEnd"/>
      <w:r w:rsidRPr="00187058">
        <w:rPr>
          <w:i/>
          <w:iCs/>
          <w:color w:val="000000" w:themeColor="text1"/>
          <w:lang w:val="es-MX"/>
        </w:rPr>
        <w:t xml:space="preserve"> </w:t>
      </w:r>
      <w:proofErr w:type="spellStart"/>
      <w:r w:rsidRPr="00187058">
        <w:rPr>
          <w:i/>
          <w:iCs/>
          <w:color w:val="000000" w:themeColor="text1"/>
          <w:lang w:val="es-MX"/>
        </w:rPr>
        <w:t>Sedis</w:t>
      </w:r>
      <w:proofErr w:type="spellEnd"/>
      <w:r w:rsidRPr="00187058">
        <w:rPr>
          <w:i/>
          <w:iCs/>
          <w:color w:val="000000" w:themeColor="text1"/>
          <w:lang w:val="es-MX"/>
        </w:rPr>
        <w:t>, 58</w:t>
      </w:r>
      <w:r w:rsidRPr="00187058">
        <w:rPr>
          <w:color w:val="000000" w:themeColor="text1"/>
          <w:lang w:val="es-MX"/>
        </w:rPr>
        <w:t>, 1025–1120.</w:t>
      </w:r>
    </w:p>
    <w:p w14:paraId="54B0FE3E"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Franceschi, H. (2006). La relación entre el miedo y la falta de libertad interna. </w:t>
      </w:r>
      <w:r w:rsidRPr="00187058">
        <w:rPr>
          <w:i/>
          <w:iCs/>
          <w:color w:val="000000" w:themeColor="text1"/>
          <w:lang w:val="es-MX"/>
        </w:rPr>
        <w:t>Asociación Chilena de Canonistas, 20</w:t>
      </w:r>
      <w:r w:rsidRPr="00187058">
        <w:rPr>
          <w:color w:val="000000" w:themeColor="text1"/>
          <w:lang w:val="es-MX"/>
        </w:rPr>
        <w:t>.</w:t>
      </w:r>
    </w:p>
    <w:p w14:paraId="25167C0C"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Franceschi, H. (2011). Consideraciones acerca de algunas cuestiones disputadas sobre el canon 1095. </w:t>
      </w:r>
      <w:r w:rsidRPr="00187058">
        <w:rPr>
          <w:i/>
          <w:iCs/>
          <w:color w:val="000000" w:themeColor="text1"/>
          <w:lang w:val="es-MX"/>
        </w:rPr>
        <w:t>Ius Canonicum, 51</w:t>
      </w:r>
      <w:r w:rsidRPr="00187058">
        <w:rPr>
          <w:color w:val="000000" w:themeColor="text1"/>
          <w:lang w:val="es-MX"/>
        </w:rPr>
        <w:t>, 449–478.</w:t>
      </w:r>
    </w:p>
    <w:p w14:paraId="6AA1A4EF" w14:textId="77777777" w:rsidR="00D74B17" w:rsidRPr="00187058" w:rsidRDefault="00D74B17" w:rsidP="00D74B17">
      <w:pPr>
        <w:pStyle w:val="Bibliografa"/>
        <w:rPr>
          <w:color w:val="000000" w:themeColor="text1"/>
          <w:lang w:val="es-MX"/>
        </w:rPr>
      </w:pPr>
      <w:r w:rsidRPr="00187058">
        <w:rPr>
          <w:color w:val="000000" w:themeColor="text1"/>
          <w:lang w:val="es-MX"/>
        </w:rPr>
        <w:lastRenderedPageBreak/>
        <w:t xml:space="preserve">Francisco. (2015). Carta apostólica en forma de motu proprio </w:t>
      </w:r>
      <w:r w:rsidRPr="00187058">
        <w:rPr>
          <w:i/>
          <w:iCs/>
          <w:color w:val="000000" w:themeColor="text1"/>
          <w:lang w:val="es-MX"/>
        </w:rPr>
        <w:t>Mitis Iudex Dominus Iesus</w:t>
      </w:r>
      <w:r w:rsidRPr="00187058">
        <w:rPr>
          <w:color w:val="000000" w:themeColor="text1"/>
          <w:lang w:val="es-MX"/>
        </w:rPr>
        <w:t xml:space="preserve"> sobre la reforma del proceso canónico para las causas de declaración de nulidad del matrimonio en el Código de Derecho Canónico. Libreria Editrice Vaticana.</w:t>
      </w:r>
    </w:p>
    <w:p w14:paraId="56415717"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Gil de las Heras, F. (1982). El miedo y la falta de libertad interna en el consentimiento matrimonial. </w:t>
      </w:r>
      <w:r w:rsidRPr="00187058">
        <w:rPr>
          <w:i/>
          <w:iCs/>
          <w:color w:val="000000" w:themeColor="text1"/>
          <w:lang w:val="es-MX"/>
        </w:rPr>
        <w:t>Ius Canonicum, 22</w:t>
      </w:r>
      <w:r w:rsidRPr="00187058">
        <w:rPr>
          <w:color w:val="000000" w:themeColor="text1"/>
          <w:lang w:val="es-MX"/>
        </w:rPr>
        <w:t>, 715–748.</w:t>
      </w:r>
    </w:p>
    <w:p w14:paraId="23B6E745"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Instituto Martín de Azpilcueta. (2023). </w:t>
      </w:r>
      <w:r w:rsidRPr="00187058">
        <w:rPr>
          <w:i/>
          <w:iCs/>
          <w:color w:val="000000" w:themeColor="text1"/>
          <w:lang w:val="es-MX"/>
        </w:rPr>
        <w:t>Código de Derecho Canónico: edición bilingüe y anotada</w:t>
      </w:r>
      <w:r w:rsidRPr="00187058">
        <w:rPr>
          <w:color w:val="000000" w:themeColor="text1"/>
          <w:lang w:val="es-MX"/>
        </w:rPr>
        <w:t xml:space="preserve"> (11.ª ed.). EUNSA.</w:t>
      </w:r>
    </w:p>
    <w:p w14:paraId="3AD31AB5"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Mero Sánchez, E. M. (2025). </w:t>
      </w:r>
      <w:r w:rsidRPr="00187058">
        <w:rPr>
          <w:i/>
          <w:iCs/>
          <w:color w:val="000000" w:themeColor="text1"/>
          <w:lang w:val="es-MX"/>
        </w:rPr>
        <w:t>El temor grave (c. 1103), con una especial mención al temor reverencial, en las sentencias de declaración de nulidad matrimonial de la Rota Romana y de los Tribunales Eclesiásticos del Ecuador</w:t>
      </w:r>
      <w:r w:rsidRPr="00187058">
        <w:rPr>
          <w:color w:val="000000" w:themeColor="text1"/>
          <w:lang w:val="es-MX"/>
        </w:rPr>
        <w:t xml:space="preserve"> [Tesis doctoral, Pontificia Università della Santa Croce].</w:t>
      </w:r>
    </w:p>
    <w:p w14:paraId="4FB46706" w14:textId="77777777" w:rsidR="00D74B17" w:rsidRPr="00187058" w:rsidRDefault="00D74B17" w:rsidP="00D74B17">
      <w:pPr>
        <w:pStyle w:val="Bibliografa"/>
        <w:rPr>
          <w:color w:val="000000" w:themeColor="text1"/>
          <w:lang w:val="it-IT"/>
        </w:rPr>
      </w:pPr>
      <w:r w:rsidRPr="00187058">
        <w:rPr>
          <w:color w:val="000000" w:themeColor="text1"/>
          <w:lang w:val="es-MX"/>
        </w:rPr>
        <w:t xml:space="preserve">Mero Sánchez, E. M. (2026). </w:t>
      </w:r>
      <w:r w:rsidRPr="00187058">
        <w:rPr>
          <w:i/>
          <w:iCs/>
          <w:color w:val="000000" w:themeColor="text1"/>
          <w:lang w:val="es-MX"/>
        </w:rPr>
        <w:t xml:space="preserve">Cuadro actualizado de casos del c. 1103 en primera instancia. </w:t>
      </w:r>
      <w:r w:rsidRPr="00187058">
        <w:rPr>
          <w:i/>
          <w:iCs/>
          <w:color w:val="000000" w:themeColor="text1"/>
          <w:lang w:val="it-IT"/>
        </w:rPr>
        <w:t>Serie 2017–2025</w:t>
      </w:r>
      <w:r w:rsidRPr="00187058">
        <w:rPr>
          <w:color w:val="000000" w:themeColor="text1"/>
          <w:lang w:val="it-IT"/>
        </w:rPr>
        <w:t xml:space="preserve"> [Documento de investigación no publicado].</w:t>
      </w:r>
    </w:p>
    <w:p w14:paraId="56E11FC7" w14:textId="77777777" w:rsidR="00D74B17" w:rsidRPr="00187058" w:rsidRDefault="00D74B17" w:rsidP="00D74B17">
      <w:pPr>
        <w:pStyle w:val="Bibliografa"/>
        <w:rPr>
          <w:color w:val="000000" w:themeColor="text1"/>
          <w:lang w:val="it-IT"/>
        </w:rPr>
      </w:pPr>
      <w:r w:rsidRPr="00187058">
        <w:rPr>
          <w:color w:val="000000" w:themeColor="text1"/>
          <w:lang w:val="it-IT"/>
        </w:rPr>
        <w:t xml:space="preserve">Ortiz, M. Á. (2003). Il timore che invalida il matrimonio e la sua prova. </w:t>
      </w:r>
      <w:r w:rsidRPr="00187058">
        <w:rPr>
          <w:i/>
          <w:iCs/>
          <w:color w:val="000000" w:themeColor="text1"/>
          <w:lang w:val="it-IT"/>
        </w:rPr>
        <w:t>Ius Ecclesiae, 15</w:t>
      </w:r>
      <w:r w:rsidRPr="00187058">
        <w:rPr>
          <w:color w:val="000000" w:themeColor="text1"/>
          <w:lang w:val="it-IT"/>
        </w:rPr>
        <w:t>, 81–127.</w:t>
      </w:r>
    </w:p>
    <w:p w14:paraId="158D03E4" w14:textId="77777777" w:rsidR="00D74B17" w:rsidRPr="00187058" w:rsidRDefault="00D74B17" w:rsidP="00D74B17">
      <w:pPr>
        <w:pStyle w:val="Bibliografa"/>
        <w:rPr>
          <w:color w:val="000000" w:themeColor="text1"/>
          <w:lang w:val="es-MX"/>
        </w:rPr>
      </w:pPr>
      <w:r w:rsidRPr="00187058">
        <w:rPr>
          <w:color w:val="000000" w:themeColor="text1"/>
          <w:lang w:val="it-IT"/>
        </w:rPr>
        <w:t xml:space="preserve">Ortiz, M. Á. (2006). Il timore reverenziale. En Arcisodalizio della Curia Romana (Ed.), </w:t>
      </w:r>
      <w:r w:rsidRPr="00187058">
        <w:rPr>
          <w:i/>
          <w:iCs/>
          <w:color w:val="000000" w:themeColor="text1"/>
          <w:lang w:val="it-IT"/>
        </w:rPr>
        <w:t>La vis vel metus nel consenso matrimoniale canonico (can. 1103)</w:t>
      </w:r>
      <w:r w:rsidRPr="00187058">
        <w:rPr>
          <w:color w:val="000000" w:themeColor="text1"/>
          <w:lang w:val="it-IT"/>
        </w:rPr>
        <w:t xml:space="preserve"> (pp. 129–164). </w:t>
      </w:r>
      <w:r w:rsidRPr="00187058">
        <w:rPr>
          <w:color w:val="000000" w:themeColor="text1"/>
          <w:lang w:val="es-MX"/>
        </w:rPr>
        <w:t>Libreria Editrice Vaticana.</w:t>
      </w:r>
    </w:p>
    <w:p w14:paraId="5DDAF933"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Tribunal de la Rota Romana. (1929, 6 de agosto). Sentencia </w:t>
      </w:r>
      <w:r w:rsidRPr="00187058">
        <w:rPr>
          <w:i/>
          <w:iCs/>
          <w:color w:val="000000" w:themeColor="text1"/>
          <w:lang w:val="es-MX"/>
        </w:rPr>
        <w:t>coram</w:t>
      </w:r>
      <w:r w:rsidRPr="00187058">
        <w:rPr>
          <w:color w:val="000000" w:themeColor="text1"/>
          <w:lang w:val="es-MX"/>
        </w:rPr>
        <w:t xml:space="preserve"> </w:t>
      </w:r>
      <w:proofErr w:type="spellStart"/>
      <w:r w:rsidRPr="00187058">
        <w:rPr>
          <w:color w:val="000000" w:themeColor="text1"/>
          <w:lang w:val="es-MX"/>
        </w:rPr>
        <w:t>Wynen</w:t>
      </w:r>
      <w:proofErr w:type="spellEnd"/>
      <w:r w:rsidRPr="00187058">
        <w:rPr>
          <w:color w:val="000000" w:themeColor="text1"/>
          <w:lang w:val="es-MX"/>
        </w:rPr>
        <w:t xml:space="preserve">. </w:t>
      </w:r>
      <w:r w:rsidRPr="00187058">
        <w:rPr>
          <w:i/>
          <w:iCs/>
          <w:color w:val="000000" w:themeColor="text1"/>
          <w:lang w:val="es-MX"/>
        </w:rPr>
        <w:t>RRDec., 21</w:t>
      </w:r>
      <w:r w:rsidRPr="00187058">
        <w:rPr>
          <w:color w:val="000000" w:themeColor="text1"/>
          <w:lang w:val="es-MX"/>
        </w:rPr>
        <w:t>, 385–392.</w:t>
      </w:r>
    </w:p>
    <w:p w14:paraId="3496FC49"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Tribunal de la Rota Romana. (1931, 10 de agosto). Sentencia </w:t>
      </w:r>
      <w:r w:rsidRPr="00187058">
        <w:rPr>
          <w:i/>
          <w:iCs/>
          <w:color w:val="000000" w:themeColor="text1"/>
          <w:lang w:val="es-MX"/>
        </w:rPr>
        <w:t>coram</w:t>
      </w:r>
      <w:r w:rsidRPr="00187058">
        <w:rPr>
          <w:color w:val="000000" w:themeColor="text1"/>
          <w:lang w:val="es-MX"/>
        </w:rPr>
        <w:t xml:space="preserve"> </w:t>
      </w:r>
      <w:proofErr w:type="spellStart"/>
      <w:r w:rsidRPr="00187058">
        <w:rPr>
          <w:color w:val="000000" w:themeColor="text1"/>
          <w:lang w:val="es-MX"/>
        </w:rPr>
        <w:t>Parrillo</w:t>
      </w:r>
      <w:proofErr w:type="spellEnd"/>
      <w:r w:rsidRPr="00187058">
        <w:rPr>
          <w:color w:val="000000" w:themeColor="text1"/>
          <w:lang w:val="es-MX"/>
        </w:rPr>
        <w:t xml:space="preserve">. </w:t>
      </w:r>
      <w:r w:rsidRPr="00187058">
        <w:rPr>
          <w:i/>
          <w:iCs/>
          <w:color w:val="000000" w:themeColor="text1"/>
          <w:lang w:val="es-MX"/>
        </w:rPr>
        <w:t>RRDec., 23</w:t>
      </w:r>
      <w:r w:rsidRPr="00187058">
        <w:rPr>
          <w:color w:val="000000" w:themeColor="text1"/>
          <w:lang w:val="es-MX"/>
        </w:rPr>
        <w:t>, 387–393.</w:t>
      </w:r>
    </w:p>
    <w:p w14:paraId="1F593F6F"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Tribunal de la Rota Romana. (1960, 7 de abril). Sentencia </w:t>
      </w:r>
      <w:r w:rsidRPr="00187058">
        <w:rPr>
          <w:i/>
          <w:iCs/>
          <w:color w:val="000000" w:themeColor="text1"/>
          <w:lang w:val="es-MX"/>
        </w:rPr>
        <w:t>coram</w:t>
      </w:r>
      <w:r w:rsidRPr="00187058">
        <w:rPr>
          <w:color w:val="000000" w:themeColor="text1"/>
          <w:lang w:val="es-MX"/>
        </w:rPr>
        <w:t xml:space="preserve"> </w:t>
      </w:r>
      <w:proofErr w:type="spellStart"/>
      <w:r w:rsidRPr="00187058">
        <w:rPr>
          <w:color w:val="000000" w:themeColor="text1"/>
          <w:lang w:val="es-MX"/>
        </w:rPr>
        <w:t>Felici</w:t>
      </w:r>
      <w:proofErr w:type="spellEnd"/>
      <w:r w:rsidRPr="00187058">
        <w:rPr>
          <w:color w:val="000000" w:themeColor="text1"/>
          <w:lang w:val="es-MX"/>
        </w:rPr>
        <w:t xml:space="preserve">. </w:t>
      </w:r>
      <w:r w:rsidRPr="00187058">
        <w:rPr>
          <w:i/>
          <w:iCs/>
          <w:color w:val="000000" w:themeColor="text1"/>
          <w:lang w:val="es-MX"/>
        </w:rPr>
        <w:t>RRDec., 52</w:t>
      </w:r>
      <w:r w:rsidRPr="00187058">
        <w:rPr>
          <w:color w:val="000000" w:themeColor="text1"/>
          <w:lang w:val="es-MX"/>
        </w:rPr>
        <w:t>, 222–227.</w:t>
      </w:r>
    </w:p>
    <w:p w14:paraId="3DE340AB"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Tribunal de la Rota Romana. (1993, 2 de abril). Sentencia </w:t>
      </w:r>
      <w:r w:rsidRPr="00187058">
        <w:rPr>
          <w:i/>
          <w:iCs/>
          <w:color w:val="000000" w:themeColor="text1"/>
          <w:lang w:val="es-MX"/>
        </w:rPr>
        <w:t>coram</w:t>
      </w:r>
      <w:r w:rsidRPr="00187058">
        <w:rPr>
          <w:color w:val="000000" w:themeColor="text1"/>
          <w:lang w:val="es-MX"/>
        </w:rPr>
        <w:t xml:space="preserve"> Pompedda. </w:t>
      </w:r>
      <w:r w:rsidRPr="00187058">
        <w:rPr>
          <w:i/>
          <w:iCs/>
          <w:color w:val="000000" w:themeColor="text1"/>
          <w:lang w:val="es-MX"/>
        </w:rPr>
        <w:t>RRDec., 85</w:t>
      </w:r>
      <w:r w:rsidRPr="00187058">
        <w:rPr>
          <w:color w:val="000000" w:themeColor="text1"/>
          <w:lang w:val="es-MX"/>
        </w:rPr>
        <w:t>, 278–287.</w:t>
      </w:r>
    </w:p>
    <w:p w14:paraId="5234B491"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Tribunal de la Rota Romana. (2000, 23 de mayo). Sentencia </w:t>
      </w:r>
      <w:r w:rsidRPr="00187058">
        <w:rPr>
          <w:i/>
          <w:iCs/>
          <w:color w:val="000000" w:themeColor="text1"/>
          <w:lang w:val="es-MX"/>
        </w:rPr>
        <w:t>coram</w:t>
      </w:r>
      <w:r w:rsidRPr="00187058">
        <w:rPr>
          <w:color w:val="000000" w:themeColor="text1"/>
          <w:lang w:val="es-MX"/>
        </w:rPr>
        <w:t xml:space="preserve"> Stankiewicz. </w:t>
      </w:r>
      <w:r w:rsidRPr="00187058">
        <w:rPr>
          <w:i/>
          <w:iCs/>
          <w:color w:val="000000" w:themeColor="text1"/>
          <w:lang w:val="es-MX"/>
        </w:rPr>
        <w:t>RRDec., 92</w:t>
      </w:r>
      <w:r w:rsidRPr="00187058">
        <w:rPr>
          <w:color w:val="000000" w:themeColor="text1"/>
          <w:lang w:val="es-MX"/>
        </w:rPr>
        <w:t>, 379–392.</w:t>
      </w:r>
    </w:p>
    <w:p w14:paraId="4AFFED5A" w14:textId="77777777" w:rsidR="00D74B17" w:rsidRPr="00187058" w:rsidRDefault="00D74B17" w:rsidP="00D74B17">
      <w:pPr>
        <w:pStyle w:val="Bibliografa"/>
        <w:rPr>
          <w:color w:val="000000" w:themeColor="text1"/>
          <w:lang w:val="es-MX"/>
        </w:rPr>
      </w:pPr>
      <w:r w:rsidRPr="00187058">
        <w:rPr>
          <w:color w:val="000000" w:themeColor="text1"/>
          <w:lang w:val="es-MX"/>
        </w:rPr>
        <w:t xml:space="preserve">Viladrich, P. J. (1998). </w:t>
      </w:r>
      <w:r w:rsidRPr="00187058">
        <w:rPr>
          <w:i/>
          <w:iCs/>
          <w:color w:val="000000" w:themeColor="text1"/>
          <w:lang w:val="es-MX"/>
        </w:rPr>
        <w:t>El consentimiento matrimonial: técnicas de calificación y exégesis de las causas canónicas de nulidad (</w:t>
      </w:r>
      <w:proofErr w:type="spellStart"/>
      <w:r w:rsidRPr="00187058">
        <w:rPr>
          <w:i/>
          <w:iCs/>
          <w:color w:val="000000" w:themeColor="text1"/>
          <w:lang w:val="es-MX"/>
        </w:rPr>
        <w:t>cc.</w:t>
      </w:r>
      <w:proofErr w:type="spellEnd"/>
      <w:r w:rsidRPr="00187058">
        <w:rPr>
          <w:i/>
          <w:iCs/>
          <w:color w:val="000000" w:themeColor="text1"/>
          <w:lang w:val="es-MX"/>
        </w:rPr>
        <w:t xml:space="preserve"> 1095 a 1107 CIC)</w:t>
      </w:r>
      <w:r w:rsidRPr="00187058">
        <w:rPr>
          <w:color w:val="000000" w:themeColor="text1"/>
          <w:lang w:val="es-MX"/>
        </w:rPr>
        <w:t>. EUNSA.</w:t>
      </w:r>
    </w:p>
    <w:p w14:paraId="574164E5" w14:textId="77777777" w:rsidR="00D74B17" w:rsidRPr="00187058" w:rsidRDefault="00D74B17" w:rsidP="00D74B17">
      <w:pPr>
        <w:pStyle w:val="Bibliografa"/>
        <w:rPr>
          <w:color w:val="000000" w:themeColor="text1"/>
          <w:lang w:val="it-IT"/>
        </w:rPr>
      </w:pPr>
      <w:r w:rsidRPr="00187058">
        <w:rPr>
          <w:color w:val="000000" w:themeColor="text1"/>
          <w:lang w:val="es-MX"/>
        </w:rPr>
        <w:t xml:space="preserve">Viladrich, P. J. (2002). Comentario al c. 1103. En Á. Marzoa, J. Miras, &amp; R. Rodríguez-Ocaña (Eds.), </w:t>
      </w:r>
      <w:r w:rsidRPr="00187058">
        <w:rPr>
          <w:i/>
          <w:iCs/>
          <w:color w:val="000000" w:themeColor="text1"/>
          <w:lang w:val="es-MX"/>
        </w:rPr>
        <w:t>Comentario exegético al Código de Derecho Canónico</w:t>
      </w:r>
      <w:r w:rsidRPr="00187058">
        <w:rPr>
          <w:color w:val="000000" w:themeColor="text1"/>
          <w:lang w:val="es-MX"/>
        </w:rPr>
        <w:t xml:space="preserve"> (3.ª ed., Vol. </w:t>
      </w:r>
      <w:r w:rsidRPr="00187058">
        <w:rPr>
          <w:color w:val="000000" w:themeColor="text1"/>
          <w:lang w:val="it-IT"/>
        </w:rPr>
        <w:t>III/2). EUNSA.</w:t>
      </w:r>
    </w:p>
    <w:p w14:paraId="1CED1DA4" w14:textId="1E492D8A" w:rsidR="00CE0F4B" w:rsidRPr="00187058" w:rsidRDefault="00D74B17" w:rsidP="00187058">
      <w:pPr>
        <w:pStyle w:val="Bibliografa"/>
        <w:rPr>
          <w:color w:val="000000" w:themeColor="text1"/>
          <w:lang w:val="es-MX"/>
        </w:rPr>
      </w:pPr>
      <w:r w:rsidRPr="00187058">
        <w:rPr>
          <w:color w:val="000000" w:themeColor="text1"/>
          <w:lang w:val="it-IT"/>
        </w:rPr>
        <w:t xml:space="preserve">Zuanazzi, I. (2018). La gravidanza inattesa: valore presuntivo nella giurisprudenza rotale. </w:t>
      </w:r>
      <w:proofErr w:type="spellStart"/>
      <w:r w:rsidRPr="00187058">
        <w:rPr>
          <w:i/>
          <w:iCs/>
          <w:color w:val="000000" w:themeColor="text1"/>
          <w:lang w:val="es-MX"/>
        </w:rPr>
        <w:t>Stato</w:t>
      </w:r>
      <w:proofErr w:type="spellEnd"/>
      <w:r w:rsidRPr="00187058">
        <w:rPr>
          <w:i/>
          <w:iCs/>
          <w:color w:val="000000" w:themeColor="text1"/>
          <w:lang w:val="es-MX"/>
        </w:rPr>
        <w:t xml:space="preserve">, </w:t>
      </w:r>
      <w:proofErr w:type="spellStart"/>
      <w:r w:rsidRPr="00187058">
        <w:rPr>
          <w:i/>
          <w:iCs/>
          <w:color w:val="000000" w:themeColor="text1"/>
          <w:lang w:val="es-MX"/>
        </w:rPr>
        <w:t>Chiese</w:t>
      </w:r>
      <w:proofErr w:type="spellEnd"/>
      <w:r w:rsidRPr="00187058">
        <w:rPr>
          <w:i/>
          <w:iCs/>
          <w:color w:val="000000" w:themeColor="text1"/>
          <w:lang w:val="es-MX"/>
        </w:rPr>
        <w:t xml:space="preserve"> e pluralismo </w:t>
      </w:r>
      <w:proofErr w:type="spellStart"/>
      <w:r w:rsidRPr="00187058">
        <w:rPr>
          <w:i/>
          <w:iCs/>
          <w:color w:val="000000" w:themeColor="text1"/>
          <w:lang w:val="es-MX"/>
        </w:rPr>
        <w:t>confessionale</w:t>
      </w:r>
      <w:proofErr w:type="spellEnd"/>
      <w:r w:rsidRPr="00187058">
        <w:rPr>
          <w:i/>
          <w:iCs/>
          <w:color w:val="000000" w:themeColor="text1"/>
          <w:lang w:val="es-MX"/>
        </w:rPr>
        <w:t>, 12</w:t>
      </w:r>
      <w:r w:rsidRPr="00187058">
        <w:rPr>
          <w:color w:val="000000" w:themeColor="text1"/>
          <w:lang w:val="es-MX"/>
        </w:rPr>
        <w:t xml:space="preserve">, 1–39. </w:t>
      </w:r>
      <w:hyperlink r:id="rId9" w:history="1">
        <w:r w:rsidRPr="00187058">
          <w:rPr>
            <w:rStyle w:val="Hipervnculo"/>
            <w:color w:val="000000" w:themeColor="text1"/>
            <w:lang w:val="es-MX"/>
          </w:rPr>
          <w:t>https://doi.org/10.13130/1971-8543/9948</w:t>
        </w:r>
      </w:hyperlink>
    </w:p>
    <w:sectPr w:rsidR="00CE0F4B" w:rsidRPr="00187058"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5D475" w14:textId="77777777" w:rsidR="009E0BDD" w:rsidRDefault="009E0BDD" w:rsidP="00EB0247">
      <w:pPr>
        <w:spacing w:after="0" w:line="240" w:lineRule="auto"/>
      </w:pPr>
      <w:r>
        <w:separator/>
      </w:r>
    </w:p>
  </w:endnote>
  <w:endnote w:type="continuationSeparator" w:id="0">
    <w:p w14:paraId="4AD6AE38" w14:textId="77777777" w:rsidR="009E0BDD" w:rsidRDefault="009E0BDD"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64137" w14:textId="77777777" w:rsidR="009E0BDD" w:rsidRDefault="009E0BDD" w:rsidP="00EB0247">
      <w:pPr>
        <w:spacing w:after="0" w:line="240" w:lineRule="auto"/>
      </w:pPr>
      <w:r>
        <w:separator/>
      </w:r>
    </w:p>
  </w:footnote>
  <w:footnote w:type="continuationSeparator" w:id="0">
    <w:p w14:paraId="79E7EC17" w14:textId="77777777" w:rsidR="009E0BDD" w:rsidRDefault="009E0BDD"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87058"/>
    <w:rsid w:val="001950D8"/>
    <w:rsid w:val="00197D57"/>
    <w:rsid w:val="001A7AD8"/>
    <w:rsid w:val="002205D8"/>
    <w:rsid w:val="00242EFB"/>
    <w:rsid w:val="002433EC"/>
    <w:rsid w:val="00254F0F"/>
    <w:rsid w:val="00280126"/>
    <w:rsid w:val="00281564"/>
    <w:rsid w:val="00285B53"/>
    <w:rsid w:val="002A43CD"/>
    <w:rsid w:val="002C5703"/>
    <w:rsid w:val="002D23FB"/>
    <w:rsid w:val="002D268C"/>
    <w:rsid w:val="002F3733"/>
    <w:rsid w:val="003512A0"/>
    <w:rsid w:val="003667F5"/>
    <w:rsid w:val="00375999"/>
    <w:rsid w:val="00383AAF"/>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73FCB"/>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968F0"/>
    <w:rsid w:val="007A0F17"/>
    <w:rsid w:val="007E4E94"/>
    <w:rsid w:val="007F0944"/>
    <w:rsid w:val="008238DE"/>
    <w:rsid w:val="00863A4D"/>
    <w:rsid w:val="008A4085"/>
    <w:rsid w:val="008A483F"/>
    <w:rsid w:val="008B6A98"/>
    <w:rsid w:val="008C1056"/>
    <w:rsid w:val="008C2B2C"/>
    <w:rsid w:val="008F1330"/>
    <w:rsid w:val="008F3F8E"/>
    <w:rsid w:val="0091204C"/>
    <w:rsid w:val="0091337D"/>
    <w:rsid w:val="009171C1"/>
    <w:rsid w:val="00920563"/>
    <w:rsid w:val="0093429F"/>
    <w:rsid w:val="009477E3"/>
    <w:rsid w:val="00962592"/>
    <w:rsid w:val="009847F6"/>
    <w:rsid w:val="009A336B"/>
    <w:rsid w:val="009C0DFA"/>
    <w:rsid w:val="009C304F"/>
    <w:rsid w:val="009C657C"/>
    <w:rsid w:val="009D0814"/>
    <w:rsid w:val="009D4514"/>
    <w:rsid w:val="009E0BDD"/>
    <w:rsid w:val="009E664A"/>
    <w:rsid w:val="009F5F74"/>
    <w:rsid w:val="00A206F1"/>
    <w:rsid w:val="00A8553F"/>
    <w:rsid w:val="00B0101D"/>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74B17"/>
    <w:rsid w:val="00D86CAA"/>
    <w:rsid w:val="00DA0BED"/>
    <w:rsid w:val="00DC3839"/>
    <w:rsid w:val="00DC5E7D"/>
    <w:rsid w:val="00DE0B74"/>
    <w:rsid w:val="00DF1B76"/>
    <w:rsid w:val="00E04357"/>
    <w:rsid w:val="00E05E1A"/>
    <w:rsid w:val="00E06000"/>
    <w:rsid w:val="00E649D6"/>
    <w:rsid w:val="00EB0247"/>
    <w:rsid w:val="00EC01A5"/>
    <w:rsid w:val="00F10780"/>
    <w:rsid w:val="00F60611"/>
    <w:rsid w:val="00F6387D"/>
    <w:rsid w:val="00F63B01"/>
    <w:rsid w:val="00F66726"/>
    <w:rsid w:val="00FA51E8"/>
    <w:rsid w:val="00FA7CDE"/>
    <w:rsid w:val="00FD77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4"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18"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Encabezado">
    <w:name w:val="header"/>
    <w:basedOn w:val="Normal"/>
    <w:link w:val="EncabezadoCar"/>
    <w:uiPriority w:val="99"/>
    <w:semiHidden/>
    <w:locked/>
    <w:rsid w:val="003667F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semiHidden/>
    <w:rsid w:val="003667F5"/>
    <w:rPr>
      <w:rFonts w:ascii="Times New Roman" w:hAnsi="Times New Roman"/>
      <w:spacing w:val="1"/>
      <w:sz w:val="23"/>
      <w14:numForm w14:val="oldStyle"/>
    </w:rPr>
  </w:style>
  <w:style w:type="paragraph" w:styleId="Piedepgina">
    <w:name w:val="footer"/>
    <w:basedOn w:val="Normal"/>
    <w:link w:val="PiedepginaCar"/>
    <w:uiPriority w:val="99"/>
    <w:semiHidden/>
    <w:locked/>
    <w:rsid w:val="003667F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semiHidden/>
    <w:rsid w:val="003667F5"/>
    <w:rPr>
      <w:rFonts w:ascii="Times New Roman" w:hAnsi="Times New Roman"/>
      <w:spacing w:val="1"/>
      <w:sz w:val="23"/>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i.org/10.13130/1971-8543/99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E399D-67CF-40A6-9FBB-6B559349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3</TotalTime>
  <Pages>14</Pages>
  <Words>4527</Words>
  <Characters>24903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Elizabeth Mero de Noritz</cp:lastModifiedBy>
  <cp:revision>3</cp:revision>
  <dcterms:created xsi:type="dcterms:W3CDTF">2026-09-03T03:37:00Z</dcterms:created>
  <dcterms:modified xsi:type="dcterms:W3CDTF">2026-09-03T03:43:00Z</dcterms:modified>
  <cp:category>Categoria</cp:category>
  <cp:contentStatus>Estado</cp:contentStatus>
</cp:coreProperties>
</file>