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FCCD2" w14:textId="77777777" w:rsidR="002A0341" w:rsidRPr="00BE5F2C" w:rsidRDefault="002A0341" w:rsidP="002A0341">
      <w:pPr>
        <w:pStyle w:val="Captulo"/>
        <w:rPr>
          <w:lang w:val="pt-PT" w:eastAsia="es-ES"/>
        </w:rPr>
      </w:pPr>
      <w:r w:rsidRPr="005173B5">
        <w:rPr>
          <w:lang w:val="pt-PT" w:eastAsia="es-ES"/>
        </w:rPr>
        <w:t>Capítulo (ALT+Z)</w:t>
      </w:r>
    </w:p>
    <w:p w14:paraId="33215554" w14:textId="5C5EE34E" w:rsidR="002A0341" w:rsidRPr="00DD2D20" w:rsidRDefault="002A0341" w:rsidP="002A0341">
      <w:pPr>
        <w:pStyle w:val="TtCap"/>
        <w:rPr>
          <w:color w:val="000000" w:themeColor="text1"/>
        </w:rPr>
      </w:pPr>
      <w:r w:rsidRPr="00DD2D20">
        <w:rPr>
          <w:color w:val="000000" w:themeColor="text1"/>
        </w:rPr>
        <w:t xml:space="preserve"> </w:t>
      </w:r>
      <w:r w:rsidR="00293FBD">
        <w:rPr>
          <w:color w:val="000000" w:themeColor="text1"/>
        </w:rPr>
        <w:t>LOS PRINCIPIOS DE LEGALIDAD Y SEGURIDAD JURÍDICA EN LA DIGITALIZACIÓN</w:t>
      </w:r>
      <w:r w:rsidR="00D63606">
        <w:rPr>
          <w:color w:val="000000" w:themeColor="text1"/>
        </w:rPr>
        <w:t xml:space="preserve"> </w:t>
      </w:r>
      <w:r w:rsidR="00293FBD">
        <w:rPr>
          <w:color w:val="000000" w:themeColor="text1"/>
        </w:rPr>
        <w:t>DE SERVICIOS NOTARIALES</w:t>
      </w:r>
    </w:p>
    <w:p w14:paraId="20D34478" w14:textId="77777777" w:rsidR="002A0341" w:rsidRPr="005A2E40" w:rsidRDefault="002A0341" w:rsidP="002A0341">
      <w:pPr>
        <w:pStyle w:val="TtCap"/>
        <w:rPr>
          <w:lang w:eastAsia="es-ES"/>
        </w:rPr>
      </w:pPr>
    </w:p>
    <w:p w14:paraId="63F677F9" w14:textId="30ACE464" w:rsidR="002A0341" w:rsidRDefault="00D63606" w:rsidP="002A0341">
      <w:pPr>
        <w:pStyle w:val="Autor"/>
        <w:rPr>
          <w:lang w:eastAsia="es-ES"/>
        </w:rPr>
      </w:pPr>
      <w:r>
        <w:rPr>
          <w:color w:val="000000" w:themeColor="text1"/>
          <w:lang w:val="es-EC"/>
        </w:rPr>
        <w:t>ROSSANA</w:t>
      </w:r>
      <w:r w:rsidR="00132218">
        <w:rPr>
          <w:color w:val="000000" w:themeColor="text1"/>
          <w:lang w:val="es-EC"/>
        </w:rPr>
        <w:t xml:space="preserve"> ESTEFANÍA</w:t>
      </w:r>
      <w:r>
        <w:rPr>
          <w:color w:val="000000" w:themeColor="text1"/>
          <w:lang w:val="es-EC"/>
        </w:rPr>
        <w:t xml:space="preserve"> CHANG ARMIJOS</w:t>
      </w:r>
    </w:p>
    <w:p w14:paraId="01657722" w14:textId="77777777" w:rsidR="002A0341" w:rsidRDefault="002A0341" w:rsidP="002A0341">
      <w:pPr>
        <w:pStyle w:val="Adscripcin"/>
        <w:rPr>
          <w:color w:val="000000" w:themeColor="text1"/>
        </w:rPr>
      </w:pPr>
      <w:r w:rsidRPr="00132FE6">
        <w:rPr>
          <w:color w:val="000000" w:themeColor="text1"/>
        </w:rPr>
        <w:t>Universidad Católica Santiago de Guayaquil</w:t>
      </w:r>
    </w:p>
    <w:p w14:paraId="7F0E75BC" w14:textId="19E3313F" w:rsidR="002A43CD" w:rsidRPr="000765E7" w:rsidRDefault="002A0341" w:rsidP="000765E7">
      <w:pPr>
        <w:pStyle w:val="Adscripcin"/>
        <w:rPr>
          <w:lang w:eastAsia="es-ES"/>
        </w:rPr>
      </w:pPr>
      <w:r>
        <w:rPr>
          <w:lang w:eastAsia="es-ES"/>
        </w:rPr>
        <w:t xml:space="preserve"> </w:t>
      </w:r>
    </w:p>
    <w:p w14:paraId="6DF07325" w14:textId="36E8408B" w:rsidR="00561484" w:rsidRDefault="00E40E66" w:rsidP="00561484">
      <w:pPr>
        <w:pStyle w:val="Ttulo1"/>
        <w:numPr>
          <w:ilvl w:val="0"/>
          <w:numId w:val="45"/>
        </w:numPr>
        <w:tabs>
          <w:tab w:val="num" w:pos="360"/>
        </w:tabs>
        <w:ind w:left="0" w:firstLine="0"/>
        <w:jc w:val="both"/>
        <w:rPr>
          <w:rFonts w:cs="Times New Roman"/>
          <w:color w:val="000000" w:themeColor="text1"/>
          <w:szCs w:val="24"/>
        </w:rPr>
      </w:pPr>
      <w:r>
        <w:rPr>
          <w:rFonts w:cs="Times New Roman"/>
          <w:color w:val="000000" w:themeColor="text1"/>
          <w:szCs w:val="24"/>
        </w:rPr>
        <w:t>EL PRINCIPIO DE LEGALIDAD EN EL ÁMBITO NO</w:t>
      </w:r>
      <w:r w:rsidR="00DB4576">
        <w:rPr>
          <w:rFonts w:cs="Times New Roman"/>
          <w:color w:val="000000" w:themeColor="text1"/>
          <w:szCs w:val="24"/>
        </w:rPr>
        <w:t>TARIAL</w:t>
      </w:r>
      <w:r w:rsidR="00561484" w:rsidRPr="00F724BA">
        <w:rPr>
          <w:rFonts w:cs="Times New Roman"/>
          <w:color w:val="000000" w:themeColor="text1"/>
          <w:szCs w:val="24"/>
        </w:rPr>
        <w:t xml:space="preserve"> </w:t>
      </w:r>
    </w:p>
    <w:p w14:paraId="62C00368" w14:textId="38F3C16B" w:rsidR="008C1043" w:rsidRDefault="00A91963" w:rsidP="008C1043">
      <w:pPr>
        <w:rPr>
          <w:rFonts w:cs="Times New Roman"/>
          <w:szCs w:val="23"/>
        </w:rPr>
      </w:pPr>
      <w:r>
        <w:rPr>
          <w:rFonts w:cs="Times New Roman"/>
          <w:szCs w:val="23"/>
        </w:rPr>
        <w:t xml:space="preserve">El principio de legalidad </w:t>
      </w:r>
      <w:r w:rsidR="00C640B6">
        <w:rPr>
          <w:rFonts w:cs="Times New Roman"/>
          <w:szCs w:val="23"/>
        </w:rPr>
        <w:t xml:space="preserve">representa uno de los pilares más importantes en los cuales se sostiene el ordenamiento jurídico </w:t>
      </w:r>
      <w:r w:rsidR="007E7737">
        <w:rPr>
          <w:rFonts w:cs="Times New Roman"/>
          <w:szCs w:val="23"/>
        </w:rPr>
        <w:t>interno</w:t>
      </w:r>
      <w:r w:rsidR="00CF63D1">
        <w:rPr>
          <w:rFonts w:cs="Times New Roman"/>
          <w:szCs w:val="23"/>
        </w:rPr>
        <w:t xml:space="preserve">, lo cual se debe </w:t>
      </w:r>
      <w:r w:rsidR="00411AA6">
        <w:rPr>
          <w:rFonts w:cs="Times New Roman"/>
          <w:szCs w:val="23"/>
        </w:rPr>
        <w:t xml:space="preserve">al establecimiento de </w:t>
      </w:r>
      <w:r w:rsidR="00CF63D1">
        <w:rPr>
          <w:rFonts w:cs="Times New Roman"/>
          <w:szCs w:val="23"/>
        </w:rPr>
        <w:t xml:space="preserve">las normas </w:t>
      </w:r>
      <w:r w:rsidR="00EE3FEB">
        <w:rPr>
          <w:rFonts w:cs="Times New Roman"/>
          <w:szCs w:val="23"/>
        </w:rPr>
        <w:t>por las cuales se van a regir las distintas relaciones jurídicas</w:t>
      </w:r>
      <w:r w:rsidR="003C5475">
        <w:rPr>
          <w:rFonts w:cs="Times New Roman"/>
          <w:szCs w:val="23"/>
        </w:rPr>
        <w:t xml:space="preserve">, así como las </w:t>
      </w:r>
      <w:r w:rsidR="00EE3FEB">
        <w:rPr>
          <w:rFonts w:cs="Times New Roman"/>
          <w:szCs w:val="23"/>
        </w:rPr>
        <w:t xml:space="preserve">actividades </w:t>
      </w:r>
      <w:r w:rsidR="00D62906">
        <w:rPr>
          <w:rFonts w:cs="Times New Roman"/>
          <w:szCs w:val="23"/>
        </w:rPr>
        <w:t xml:space="preserve">a nivel de la sociedad y </w:t>
      </w:r>
      <w:r w:rsidR="003229AA">
        <w:rPr>
          <w:rFonts w:cs="Times New Roman"/>
          <w:szCs w:val="23"/>
        </w:rPr>
        <w:t>su correspondiente regulación institucional</w:t>
      </w:r>
      <w:r w:rsidR="008001AC" w:rsidRPr="00524238">
        <w:rPr>
          <w:rFonts w:cs="Times New Roman"/>
          <w:szCs w:val="23"/>
        </w:rPr>
        <w:t>.</w:t>
      </w:r>
      <w:r w:rsidR="00D62906">
        <w:rPr>
          <w:rFonts w:cs="Times New Roman"/>
          <w:szCs w:val="23"/>
        </w:rPr>
        <w:t xml:space="preserve"> En el ámbito notarial, es evidente que las actuaciones realizadas por los notarios públicos están normadas por un</w:t>
      </w:r>
      <w:r w:rsidR="00302583">
        <w:rPr>
          <w:rFonts w:cs="Times New Roman"/>
          <w:szCs w:val="23"/>
        </w:rPr>
        <w:t>a serie de disposiciones jurídicas que</w:t>
      </w:r>
      <w:r w:rsidR="002830E9">
        <w:rPr>
          <w:rFonts w:cs="Times New Roman"/>
          <w:szCs w:val="23"/>
        </w:rPr>
        <w:t>,</w:t>
      </w:r>
      <w:r w:rsidR="00302583">
        <w:rPr>
          <w:rFonts w:cs="Times New Roman"/>
          <w:szCs w:val="23"/>
        </w:rPr>
        <w:t xml:space="preserve"> al estar definidas en la ley, imponen pautas de conducta y procedimientos que no pueden </w:t>
      </w:r>
      <w:r w:rsidR="003A4E04">
        <w:rPr>
          <w:rFonts w:cs="Times New Roman"/>
          <w:szCs w:val="23"/>
        </w:rPr>
        <w:t xml:space="preserve">verse soslayados, de lo contrario, se atentaría contra el orden </w:t>
      </w:r>
      <w:r w:rsidR="00F02450">
        <w:rPr>
          <w:rFonts w:cs="Times New Roman"/>
          <w:szCs w:val="23"/>
        </w:rPr>
        <w:t>y la tutela de derechos</w:t>
      </w:r>
      <w:r w:rsidR="002830E9">
        <w:rPr>
          <w:rFonts w:cs="Times New Roman"/>
          <w:szCs w:val="23"/>
        </w:rPr>
        <w:t xml:space="preserve">. Este principio está intrínsecamente </w:t>
      </w:r>
      <w:r w:rsidR="00641B39">
        <w:rPr>
          <w:rFonts w:cs="Times New Roman"/>
          <w:szCs w:val="23"/>
        </w:rPr>
        <w:t xml:space="preserve">relacionado </w:t>
      </w:r>
      <w:r w:rsidR="002830E9">
        <w:rPr>
          <w:rFonts w:cs="Times New Roman"/>
          <w:szCs w:val="23"/>
        </w:rPr>
        <w:t>con la seguridad jurídica como un mandato de certidumbre</w:t>
      </w:r>
      <w:r w:rsidR="00056E22">
        <w:rPr>
          <w:rFonts w:cs="Times New Roman"/>
          <w:szCs w:val="23"/>
        </w:rPr>
        <w:t>,</w:t>
      </w:r>
      <w:r w:rsidR="002830E9">
        <w:rPr>
          <w:rFonts w:cs="Times New Roman"/>
          <w:szCs w:val="23"/>
        </w:rPr>
        <w:t xml:space="preserve"> el cual es indispensable </w:t>
      </w:r>
      <w:r w:rsidR="00641B39">
        <w:rPr>
          <w:rFonts w:cs="Times New Roman"/>
          <w:szCs w:val="23"/>
        </w:rPr>
        <w:t>para la adecuada aplicación del Derecho, más que todo en la esfera notarial</w:t>
      </w:r>
      <w:r w:rsidR="00056E22">
        <w:rPr>
          <w:rFonts w:cs="Times New Roman"/>
          <w:szCs w:val="23"/>
        </w:rPr>
        <w:t>,</w:t>
      </w:r>
      <w:r w:rsidR="00641B39">
        <w:rPr>
          <w:rFonts w:cs="Times New Roman"/>
          <w:szCs w:val="23"/>
        </w:rPr>
        <w:t xml:space="preserve"> que es constantemente dinámic</w:t>
      </w:r>
      <w:r w:rsidR="00056E22">
        <w:rPr>
          <w:rFonts w:cs="Times New Roman"/>
          <w:szCs w:val="23"/>
        </w:rPr>
        <w:t>a.</w:t>
      </w:r>
    </w:p>
    <w:p w14:paraId="23DCC929" w14:textId="780E3786" w:rsidR="00056E22" w:rsidRDefault="00932AE2" w:rsidP="008C1043">
      <w:pPr>
        <w:rPr>
          <w:rFonts w:cs="Times New Roman"/>
          <w:szCs w:val="23"/>
        </w:rPr>
      </w:pPr>
      <w:r>
        <w:rPr>
          <w:rFonts w:cs="Times New Roman"/>
          <w:szCs w:val="23"/>
        </w:rPr>
        <w:t xml:space="preserve">La importancia de este estudio está fundamentada a partir del </w:t>
      </w:r>
      <w:r w:rsidR="00A40229">
        <w:rPr>
          <w:rFonts w:cs="Times New Roman"/>
          <w:szCs w:val="23"/>
        </w:rPr>
        <w:t>hecho</w:t>
      </w:r>
      <w:r>
        <w:rPr>
          <w:rFonts w:cs="Times New Roman"/>
          <w:szCs w:val="23"/>
        </w:rPr>
        <w:t xml:space="preserve"> de resaltar el deber que </w:t>
      </w:r>
      <w:r w:rsidR="00A85584">
        <w:rPr>
          <w:rFonts w:cs="Times New Roman"/>
          <w:szCs w:val="23"/>
        </w:rPr>
        <w:t>tienen los notarios</w:t>
      </w:r>
      <w:r w:rsidR="00A40229">
        <w:rPr>
          <w:rFonts w:cs="Times New Roman"/>
          <w:szCs w:val="23"/>
        </w:rPr>
        <w:t xml:space="preserve">, que de acuerdo con </w:t>
      </w:r>
      <w:proofErr w:type="spellStart"/>
      <w:r w:rsidR="009F1F16">
        <w:rPr>
          <w:rFonts w:cs="Times New Roman"/>
          <w:szCs w:val="23"/>
        </w:rPr>
        <w:t>Santies</w:t>
      </w:r>
      <w:r w:rsidR="00EF38FC">
        <w:rPr>
          <w:rFonts w:cs="Times New Roman"/>
          <w:szCs w:val="23"/>
        </w:rPr>
        <w:t>tevan</w:t>
      </w:r>
      <w:proofErr w:type="spellEnd"/>
      <w:r w:rsidR="00EF38FC">
        <w:rPr>
          <w:rFonts w:cs="Times New Roman"/>
          <w:szCs w:val="23"/>
        </w:rPr>
        <w:t xml:space="preserve"> </w:t>
      </w:r>
      <w:sdt>
        <w:sdtPr>
          <w:rPr>
            <w:rFonts w:cs="Times New Roman"/>
            <w:szCs w:val="23"/>
          </w:rPr>
          <w:id w:val="850608072"/>
          <w:citation/>
        </w:sdtPr>
        <w:sdtContent>
          <w:r w:rsidR="00EF38FC">
            <w:rPr>
              <w:rFonts w:cs="Times New Roman"/>
              <w:szCs w:val="23"/>
            </w:rPr>
            <w:fldChar w:fldCharType="begin"/>
          </w:r>
          <w:r w:rsidR="00EF38FC">
            <w:rPr>
              <w:rFonts w:cs="Times New Roman"/>
              <w:szCs w:val="23"/>
              <w:lang w:val="es-MX"/>
            </w:rPr>
            <w:instrText xml:space="preserve">CITATION San261 \n  \t  \l 2058 </w:instrText>
          </w:r>
          <w:r w:rsidR="00EF38FC">
            <w:rPr>
              <w:rFonts w:cs="Times New Roman"/>
              <w:szCs w:val="23"/>
            </w:rPr>
            <w:fldChar w:fldCharType="separate"/>
          </w:r>
          <w:r w:rsidR="001A7B3C" w:rsidRPr="001A7B3C">
            <w:rPr>
              <w:rFonts w:cs="Times New Roman"/>
              <w:noProof/>
              <w:szCs w:val="23"/>
              <w:lang w:val="es-MX"/>
            </w:rPr>
            <w:t>(2026)</w:t>
          </w:r>
          <w:r w:rsidR="00EF38FC">
            <w:rPr>
              <w:rFonts w:cs="Times New Roman"/>
              <w:szCs w:val="23"/>
            </w:rPr>
            <w:fldChar w:fldCharType="end"/>
          </w:r>
        </w:sdtContent>
      </w:sdt>
      <w:r w:rsidR="00A40229">
        <w:rPr>
          <w:rFonts w:cs="Times New Roman"/>
          <w:szCs w:val="23"/>
        </w:rPr>
        <w:t>, intervienen</w:t>
      </w:r>
      <w:r w:rsidR="00A85584">
        <w:rPr>
          <w:rFonts w:cs="Times New Roman"/>
          <w:szCs w:val="23"/>
        </w:rPr>
        <w:t xml:space="preserve"> no </w:t>
      </w:r>
      <w:r w:rsidR="008B11A2">
        <w:rPr>
          <w:rFonts w:cs="Times New Roman"/>
          <w:szCs w:val="23"/>
        </w:rPr>
        <w:t xml:space="preserve">solo como fedatarios, sino como </w:t>
      </w:r>
      <w:r w:rsidR="0045048A">
        <w:rPr>
          <w:rFonts w:cs="Times New Roman"/>
          <w:szCs w:val="23"/>
        </w:rPr>
        <w:t>operadores jurídicos que cuentan con la experiencia y la preparación que les permita garantizar la validez y la eficacia de los actos que autorizan</w:t>
      </w:r>
      <w:r w:rsidR="002A5668">
        <w:rPr>
          <w:rFonts w:cs="Times New Roman"/>
          <w:szCs w:val="23"/>
        </w:rPr>
        <w:t xml:space="preserve">. </w:t>
      </w:r>
      <w:r w:rsidR="009F1F16">
        <w:rPr>
          <w:rFonts w:cs="Times New Roman"/>
          <w:szCs w:val="23"/>
        </w:rPr>
        <w:t>Esta</w:t>
      </w:r>
      <w:r w:rsidR="002A5668">
        <w:rPr>
          <w:rFonts w:cs="Times New Roman"/>
          <w:szCs w:val="23"/>
        </w:rPr>
        <w:t xml:space="preserve"> mism</w:t>
      </w:r>
      <w:r w:rsidR="009F1F16">
        <w:rPr>
          <w:rFonts w:cs="Times New Roman"/>
          <w:szCs w:val="23"/>
        </w:rPr>
        <w:t>a</w:t>
      </w:r>
      <w:r w:rsidR="002A5668">
        <w:rPr>
          <w:rFonts w:cs="Times New Roman"/>
          <w:szCs w:val="23"/>
        </w:rPr>
        <w:t xml:space="preserve"> autor</w:t>
      </w:r>
      <w:r w:rsidR="009F1F16">
        <w:rPr>
          <w:rFonts w:cs="Times New Roman"/>
          <w:szCs w:val="23"/>
        </w:rPr>
        <w:t>a</w:t>
      </w:r>
      <w:r w:rsidR="002A5668">
        <w:rPr>
          <w:rFonts w:cs="Times New Roman"/>
          <w:szCs w:val="23"/>
        </w:rPr>
        <w:t xml:space="preserve"> también resaltó </w:t>
      </w:r>
      <w:r w:rsidR="0045048A">
        <w:rPr>
          <w:rFonts w:cs="Times New Roman"/>
          <w:szCs w:val="23"/>
        </w:rPr>
        <w:t>el impacto que puede tener la digitalización de los servicios respecto del control de la legalidad</w:t>
      </w:r>
      <w:r w:rsidR="009F1F16">
        <w:rPr>
          <w:rFonts w:cs="Times New Roman"/>
          <w:szCs w:val="23"/>
        </w:rPr>
        <w:t>,</w:t>
      </w:r>
      <w:r w:rsidR="0045048A">
        <w:rPr>
          <w:rFonts w:cs="Times New Roman"/>
          <w:szCs w:val="23"/>
        </w:rPr>
        <w:t xml:space="preserve"> más que todo </w:t>
      </w:r>
      <w:r w:rsidR="0045048A">
        <w:rPr>
          <w:rFonts w:cs="Times New Roman"/>
          <w:szCs w:val="23"/>
        </w:rPr>
        <w:lastRenderedPageBreak/>
        <w:t xml:space="preserve">en cuanto a la autenticidad y la seguridad de la información. Por consiguiente, se </w:t>
      </w:r>
      <w:r w:rsidR="00191647">
        <w:rPr>
          <w:rFonts w:cs="Times New Roman"/>
          <w:szCs w:val="23"/>
        </w:rPr>
        <w:t xml:space="preserve">estima conveniente afirmar que estos servidores están en la obligación de readecuar </w:t>
      </w:r>
      <w:r w:rsidR="00385DB8">
        <w:rPr>
          <w:rFonts w:cs="Times New Roman"/>
          <w:szCs w:val="23"/>
        </w:rPr>
        <w:t>su rol de prestación de servicios en la sociedad a través de un mayor conocimiento y aplicación de la tecnología</w:t>
      </w:r>
      <w:r w:rsidR="009F1F16">
        <w:rPr>
          <w:rFonts w:cs="Times New Roman"/>
          <w:szCs w:val="23"/>
        </w:rPr>
        <w:t xml:space="preserve">. </w:t>
      </w:r>
    </w:p>
    <w:p w14:paraId="072BDE17" w14:textId="35AA606A" w:rsidR="00056E22" w:rsidRPr="00135842" w:rsidRDefault="009D0243" w:rsidP="008C1043">
      <w:pPr>
        <w:rPr>
          <w:rFonts w:cs="Times New Roman"/>
          <w:szCs w:val="23"/>
        </w:rPr>
      </w:pPr>
      <w:r>
        <w:rPr>
          <w:rFonts w:cs="Times New Roman"/>
          <w:szCs w:val="23"/>
        </w:rPr>
        <w:t xml:space="preserve">De acuerdo con el </w:t>
      </w:r>
      <w:r w:rsidR="00A33BAB">
        <w:rPr>
          <w:rFonts w:cs="Times New Roman"/>
          <w:szCs w:val="23"/>
        </w:rPr>
        <w:t xml:space="preserve">argumento antes expuesto, es innegable </w:t>
      </w:r>
      <w:r w:rsidR="00D13CFB">
        <w:rPr>
          <w:rFonts w:cs="Times New Roman"/>
          <w:szCs w:val="23"/>
        </w:rPr>
        <w:t xml:space="preserve">el repunte que ha tenido la tecnología como medio o instrumento para el desarrollo </w:t>
      </w:r>
      <w:r w:rsidR="00FB16C3">
        <w:rPr>
          <w:rFonts w:cs="Times New Roman"/>
          <w:szCs w:val="23"/>
        </w:rPr>
        <w:t>de las relaciones jurídicas en esta nueva</w:t>
      </w:r>
      <w:r w:rsidR="000F0C27">
        <w:rPr>
          <w:rFonts w:cs="Times New Roman"/>
          <w:szCs w:val="23"/>
        </w:rPr>
        <w:t xml:space="preserve"> era</w:t>
      </w:r>
      <w:r w:rsidR="00FB16C3">
        <w:rPr>
          <w:rFonts w:cs="Times New Roman"/>
          <w:szCs w:val="23"/>
        </w:rPr>
        <w:t xml:space="preserve"> </w:t>
      </w:r>
      <w:r w:rsidR="00E3636D">
        <w:rPr>
          <w:rFonts w:cs="Times New Roman"/>
          <w:szCs w:val="23"/>
        </w:rPr>
        <w:t>en la que</w:t>
      </w:r>
      <w:r w:rsidR="00FB16C3">
        <w:rPr>
          <w:rFonts w:cs="Times New Roman"/>
          <w:szCs w:val="23"/>
        </w:rPr>
        <w:t xml:space="preserve"> la información se registra con mayor frecuencia </w:t>
      </w:r>
      <w:r w:rsidR="00402355">
        <w:rPr>
          <w:rFonts w:cs="Times New Roman"/>
          <w:szCs w:val="23"/>
        </w:rPr>
        <w:t xml:space="preserve">en soportes digitales, donde la presencialidad y los soportes físicos en papel van perdiendo espacio. </w:t>
      </w:r>
      <w:r w:rsidR="003C06DD">
        <w:rPr>
          <w:rFonts w:cs="Times New Roman"/>
          <w:szCs w:val="23"/>
        </w:rPr>
        <w:t xml:space="preserve">Por tal razón, los notarios en Ecuador </w:t>
      </w:r>
      <w:r w:rsidR="00E3636D">
        <w:rPr>
          <w:rFonts w:cs="Times New Roman"/>
          <w:szCs w:val="23"/>
        </w:rPr>
        <w:t xml:space="preserve">tienen que de </w:t>
      </w:r>
      <w:r w:rsidR="0001118C">
        <w:rPr>
          <w:rFonts w:cs="Times New Roman"/>
          <w:szCs w:val="23"/>
        </w:rPr>
        <w:t xml:space="preserve">indispensable e imperativamente </w:t>
      </w:r>
      <w:r w:rsidR="00E3636D">
        <w:rPr>
          <w:rFonts w:cs="Times New Roman"/>
          <w:szCs w:val="23"/>
        </w:rPr>
        <w:t xml:space="preserve">actualizar sus conocimientos y protocolos de atención a los usuarios </w:t>
      </w:r>
      <w:r w:rsidR="000116C6">
        <w:rPr>
          <w:rFonts w:cs="Times New Roman"/>
          <w:szCs w:val="23"/>
        </w:rPr>
        <w:t>empleando</w:t>
      </w:r>
      <w:r w:rsidR="00E3636D">
        <w:rPr>
          <w:rFonts w:cs="Times New Roman"/>
          <w:szCs w:val="23"/>
        </w:rPr>
        <w:t xml:space="preserve"> los recursos </w:t>
      </w:r>
      <w:r w:rsidR="008051F7">
        <w:rPr>
          <w:rFonts w:cs="Times New Roman"/>
          <w:szCs w:val="23"/>
        </w:rPr>
        <w:t xml:space="preserve">tecnológicos que les son puestos a disposición para </w:t>
      </w:r>
      <w:r w:rsidR="000116C6">
        <w:rPr>
          <w:rFonts w:cs="Times New Roman"/>
          <w:szCs w:val="23"/>
        </w:rPr>
        <w:t xml:space="preserve">optimizar sus servicios. Sin embargo, el empleo de estas herramientas no puede ser discrecional, sino que debe </w:t>
      </w:r>
      <w:r w:rsidR="00BE05DB">
        <w:rPr>
          <w:rFonts w:cs="Times New Roman"/>
          <w:szCs w:val="23"/>
        </w:rPr>
        <w:t xml:space="preserve">acatar </w:t>
      </w:r>
      <w:r w:rsidR="000116C6">
        <w:rPr>
          <w:rFonts w:cs="Times New Roman"/>
          <w:szCs w:val="23"/>
        </w:rPr>
        <w:t xml:space="preserve">ciertas pautas </w:t>
      </w:r>
      <w:r w:rsidR="001B661E">
        <w:rPr>
          <w:rFonts w:cs="Times New Roman"/>
          <w:szCs w:val="23"/>
        </w:rPr>
        <w:t>fijadas en la ley para evitar entre otras cosas manejos inad</w:t>
      </w:r>
      <w:r w:rsidR="00135842">
        <w:rPr>
          <w:rFonts w:cs="Times New Roman"/>
          <w:szCs w:val="23"/>
        </w:rPr>
        <w:t xml:space="preserve">ecuados, negligentes o incluso arbitrarios, lo que se insiste en su relación con la seguridad jurídica y que es explicado a través de este artículo. </w:t>
      </w:r>
    </w:p>
    <w:p w14:paraId="1F564677" w14:textId="727EF39F" w:rsidR="00C0154F" w:rsidRDefault="00652706" w:rsidP="00C0154F">
      <w:pPr>
        <w:pStyle w:val="Ttulo2"/>
        <w:numPr>
          <w:ilvl w:val="1"/>
          <w:numId w:val="46"/>
        </w:numPr>
        <w:rPr>
          <w:lang w:val="pt-PT" w:eastAsia="es-ES"/>
        </w:rPr>
      </w:pPr>
      <w:r>
        <w:rPr>
          <w:lang w:val="pt-PT" w:eastAsia="es-ES"/>
        </w:rPr>
        <w:t xml:space="preserve">EL PRINCIPIO DE LEGALIDAD </w:t>
      </w:r>
      <w:r w:rsidR="00A71DE5">
        <w:rPr>
          <w:lang w:val="pt-PT" w:eastAsia="es-ES"/>
        </w:rPr>
        <w:t>DENTRO DE LAS RELACION</w:t>
      </w:r>
      <w:r w:rsidR="0097576F">
        <w:rPr>
          <w:lang w:val="pt-PT" w:eastAsia="es-ES"/>
        </w:rPr>
        <w:t>ES JURÍDICAS</w:t>
      </w:r>
    </w:p>
    <w:p w14:paraId="56D39746" w14:textId="3AD2F0AB" w:rsidR="007727EA" w:rsidRDefault="001C3D33" w:rsidP="007727EA">
      <w:pPr>
        <w:rPr>
          <w:lang w:val="pt-PT" w:eastAsia="es-ES"/>
        </w:rPr>
      </w:pPr>
      <w:r>
        <w:rPr>
          <w:lang w:val="pt-PT" w:eastAsia="es-ES"/>
        </w:rPr>
        <w:t xml:space="preserve">La revisión y estudio de la doctrina permite </w:t>
      </w:r>
      <w:r w:rsidR="00C537BD">
        <w:rPr>
          <w:lang w:val="pt-PT" w:eastAsia="es-ES"/>
        </w:rPr>
        <w:t>identifica</w:t>
      </w:r>
      <w:r>
        <w:rPr>
          <w:lang w:val="pt-PT" w:eastAsia="es-ES"/>
        </w:rPr>
        <w:t xml:space="preserve">r diferentes criterios y apreciaciones </w:t>
      </w:r>
      <w:r w:rsidR="00FD50B1">
        <w:rPr>
          <w:lang w:val="pt-PT" w:eastAsia="es-ES"/>
        </w:rPr>
        <w:t>respecto</w:t>
      </w:r>
      <w:r>
        <w:rPr>
          <w:lang w:val="pt-PT" w:eastAsia="es-ES"/>
        </w:rPr>
        <w:t xml:space="preserve"> del principio de legalidad, </w:t>
      </w:r>
      <w:r w:rsidR="00FD50B1">
        <w:rPr>
          <w:lang w:val="pt-PT" w:eastAsia="es-ES"/>
        </w:rPr>
        <w:t xml:space="preserve">en efecto, de acuerdo con lo precisado por </w:t>
      </w:r>
      <w:r w:rsidR="000027D1">
        <w:rPr>
          <w:lang w:val="pt-PT" w:eastAsia="es-ES"/>
        </w:rPr>
        <w:t xml:space="preserve">Islas </w:t>
      </w:r>
      <w:sdt>
        <w:sdtPr>
          <w:rPr>
            <w:lang w:val="pt-PT" w:eastAsia="es-ES"/>
          </w:rPr>
          <w:id w:val="1419143069"/>
          <w:citation/>
        </w:sdtPr>
        <w:sdtContent>
          <w:r w:rsidR="000027D1">
            <w:rPr>
              <w:lang w:val="pt-PT" w:eastAsia="es-ES"/>
            </w:rPr>
            <w:fldChar w:fldCharType="begin"/>
          </w:r>
          <w:r w:rsidR="000027D1">
            <w:rPr>
              <w:lang w:val="es-MX" w:eastAsia="es-ES"/>
            </w:rPr>
            <w:instrText xml:space="preserve">CITATION Isl09 \n  \t  \l 2058 </w:instrText>
          </w:r>
          <w:r w:rsidR="000027D1">
            <w:rPr>
              <w:lang w:val="pt-PT" w:eastAsia="es-ES"/>
            </w:rPr>
            <w:fldChar w:fldCharType="separate"/>
          </w:r>
          <w:r w:rsidR="001A7B3C">
            <w:rPr>
              <w:noProof/>
              <w:lang w:val="es-MX" w:eastAsia="es-ES"/>
            </w:rPr>
            <w:t>(2009)</w:t>
          </w:r>
          <w:r w:rsidR="000027D1">
            <w:rPr>
              <w:lang w:val="pt-PT" w:eastAsia="es-ES"/>
            </w:rPr>
            <w:fldChar w:fldCharType="end"/>
          </w:r>
        </w:sdtContent>
      </w:sdt>
      <w:r w:rsidR="00FD50B1">
        <w:rPr>
          <w:lang w:val="pt-PT" w:eastAsia="es-ES"/>
        </w:rPr>
        <w:t xml:space="preserve">, este principio </w:t>
      </w:r>
      <w:r w:rsidR="00C537BD">
        <w:rPr>
          <w:lang w:val="pt-PT" w:eastAsia="es-ES"/>
        </w:rPr>
        <w:t>se caracteriza por su reconocimiento en los ordenamientos jurídicos de los diferentes Estados, lo que se debe a esa relación denominada supra/subordinación entre los representantes del Estado y los ciudadanos</w:t>
      </w:r>
      <w:r w:rsidR="00157AE2">
        <w:rPr>
          <w:lang w:val="pt-PT" w:eastAsia="es-ES"/>
        </w:rPr>
        <w:t xml:space="preserve">, por lo que los actos del sistema estatal </w:t>
      </w:r>
      <w:r w:rsidR="00DA6FAC">
        <w:rPr>
          <w:lang w:val="pt-PT" w:eastAsia="es-ES"/>
        </w:rPr>
        <w:t xml:space="preserve">afectan los bienes y derechos de la vida en comunidad. </w:t>
      </w:r>
      <w:r w:rsidR="00172836">
        <w:rPr>
          <w:lang w:val="pt-PT" w:eastAsia="es-ES"/>
        </w:rPr>
        <w:t xml:space="preserve">Es decir, el citado autor se refiere a que </w:t>
      </w:r>
      <w:r w:rsidR="00B74C8C">
        <w:rPr>
          <w:lang w:val="pt-PT" w:eastAsia="es-ES"/>
        </w:rPr>
        <w:t>se destaca como una regla de competencia y control</w:t>
      </w:r>
      <w:r w:rsidR="00202DA8">
        <w:rPr>
          <w:lang w:val="pt-PT" w:eastAsia="es-ES"/>
        </w:rPr>
        <w:t xml:space="preserve">, en que se establece dentro de los actos jurídicos quiénes intervienen, qué deben hacer y quién fija estas directrices, lo que se entiende </w:t>
      </w:r>
      <w:r w:rsidR="00E077C6">
        <w:rPr>
          <w:lang w:val="pt-PT" w:eastAsia="es-ES"/>
        </w:rPr>
        <w:t xml:space="preserve">que </w:t>
      </w:r>
      <w:r w:rsidR="00202DA8">
        <w:rPr>
          <w:lang w:val="pt-PT" w:eastAsia="es-ES"/>
        </w:rPr>
        <w:t xml:space="preserve">emana de la propia ley. </w:t>
      </w:r>
      <w:r w:rsidR="009301F4">
        <w:rPr>
          <w:lang w:val="pt-PT" w:eastAsia="es-ES"/>
        </w:rPr>
        <w:t xml:space="preserve">Los actos y las relaciones jurídicas evidentemente requieren </w:t>
      </w:r>
      <w:r w:rsidR="000C29B9">
        <w:rPr>
          <w:lang w:val="pt-PT" w:eastAsia="es-ES"/>
        </w:rPr>
        <w:t>de una regulación en los términos que fije</w:t>
      </w:r>
      <w:r w:rsidR="004528D6">
        <w:rPr>
          <w:lang w:val="pt-PT" w:eastAsia="es-ES"/>
        </w:rPr>
        <w:t xml:space="preserve">n las </w:t>
      </w:r>
      <w:r w:rsidR="008A170E">
        <w:rPr>
          <w:lang w:val="pt-PT" w:eastAsia="es-ES"/>
        </w:rPr>
        <w:t xml:space="preserve">normas de Derecho, por lo cual el Estado edifica un sistema legal </w:t>
      </w:r>
      <w:r w:rsidR="004E65F5">
        <w:rPr>
          <w:lang w:val="pt-PT" w:eastAsia="es-ES"/>
        </w:rPr>
        <w:t xml:space="preserve">para que estas se lleven a cabo de una forma determinada, evitando </w:t>
      </w:r>
      <w:r w:rsidR="00AE7A1F">
        <w:rPr>
          <w:lang w:val="pt-PT" w:eastAsia="es-ES"/>
        </w:rPr>
        <w:t>manifestaciones abusivas</w:t>
      </w:r>
    </w:p>
    <w:p w14:paraId="12421BE8" w14:textId="5CFA2157" w:rsidR="00C47DFD" w:rsidRDefault="00C47DFD" w:rsidP="007727EA">
      <w:pPr>
        <w:rPr>
          <w:lang w:val="pt-PT" w:eastAsia="es-ES"/>
        </w:rPr>
      </w:pPr>
      <w:r>
        <w:rPr>
          <w:lang w:val="pt-PT" w:eastAsia="es-ES"/>
        </w:rPr>
        <w:lastRenderedPageBreak/>
        <w:t xml:space="preserve">Entre otras </w:t>
      </w:r>
      <w:r w:rsidR="008C33CD">
        <w:rPr>
          <w:lang w:val="pt-PT" w:eastAsia="es-ES"/>
        </w:rPr>
        <w:t>apreciaciones encontradas en la doctrina, de acuerdo con</w:t>
      </w:r>
      <w:r w:rsidR="00867690">
        <w:rPr>
          <w:lang w:val="pt-PT" w:eastAsia="es-ES"/>
        </w:rPr>
        <w:t xml:space="preserve"> Mayorga</w:t>
      </w:r>
      <w:r w:rsidR="008C33CD">
        <w:rPr>
          <w:lang w:val="pt-PT" w:eastAsia="es-ES"/>
        </w:rPr>
        <w:t xml:space="preserve"> </w:t>
      </w:r>
      <w:sdt>
        <w:sdtPr>
          <w:rPr>
            <w:lang w:val="pt-PT" w:eastAsia="es-ES"/>
          </w:rPr>
          <w:id w:val="-1867060908"/>
          <w:citation/>
        </w:sdtPr>
        <w:sdtContent>
          <w:r w:rsidR="00867690">
            <w:rPr>
              <w:lang w:val="pt-PT" w:eastAsia="es-ES"/>
            </w:rPr>
            <w:fldChar w:fldCharType="begin"/>
          </w:r>
          <w:r w:rsidR="00867690">
            <w:rPr>
              <w:lang w:val="es-MX" w:eastAsia="es-ES"/>
            </w:rPr>
            <w:instrText xml:space="preserve">CITATION May19 \n  \t  \l 2058 </w:instrText>
          </w:r>
          <w:r w:rsidR="00867690">
            <w:rPr>
              <w:lang w:val="pt-PT" w:eastAsia="es-ES"/>
            </w:rPr>
            <w:fldChar w:fldCharType="separate"/>
          </w:r>
          <w:r w:rsidR="001A7B3C">
            <w:rPr>
              <w:noProof/>
              <w:lang w:val="es-MX" w:eastAsia="es-ES"/>
            </w:rPr>
            <w:t>(2019)</w:t>
          </w:r>
          <w:r w:rsidR="00867690">
            <w:rPr>
              <w:lang w:val="pt-PT" w:eastAsia="es-ES"/>
            </w:rPr>
            <w:fldChar w:fldCharType="end"/>
          </w:r>
        </w:sdtContent>
      </w:sdt>
      <w:r w:rsidR="008C33CD">
        <w:rPr>
          <w:lang w:val="pt-PT" w:eastAsia="es-ES"/>
        </w:rPr>
        <w:t xml:space="preserve">, en el marco del Estado de Derecho se consagra la ley como un criterio objetivo de la representación </w:t>
      </w:r>
      <w:r w:rsidR="0024632B">
        <w:rPr>
          <w:lang w:val="pt-PT" w:eastAsia="es-ES"/>
        </w:rPr>
        <w:t xml:space="preserve">indiscutible de la voluntad general, de modo que se legitima dicha expresión en las disposiciones que se plasman a través de las diferentes normas jurídicas. </w:t>
      </w:r>
      <w:r w:rsidR="00045A1D">
        <w:rPr>
          <w:lang w:val="pt-PT" w:eastAsia="es-ES"/>
        </w:rPr>
        <w:t>Evidentemente, existe un</w:t>
      </w:r>
      <w:r w:rsidR="00AE7A1F">
        <w:rPr>
          <w:lang w:val="pt-PT" w:eastAsia="es-ES"/>
        </w:rPr>
        <w:t>a supervisión</w:t>
      </w:r>
      <w:r w:rsidR="00045A1D">
        <w:rPr>
          <w:lang w:val="pt-PT" w:eastAsia="es-ES"/>
        </w:rPr>
        <w:t xml:space="preserve"> sobre la legalidad que se realiza por parte de los poderes estatales en cuanto </w:t>
      </w:r>
      <w:r w:rsidR="0024345D">
        <w:rPr>
          <w:lang w:val="pt-PT" w:eastAsia="es-ES"/>
        </w:rPr>
        <w:t>al ejercicio de las facultades legislativas</w:t>
      </w:r>
      <w:r w:rsidR="00E2286B">
        <w:rPr>
          <w:lang w:val="pt-PT" w:eastAsia="es-ES"/>
        </w:rPr>
        <w:t>, así como</w:t>
      </w:r>
      <w:r w:rsidR="004838F2">
        <w:rPr>
          <w:lang w:val="pt-PT" w:eastAsia="es-ES"/>
        </w:rPr>
        <w:t xml:space="preserve"> de las consignadas en el sistema de justicia para velar por el adecuado imperio de la ley y la tutela efectiva de los derechos</w:t>
      </w:r>
      <w:r w:rsidR="0082319D">
        <w:rPr>
          <w:lang w:val="pt-PT" w:eastAsia="es-ES"/>
        </w:rPr>
        <w:t xml:space="preserve">. De </w:t>
      </w:r>
      <w:r w:rsidR="00F379E4">
        <w:rPr>
          <w:lang w:val="pt-PT" w:eastAsia="es-ES"/>
        </w:rPr>
        <w:t>tal manera</w:t>
      </w:r>
      <w:r w:rsidR="0082319D">
        <w:rPr>
          <w:lang w:val="pt-PT" w:eastAsia="es-ES"/>
        </w:rPr>
        <w:t>, se busca generar un marco de compatib</w:t>
      </w:r>
      <w:r w:rsidR="003B7ADB">
        <w:rPr>
          <w:lang w:val="pt-PT" w:eastAsia="es-ES"/>
        </w:rPr>
        <w:t>i</w:t>
      </w:r>
      <w:r w:rsidR="0082319D">
        <w:rPr>
          <w:lang w:val="pt-PT" w:eastAsia="es-ES"/>
        </w:rPr>
        <w:t xml:space="preserve">lidad en la aplicación de </w:t>
      </w:r>
      <w:r w:rsidR="00867690">
        <w:rPr>
          <w:lang w:val="pt-PT" w:eastAsia="es-ES"/>
        </w:rPr>
        <w:t xml:space="preserve">la </w:t>
      </w:r>
      <w:r w:rsidR="0082319D">
        <w:rPr>
          <w:lang w:val="pt-PT" w:eastAsia="es-ES"/>
        </w:rPr>
        <w:t>l</w:t>
      </w:r>
      <w:r w:rsidR="003B7ADB">
        <w:rPr>
          <w:lang w:val="pt-PT" w:eastAsia="es-ES"/>
        </w:rPr>
        <w:t>ey</w:t>
      </w:r>
      <w:r w:rsidR="00981C3F">
        <w:rPr>
          <w:lang w:val="pt-PT" w:eastAsia="es-ES"/>
        </w:rPr>
        <w:t>, donde cada situación e</w:t>
      </w:r>
      <w:r w:rsidR="00C422A3">
        <w:rPr>
          <w:lang w:val="pt-PT" w:eastAsia="es-ES"/>
        </w:rPr>
        <w:t xml:space="preserve">sté delimitada por las pautas que mejor correspondan de conformidad con su contenido. </w:t>
      </w:r>
    </w:p>
    <w:p w14:paraId="4E3C21BE" w14:textId="615A46A9" w:rsidR="00867690" w:rsidRDefault="00FF5A41" w:rsidP="007727EA">
      <w:pPr>
        <w:rPr>
          <w:lang w:val="pt-PT" w:eastAsia="es-ES"/>
        </w:rPr>
      </w:pPr>
      <w:r>
        <w:rPr>
          <w:lang w:val="pt-PT" w:eastAsia="es-ES"/>
        </w:rPr>
        <w:t>Al profundizarse tanto en el rol como en el valor que tiene la ley</w:t>
      </w:r>
      <w:r w:rsidR="00DB3AD2">
        <w:rPr>
          <w:lang w:val="pt-PT" w:eastAsia="es-ES"/>
        </w:rPr>
        <w:t xml:space="preserve">, conforme a lo </w:t>
      </w:r>
      <w:r w:rsidR="00C20A06">
        <w:rPr>
          <w:lang w:val="pt-PT" w:eastAsia="es-ES"/>
        </w:rPr>
        <w:t xml:space="preserve">desarrollado por </w:t>
      </w:r>
      <w:r w:rsidR="00FC704B">
        <w:rPr>
          <w:lang w:val="pt-PT" w:eastAsia="es-ES"/>
        </w:rPr>
        <w:t xml:space="preserve">Aponte </w:t>
      </w:r>
      <w:sdt>
        <w:sdtPr>
          <w:rPr>
            <w:lang w:val="pt-PT" w:eastAsia="es-ES"/>
          </w:rPr>
          <w:id w:val="987357611"/>
          <w:citation/>
        </w:sdtPr>
        <w:sdtContent>
          <w:r w:rsidR="00FC704B">
            <w:rPr>
              <w:lang w:val="pt-PT" w:eastAsia="es-ES"/>
            </w:rPr>
            <w:fldChar w:fldCharType="begin"/>
          </w:r>
          <w:r w:rsidR="00CC397B">
            <w:rPr>
              <w:lang w:val="es-MX" w:eastAsia="es-ES"/>
            </w:rPr>
            <w:instrText xml:space="preserve">CITATION Apo22 \n  \t  \l 2058 </w:instrText>
          </w:r>
          <w:r w:rsidR="00FC704B">
            <w:rPr>
              <w:lang w:val="pt-PT" w:eastAsia="es-ES"/>
            </w:rPr>
            <w:fldChar w:fldCharType="separate"/>
          </w:r>
          <w:r w:rsidR="001A7B3C">
            <w:rPr>
              <w:noProof/>
              <w:lang w:val="es-MX" w:eastAsia="es-ES"/>
            </w:rPr>
            <w:t>(2022)</w:t>
          </w:r>
          <w:r w:rsidR="00FC704B">
            <w:rPr>
              <w:lang w:val="pt-PT" w:eastAsia="es-ES"/>
            </w:rPr>
            <w:fldChar w:fldCharType="end"/>
          </w:r>
        </w:sdtContent>
      </w:sdt>
      <w:r w:rsidR="00C20A06">
        <w:rPr>
          <w:lang w:val="pt-PT" w:eastAsia="es-ES"/>
        </w:rPr>
        <w:t xml:space="preserve">, se define que esta es una justificación ideológica y material del Estado de Derecho, más que todo en cuanto a la limitación del poder, así como el respeto por los derechos de libertad y propiedad. </w:t>
      </w:r>
      <w:r w:rsidR="0013776A">
        <w:rPr>
          <w:lang w:val="pt-PT" w:eastAsia="es-ES"/>
        </w:rPr>
        <w:t xml:space="preserve">En tal virtud, la lucha por la legalidad se ubica en la limitación al poder y </w:t>
      </w:r>
      <w:r w:rsidR="00FC704B">
        <w:rPr>
          <w:lang w:val="pt-PT" w:eastAsia="es-ES"/>
        </w:rPr>
        <w:t>reivindicación de</w:t>
      </w:r>
      <w:r w:rsidR="0013776A">
        <w:rPr>
          <w:lang w:val="pt-PT" w:eastAsia="es-ES"/>
        </w:rPr>
        <w:t xml:space="preserve"> libertades, por lo q</w:t>
      </w:r>
      <w:r w:rsidR="00307590">
        <w:rPr>
          <w:lang w:val="pt-PT" w:eastAsia="es-ES"/>
        </w:rPr>
        <w:t xml:space="preserve">ue no es admisible la inserción de mecanismos que tienen por finalidad modelar y transformar al individuo. </w:t>
      </w:r>
      <w:r w:rsidR="000F65B2">
        <w:rPr>
          <w:lang w:val="pt-PT" w:eastAsia="es-ES"/>
        </w:rPr>
        <w:t xml:space="preserve">Cabe señalar, que esta idea </w:t>
      </w:r>
      <w:r w:rsidR="00916209">
        <w:rPr>
          <w:lang w:val="pt-PT" w:eastAsia="es-ES"/>
        </w:rPr>
        <w:t xml:space="preserve">apunta a que si bien es cierto, se debe respetar la voluntad de las personas, es necesario que se definan ciertos límites </w:t>
      </w:r>
      <w:r w:rsidR="00E658A0">
        <w:rPr>
          <w:lang w:val="pt-PT" w:eastAsia="es-ES"/>
        </w:rPr>
        <w:t xml:space="preserve">donde el ejercicio de la libertad no rebase </w:t>
      </w:r>
      <w:r w:rsidR="007D7487">
        <w:rPr>
          <w:lang w:val="pt-PT" w:eastAsia="es-ES"/>
        </w:rPr>
        <w:t xml:space="preserve">la esfera personal y se afecten los derechos de terceros, </w:t>
      </w:r>
      <w:r w:rsidR="00ED2803">
        <w:rPr>
          <w:lang w:val="pt-PT" w:eastAsia="es-ES"/>
        </w:rPr>
        <w:t xml:space="preserve">por lo que los parámetros definidos legalmente </w:t>
      </w:r>
      <w:r w:rsidR="0052071A">
        <w:rPr>
          <w:lang w:val="pt-PT" w:eastAsia="es-ES"/>
        </w:rPr>
        <w:t xml:space="preserve">validan </w:t>
      </w:r>
      <w:r w:rsidR="00B97AE3">
        <w:rPr>
          <w:lang w:val="pt-PT" w:eastAsia="es-ES"/>
        </w:rPr>
        <w:t xml:space="preserve">en sociedad las formas en que se debe direccionar </w:t>
      </w:r>
      <w:r w:rsidR="00A0369D">
        <w:rPr>
          <w:lang w:val="pt-PT" w:eastAsia="es-ES"/>
        </w:rPr>
        <w:t xml:space="preserve">los vínculos jurídicos </w:t>
      </w:r>
      <w:r w:rsidR="00E63870">
        <w:rPr>
          <w:lang w:val="pt-PT" w:eastAsia="es-ES"/>
        </w:rPr>
        <w:t>entre las personas.</w:t>
      </w:r>
    </w:p>
    <w:p w14:paraId="0ED50E4B" w14:textId="1638D81E" w:rsidR="000027D1" w:rsidRPr="007727EA" w:rsidRDefault="000F40FF" w:rsidP="007727EA">
      <w:pPr>
        <w:rPr>
          <w:lang w:val="pt-PT" w:eastAsia="es-ES"/>
        </w:rPr>
      </w:pPr>
      <w:r>
        <w:rPr>
          <w:lang w:val="pt-PT" w:eastAsia="es-ES"/>
        </w:rPr>
        <w:t>Otras posturas teóricas</w:t>
      </w:r>
      <w:r w:rsidR="00C66A59">
        <w:rPr>
          <w:lang w:val="pt-PT" w:eastAsia="es-ES"/>
        </w:rPr>
        <w:t xml:space="preserve">, como la formulada por </w:t>
      </w:r>
      <w:r w:rsidR="006D7DB5">
        <w:rPr>
          <w:lang w:val="pt-PT" w:eastAsia="es-ES"/>
        </w:rPr>
        <w:t xml:space="preserve">Guastini </w:t>
      </w:r>
      <w:sdt>
        <w:sdtPr>
          <w:rPr>
            <w:lang w:val="pt-PT" w:eastAsia="es-ES"/>
          </w:rPr>
          <w:id w:val="58141972"/>
          <w:citation/>
        </w:sdtPr>
        <w:sdtContent>
          <w:r w:rsidR="006D7DB5">
            <w:rPr>
              <w:lang w:val="pt-PT" w:eastAsia="es-ES"/>
            </w:rPr>
            <w:fldChar w:fldCharType="begin"/>
          </w:r>
          <w:r w:rsidR="006174A4">
            <w:rPr>
              <w:lang w:val="es-MX" w:eastAsia="es-ES"/>
            </w:rPr>
            <w:instrText xml:space="preserve">CITATION Gua01 \n  \t  \l 2058 </w:instrText>
          </w:r>
          <w:r w:rsidR="006D7DB5">
            <w:rPr>
              <w:lang w:val="pt-PT" w:eastAsia="es-ES"/>
            </w:rPr>
            <w:fldChar w:fldCharType="separate"/>
          </w:r>
          <w:r w:rsidR="001A7B3C">
            <w:rPr>
              <w:noProof/>
              <w:lang w:val="es-MX" w:eastAsia="es-ES"/>
            </w:rPr>
            <w:t>(2001)</w:t>
          </w:r>
          <w:r w:rsidR="006D7DB5">
            <w:rPr>
              <w:lang w:val="pt-PT" w:eastAsia="es-ES"/>
            </w:rPr>
            <w:fldChar w:fldCharType="end"/>
          </w:r>
        </w:sdtContent>
      </w:sdt>
      <w:r w:rsidR="00C66A59">
        <w:rPr>
          <w:lang w:val="pt-PT" w:eastAsia="es-ES"/>
        </w:rPr>
        <w:t xml:space="preserve">, </w:t>
      </w:r>
      <w:r w:rsidR="006D7F20">
        <w:rPr>
          <w:lang w:val="pt-PT" w:eastAsia="es-ES"/>
        </w:rPr>
        <w:t xml:space="preserve">que </w:t>
      </w:r>
      <w:r w:rsidR="00D71E4D">
        <w:rPr>
          <w:lang w:val="pt-PT" w:eastAsia="es-ES"/>
        </w:rPr>
        <w:t>postula</w:t>
      </w:r>
      <w:r w:rsidR="00C66A59">
        <w:rPr>
          <w:lang w:val="pt-PT" w:eastAsia="es-ES"/>
        </w:rPr>
        <w:t xml:space="preserve"> que el principio de legalidad </w:t>
      </w:r>
      <w:r w:rsidR="00226FFC">
        <w:rPr>
          <w:lang w:val="pt-PT" w:eastAsia="es-ES"/>
        </w:rPr>
        <w:t>conlleva</w:t>
      </w:r>
      <w:r w:rsidR="002B6A93">
        <w:rPr>
          <w:lang w:val="pt-PT" w:eastAsia="es-ES"/>
        </w:rPr>
        <w:t xml:space="preserve"> </w:t>
      </w:r>
      <w:r w:rsidR="00226FFC">
        <w:rPr>
          <w:lang w:val="pt-PT" w:eastAsia="es-ES"/>
        </w:rPr>
        <w:t xml:space="preserve">que los poderes públicos y sus actuaciones estén subordinados a lo </w:t>
      </w:r>
      <w:r w:rsidR="00596C93">
        <w:rPr>
          <w:lang w:val="pt-PT" w:eastAsia="es-ES"/>
        </w:rPr>
        <w:t>establecido</w:t>
      </w:r>
      <w:r w:rsidR="00226FFC">
        <w:rPr>
          <w:lang w:val="pt-PT" w:eastAsia="es-ES"/>
        </w:rPr>
        <w:t xml:space="preserve"> por la ley, de modo que las actuaciones que de ella provengan se sujeten a su contenido y </w:t>
      </w:r>
      <w:r w:rsidR="002B6A93">
        <w:rPr>
          <w:lang w:val="pt-PT" w:eastAsia="es-ES"/>
        </w:rPr>
        <w:t xml:space="preserve">disposiciones, de lo contrario, deberán enfrentar las declaratorias de invalidez. </w:t>
      </w:r>
      <w:r w:rsidR="006D7F20">
        <w:rPr>
          <w:lang w:val="pt-PT" w:eastAsia="es-ES"/>
        </w:rPr>
        <w:t>Dicho esto, en el próximo apartado de este artículo entre las diferentes actuaciones de los entes públicos se tiene</w:t>
      </w:r>
      <w:r w:rsidR="00DA77B7">
        <w:rPr>
          <w:lang w:val="pt-PT" w:eastAsia="es-ES"/>
        </w:rPr>
        <w:t xml:space="preserve"> lo concerniente a las actividades del sistema notarial, lo que se explicará en detalle en ese segmento, pero preliminarmente se </w:t>
      </w:r>
      <w:r w:rsidR="00915789">
        <w:rPr>
          <w:lang w:val="pt-PT" w:eastAsia="es-ES"/>
        </w:rPr>
        <w:t xml:space="preserve">indica que estas </w:t>
      </w:r>
      <w:r w:rsidR="00915789">
        <w:rPr>
          <w:lang w:val="pt-PT" w:eastAsia="es-ES"/>
        </w:rPr>
        <w:lastRenderedPageBreak/>
        <w:t xml:space="preserve">inexorablemente deben </w:t>
      </w:r>
      <w:r w:rsidR="00500456">
        <w:rPr>
          <w:lang w:val="pt-PT" w:eastAsia="es-ES"/>
        </w:rPr>
        <w:t xml:space="preserve">realizarse en la medida en que las leyes establezcan </w:t>
      </w:r>
      <w:r w:rsidR="00D80C86">
        <w:rPr>
          <w:lang w:val="pt-PT" w:eastAsia="es-ES"/>
        </w:rPr>
        <w:t xml:space="preserve">cómo debe llevarse a cabo la prestación de sus servicios. Entonces, se anticipa que una </w:t>
      </w:r>
      <w:r w:rsidR="00B909E1">
        <w:rPr>
          <w:lang w:val="pt-PT" w:eastAsia="es-ES"/>
        </w:rPr>
        <w:t>función pública como la del notario se tiene que realizar únicamente en las formas que están señaladas en el marco normativo vigente y aplicable para su labor</w:t>
      </w:r>
      <w:r w:rsidR="00CE22C3">
        <w:rPr>
          <w:lang w:val="pt-PT" w:eastAsia="es-ES"/>
        </w:rPr>
        <w:t xml:space="preserve">, por lo cual la </w:t>
      </w:r>
      <w:r w:rsidR="00F57660">
        <w:rPr>
          <w:lang w:val="pt-PT" w:eastAsia="es-ES"/>
        </w:rPr>
        <w:t>incorporación</w:t>
      </w:r>
      <w:r w:rsidR="00CE22C3">
        <w:rPr>
          <w:lang w:val="pt-PT" w:eastAsia="es-ES"/>
        </w:rPr>
        <w:t xml:space="preserve"> de la digitalización </w:t>
      </w:r>
      <w:r w:rsidR="00F57660">
        <w:rPr>
          <w:lang w:val="pt-PT" w:eastAsia="es-ES"/>
        </w:rPr>
        <w:t>de este servicio debe observar este princi</w:t>
      </w:r>
      <w:r w:rsidR="000D5DF9">
        <w:rPr>
          <w:lang w:val="pt-PT" w:eastAsia="es-ES"/>
        </w:rPr>
        <w:t xml:space="preserve">pio. </w:t>
      </w:r>
    </w:p>
    <w:p w14:paraId="0C56B5AA" w14:textId="64763685" w:rsidR="00BF0A40" w:rsidRDefault="00BF0A40" w:rsidP="00BF0A40">
      <w:pPr>
        <w:pStyle w:val="Ttulo2"/>
        <w:numPr>
          <w:ilvl w:val="1"/>
          <w:numId w:val="46"/>
        </w:numPr>
        <w:tabs>
          <w:tab w:val="num" w:pos="360"/>
        </w:tabs>
        <w:ind w:left="360" w:hanging="360"/>
        <w:rPr>
          <w:lang w:val="pt-PT" w:eastAsia="es-ES"/>
        </w:rPr>
      </w:pPr>
      <w:r>
        <w:rPr>
          <w:lang w:val="pt-PT" w:eastAsia="es-ES"/>
        </w:rPr>
        <w:t>E</w:t>
      </w:r>
      <w:r w:rsidR="00661470">
        <w:rPr>
          <w:lang w:val="pt-PT" w:eastAsia="es-ES"/>
        </w:rPr>
        <w:t xml:space="preserve">L PRINCIPIO DE LEGALIDAD APLICADO EN </w:t>
      </w:r>
      <w:r w:rsidR="006C4DD4">
        <w:rPr>
          <w:lang w:val="pt-PT" w:eastAsia="es-ES"/>
        </w:rPr>
        <w:t>LA ACTIVIDAD NOTARIAL</w:t>
      </w:r>
    </w:p>
    <w:p w14:paraId="0DBD47DA" w14:textId="2FA5F7EB" w:rsidR="001C3D33" w:rsidRDefault="00E07F9D" w:rsidP="001C3D33">
      <w:pPr>
        <w:rPr>
          <w:lang w:val="pt-PT" w:eastAsia="es-ES"/>
        </w:rPr>
      </w:pPr>
      <w:r>
        <w:rPr>
          <w:lang w:val="pt-PT" w:eastAsia="es-ES"/>
        </w:rPr>
        <w:t xml:space="preserve">En relación con este principio y su aplicación en la esfera notarial, </w:t>
      </w:r>
      <w:r w:rsidR="00592144">
        <w:rPr>
          <w:lang w:val="pt-PT" w:eastAsia="es-ES"/>
        </w:rPr>
        <w:t xml:space="preserve">para comprender adecuadamente la forma en </w:t>
      </w:r>
      <w:r w:rsidR="008F71B8">
        <w:rPr>
          <w:lang w:val="pt-PT" w:eastAsia="es-ES"/>
        </w:rPr>
        <w:t>que</w:t>
      </w:r>
      <w:r w:rsidR="00592144">
        <w:rPr>
          <w:lang w:val="pt-PT" w:eastAsia="es-ES"/>
        </w:rPr>
        <w:t xml:space="preserve"> este debe materializarse, se </w:t>
      </w:r>
      <w:r w:rsidR="00596C93">
        <w:rPr>
          <w:lang w:val="pt-PT" w:eastAsia="es-ES"/>
        </w:rPr>
        <w:t xml:space="preserve">precisa </w:t>
      </w:r>
      <w:r w:rsidR="00592144">
        <w:rPr>
          <w:lang w:val="pt-PT" w:eastAsia="es-ES"/>
        </w:rPr>
        <w:t xml:space="preserve">partir </w:t>
      </w:r>
      <w:r w:rsidR="008F71B8">
        <w:rPr>
          <w:lang w:val="pt-PT" w:eastAsia="es-ES"/>
        </w:rPr>
        <w:t>de un aspecto esencial, el cual</w:t>
      </w:r>
      <w:r w:rsidR="00993D8C">
        <w:rPr>
          <w:lang w:val="pt-PT" w:eastAsia="es-ES"/>
        </w:rPr>
        <w:t>,</w:t>
      </w:r>
      <w:r w:rsidR="008F71B8">
        <w:rPr>
          <w:lang w:val="pt-PT" w:eastAsia="es-ES"/>
        </w:rPr>
        <w:t xml:space="preserve"> según </w:t>
      </w:r>
      <w:r w:rsidR="008F44FD">
        <w:rPr>
          <w:lang w:val="pt-PT" w:eastAsia="es-ES"/>
        </w:rPr>
        <w:t xml:space="preserve">Lucas y Albert </w:t>
      </w:r>
      <w:sdt>
        <w:sdtPr>
          <w:rPr>
            <w:lang w:val="pt-PT" w:eastAsia="es-ES"/>
          </w:rPr>
          <w:id w:val="-1765907272"/>
          <w:citation/>
        </w:sdtPr>
        <w:sdtContent>
          <w:r w:rsidR="008F44FD">
            <w:rPr>
              <w:lang w:val="pt-PT" w:eastAsia="es-ES"/>
            </w:rPr>
            <w:fldChar w:fldCharType="begin"/>
          </w:r>
          <w:r w:rsidR="008F44FD">
            <w:rPr>
              <w:lang w:val="es-MX" w:eastAsia="es-ES"/>
            </w:rPr>
            <w:instrText xml:space="preserve">CITATION Luc23 \n  \t  \l 2058 </w:instrText>
          </w:r>
          <w:r w:rsidR="008F44FD">
            <w:rPr>
              <w:lang w:val="pt-PT" w:eastAsia="es-ES"/>
            </w:rPr>
            <w:fldChar w:fldCharType="separate"/>
          </w:r>
          <w:r w:rsidR="001A7B3C">
            <w:rPr>
              <w:noProof/>
              <w:lang w:val="es-MX" w:eastAsia="es-ES"/>
            </w:rPr>
            <w:t>(2023)</w:t>
          </w:r>
          <w:r w:rsidR="008F44FD">
            <w:rPr>
              <w:lang w:val="pt-PT" w:eastAsia="es-ES"/>
            </w:rPr>
            <w:fldChar w:fldCharType="end"/>
          </w:r>
        </w:sdtContent>
      </w:sdt>
      <w:r w:rsidR="008F71B8">
        <w:rPr>
          <w:lang w:val="pt-PT" w:eastAsia="es-ES"/>
        </w:rPr>
        <w:t>, se necesita conocer que l</w:t>
      </w:r>
      <w:r w:rsidR="00C733EB">
        <w:rPr>
          <w:lang w:val="pt-PT" w:eastAsia="es-ES"/>
        </w:rPr>
        <w:t>as actividades desempeñadas por los notarios públicos se rigen por una se</w:t>
      </w:r>
      <w:r w:rsidR="00993D8C">
        <w:rPr>
          <w:lang w:val="pt-PT" w:eastAsia="es-ES"/>
        </w:rPr>
        <w:t xml:space="preserve">rie de principios para la prestación de un servicio articulado y organizado. Efectivamente, </w:t>
      </w:r>
      <w:r w:rsidR="00012DBD">
        <w:rPr>
          <w:lang w:val="pt-PT" w:eastAsia="es-ES"/>
        </w:rPr>
        <w:t xml:space="preserve">la labor de estos principios </w:t>
      </w:r>
      <w:r w:rsidR="00C77BE8">
        <w:rPr>
          <w:lang w:val="pt-PT" w:eastAsia="es-ES"/>
        </w:rPr>
        <w:t>busca</w:t>
      </w:r>
      <w:r w:rsidR="00012DBD">
        <w:rPr>
          <w:lang w:val="pt-PT" w:eastAsia="es-ES"/>
        </w:rPr>
        <w:t xml:space="preserve"> la orientación como fuente doctrinal </w:t>
      </w:r>
      <w:r w:rsidR="00B05926">
        <w:rPr>
          <w:lang w:val="pt-PT" w:eastAsia="es-ES"/>
        </w:rPr>
        <w:t>del accionar del fedatario, por lo que estos se integran</w:t>
      </w:r>
      <w:r w:rsidR="00C77BE8">
        <w:rPr>
          <w:lang w:val="pt-PT" w:eastAsia="es-ES"/>
        </w:rPr>
        <w:t xml:space="preserve"> y tienen por propósito garantizar la seguridad jurídica, tanto a nivel contractual como social y estatal. Se aclara que sobre la seguridad jurídica esta tiene su propio apartado, pero que ineludiblemente guarda un vínculo estrecho con el principio de legalidad </w:t>
      </w:r>
      <w:r w:rsidR="005F73DC">
        <w:rPr>
          <w:lang w:val="pt-PT" w:eastAsia="es-ES"/>
        </w:rPr>
        <w:t xml:space="preserve">dado que este estado de certidumbre es el resultado de la adecuada aplicación de la ley. </w:t>
      </w:r>
    </w:p>
    <w:p w14:paraId="7DB4DFBA" w14:textId="044112DA" w:rsidR="00122E34" w:rsidRDefault="00122E34" w:rsidP="001C3D33">
      <w:pPr>
        <w:rPr>
          <w:lang w:val="pt-PT" w:eastAsia="es-ES"/>
        </w:rPr>
      </w:pPr>
      <w:r>
        <w:rPr>
          <w:lang w:val="pt-PT" w:eastAsia="es-ES"/>
        </w:rPr>
        <w:t xml:space="preserve">Como se ha dicho anteriormente, la actividad notarial está reglada por una serie de </w:t>
      </w:r>
      <w:r w:rsidR="00C6793A">
        <w:rPr>
          <w:lang w:val="pt-PT" w:eastAsia="es-ES"/>
        </w:rPr>
        <w:t>principios, tales como la fe pública, la buena fe, la transparencia, entre otros, pero, principalmente, destaca el de legalidad, dado que un notario únicamente puede obrar en las formas que le están expresamente reconocidas en la ley, más aún</w:t>
      </w:r>
      <w:r w:rsidR="00234F66">
        <w:rPr>
          <w:lang w:val="pt-PT" w:eastAsia="es-ES"/>
        </w:rPr>
        <w:t xml:space="preserve"> cuando sus actos y sus efectos son de dominio público. </w:t>
      </w:r>
      <w:r w:rsidR="00D751A5">
        <w:rPr>
          <w:lang w:val="pt-PT" w:eastAsia="es-ES"/>
        </w:rPr>
        <w:t xml:space="preserve">En relación con este principio, </w:t>
      </w:r>
      <w:r w:rsidR="006D1304">
        <w:rPr>
          <w:lang w:val="pt-PT" w:eastAsia="es-ES"/>
        </w:rPr>
        <w:t xml:space="preserve">Prada </w:t>
      </w:r>
      <w:sdt>
        <w:sdtPr>
          <w:rPr>
            <w:lang w:val="pt-PT" w:eastAsia="es-ES"/>
          </w:rPr>
          <w:id w:val="-313179122"/>
          <w:citation/>
        </w:sdtPr>
        <w:sdtContent>
          <w:r w:rsidR="006D1304">
            <w:rPr>
              <w:lang w:val="pt-PT" w:eastAsia="es-ES"/>
            </w:rPr>
            <w:fldChar w:fldCharType="begin"/>
          </w:r>
          <w:r w:rsidR="006D1304">
            <w:rPr>
              <w:lang w:val="es-MX" w:eastAsia="es-ES"/>
            </w:rPr>
            <w:instrText xml:space="preserve">CITATION Pra93 \n  \t  \l 2058 </w:instrText>
          </w:r>
          <w:r w:rsidR="006D1304">
            <w:rPr>
              <w:lang w:val="pt-PT" w:eastAsia="es-ES"/>
            </w:rPr>
            <w:fldChar w:fldCharType="separate"/>
          </w:r>
          <w:r w:rsidR="001A7B3C">
            <w:rPr>
              <w:noProof/>
              <w:lang w:val="es-MX" w:eastAsia="es-ES"/>
            </w:rPr>
            <w:t>(1993)</w:t>
          </w:r>
          <w:r w:rsidR="006D1304">
            <w:rPr>
              <w:lang w:val="pt-PT" w:eastAsia="es-ES"/>
            </w:rPr>
            <w:fldChar w:fldCharType="end"/>
          </w:r>
        </w:sdtContent>
      </w:sdt>
      <w:r w:rsidR="00C6793A">
        <w:rPr>
          <w:lang w:val="pt-PT" w:eastAsia="es-ES"/>
        </w:rPr>
        <w:t xml:space="preserve"> resaltó que el notario siempre debe actuar mediante estricta observancia de la ley, por lo que ella impone un límite a su actuación y la obliga a adaptarla</w:t>
      </w:r>
      <w:r w:rsidR="00EE6007">
        <w:rPr>
          <w:lang w:val="pt-PT" w:eastAsia="es-ES"/>
        </w:rPr>
        <w:t xml:space="preserve"> a la voluntad de las </w:t>
      </w:r>
      <w:r w:rsidR="000E2C36">
        <w:rPr>
          <w:lang w:val="pt-PT" w:eastAsia="es-ES"/>
        </w:rPr>
        <w:t xml:space="preserve">partes. Se añade que conlleva una doble función, la que consiste en </w:t>
      </w:r>
      <w:r w:rsidR="00460288">
        <w:rPr>
          <w:lang w:val="pt-PT" w:eastAsia="es-ES"/>
        </w:rPr>
        <w:t xml:space="preserve">que para el Estado se tiene la garantía de cumplimiento de los fines de interés general, en tanto que, </w:t>
      </w:r>
      <w:r w:rsidR="00460288">
        <w:rPr>
          <w:lang w:val="pt-PT" w:eastAsia="es-ES"/>
        </w:rPr>
        <w:lastRenderedPageBreak/>
        <w:t>para los pa</w:t>
      </w:r>
      <w:r w:rsidR="00E7743F">
        <w:rPr>
          <w:lang w:val="pt-PT" w:eastAsia="es-ES"/>
        </w:rPr>
        <w:t xml:space="preserve">rticulares que el notario sabrá orientar sobre los requisitos para llevar a cabo los actos jurídicos deseados. </w:t>
      </w:r>
    </w:p>
    <w:p w14:paraId="76D05150" w14:textId="3B086A4B" w:rsidR="008C02A5" w:rsidRDefault="002257F6" w:rsidP="001C3D33">
      <w:pPr>
        <w:rPr>
          <w:lang w:val="pt-PT" w:eastAsia="es-ES"/>
        </w:rPr>
      </w:pPr>
      <w:r>
        <w:rPr>
          <w:lang w:val="pt-PT" w:eastAsia="es-ES"/>
        </w:rPr>
        <w:t>La doctrina muestra como parte de sus fundamentos lo relacionado con el criterio de</w:t>
      </w:r>
      <w:r w:rsidR="00E33D19">
        <w:rPr>
          <w:lang w:val="pt-PT" w:eastAsia="es-ES"/>
        </w:rPr>
        <w:t xml:space="preserve">l vínculo existente entre la legalidad como instrumento de la prestación de la fe pública. En tal contexto, para </w:t>
      </w:r>
      <w:r w:rsidR="00CD53E6">
        <w:rPr>
          <w:lang w:val="pt-PT" w:eastAsia="es-ES"/>
        </w:rPr>
        <w:t>Díaz et al.</w:t>
      </w:r>
      <w:r w:rsidR="0025743F">
        <w:rPr>
          <w:lang w:val="pt-PT" w:eastAsia="es-ES"/>
        </w:rPr>
        <w:t xml:space="preserve"> </w:t>
      </w:r>
      <w:sdt>
        <w:sdtPr>
          <w:rPr>
            <w:lang w:val="pt-PT" w:eastAsia="es-ES"/>
          </w:rPr>
          <w:id w:val="334652938"/>
          <w:citation/>
        </w:sdtPr>
        <w:sdtContent>
          <w:r w:rsidR="00220753">
            <w:rPr>
              <w:lang w:val="pt-PT" w:eastAsia="es-ES"/>
            </w:rPr>
            <w:fldChar w:fldCharType="begin"/>
          </w:r>
          <w:r w:rsidR="00220753">
            <w:rPr>
              <w:lang w:val="es-MX" w:eastAsia="es-ES"/>
            </w:rPr>
            <w:instrText xml:space="preserve">CITATION Día25 \n  \t  \l 2058 </w:instrText>
          </w:r>
          <w:r w:rsidR="00220753">
            <w:rPr>
              <w:lang w:val="pt-PT" w:eastAsia="es-ES"/>
            </w:rPr>
            <w:fldChar w:fldCharType="separate"/>
          </w:r>
          <w:r w:rsidR="001A7B3C">
            <w:rPr>
              <w:noProof/>
              <w:lang w:val="es-MX" w:eastAsia="es-ES"/>
            </w:rPr>
            <w:t>(2025)</w:t>
          </w:r>
          <w:r w:rsidR="00220753">
            <w:rPr>
              <w:lang w:val="pt-PT" w:eastAsia="es-ES"/>
            </w:rPr>
            <w:fldChar w:fldCharType="end"/>
          </w:r>
        </w:sdtContent>
      </w:sdt>
      <w:r w:rsidR="00E33D19">
        <w:rPr>
          <w:lang w:val="pt-PT" w:eastAsia="es-ES"/>
        </w:rPr>
        <w:t>,</w:t>
      </w:r>
      <w:r w:rsidR="005D5225">
        <w:rPr>
          <w:lang w:val="pt-PT" w:eastAsia="es-ES"/>
        </w:rPr>
        <w:t xml:space="preserve"> </w:t>
      </w:r>
      <w:r w:rsidR="00E91B81">
        <w:rPr>
          <w:lang w:val="pt-PT" w:eastAsia="es-ES"/>
        </w:rPr>
        <w:t xml:space="preserve">la legalidad de los actos notariales se caracteriza por la </w:t>
      </w:r>
      <w:r w:rsidR="00746116">
        <w:rPr>
          <w:lang w:val="pt-PT" w:eastAsia="es-ES"/>
        </w:rPr>
        <w:t xml:space="preserve">vigilancia </w:t>
      </w:r>
      <w:r w:rsidR="00E91B81">
        <w:rPr>
          <w:lang w:val="pt-PT" w:eastAsia="es-ES"/>
        </w:rPr>
        <w:t>y el cumplimiento de las disposiciones de ley, por medio de las cuales</w:t>
      </w:r>
      <w:r w:rsidR="00B15313">
        <w:rPr>
          <w:lang w:val="pt-PT" w:eastAsia="es-ES"/>
        </w:rPr>
        <w:t xml:space="preserve"> se materializa la voluntad de los peticionarios</w:t>
      </w:r>
      <w:r w:rsidR="00922EE4">
        <w:rPr>
          <w:lang w:val="pt-PT" w:eastAsia="es-ES"/>
        </w:rPr>
        <w:t xml:space="preserve">, de modo que se cumplan los requisitos pertinentes. </w:t>
      </w:r>
      <w:r w:rsidR="00325440">
        <w:rPr>
          <w:lang w:val="pt-PT" w:eastAsia="es-ES"/>
        </w:rPr>
        <w:t xml:space="preserve">En </w:t>
      </w:r>
      <w:r w:rsidR="002623CE">
        <w:rPr>
          <w:lang w:val="pt-PT" w:eastAsia="es-ES"/>
        </w:rPr>
        <w:t xml:space="preserve">definitiva, el notario solo puede hacer lo que estrictamente le está estipulado dentro de la normativa aplicable inherente a sus funciones, porque de actuar de forma contraria </w:t>
      </w:r>
      <w:r w:rsidR="0076420E">
        <w:rPr>
          <w:lang w:val="pt-PT" w:eastAsia="es-ES"/>
        </w:rPr>
        <w:t xml:space="preserve">no solo estaría desconociendo sus mandatos o contenido, sino que </w:t>
      </w:r>
      <w:r w:rsidR="0015031C">
        <w:rPr>
          <w:lang w:val="pt-PT" w:eastAsia="es-ES"/>
        </w:rPr>
        <w:t>los</w:t>
      </w:r>
      <w:r w:rsidR="00A517EA">
        <w:rPr>
          <w:lang w:val="pt-PT" w:eastAsia="es-ES"/>
        </w:rPr>
        <w:t xml:space="preserve"> desnaturalizaría en virtud del deber que tiene de apegarse a los preceptos </w:t>
      </w:r>
      <w:r w:rsidR="0015031C">
        <w:rPr>
          <w:lang w:val="pt-PT" w:eastAsia="es-ES"/>
        </w:rPr>
        <w:t xml:space="preserve">consignados en la normativa. </w:t>
      </w:r>
    </w:p>
    <w:p w14:paraId="39DDFE56" w14:textId="791D41C3" w:rsidR="00220753" w:rsidRDefault="006E5EB2" w:rsidP="001C3D33">
      <w:pPr>
        <w:rPr>
          <w:lang w:val="pt-PT" w:eastAsia="es-ES"/>
        </w:rPr>
      </w:pPr>
      <w:r>
        <w:rPr>
          <w:lang w:val="pt-PT" w:eastAsia="es-ES"/>
        </w:rPr>
        <w:t xml:space="preserve">Un aspecto que debe ser destacado es la forma en que </w:t>
      </w:r>
      <w:r w:rsidR="00600505">
        <w:rPr>
          <w:lang w:val="pt-PT" w:eastAsia="es-ES"/>
        </w:rPr>
        <w:t xml:space="preserve">Remeseiro </w:t>
      </w:r>
      <w:sdt>
        <w:sdtPr>
          <w:rPr>
            <w:lang w:val="pt-PT" w:eastAsia="es-ES"/>
          </w:rPr>
          <w:id w:val="-1786959598"/>
          <w:citation/>
        </w:sdtPr>
        <w:sdtContent>
          <w:r w:rsidR="00600505">
            <w:rPr>
              <w:lang w:val="pt-PT" w:eastAsia="es-ES"/>
            </w:rPr>
            <w:fldChar w:fldCharType="begin"/>
          </w:r>
          <w:r w:rsidR="00600505">
            <w:rPr>
              <w:lang w:val="es-MX" w:eastAsia="es-ES"/>
            </w:rPr>
            <w:instrText xml:space="preserve">CITATION Rem25 \n  \t  \l 2058 </w:instrText>
          </w:r>
          <w:r w:rsidR="00600505">
            <w:rPr>
              <w:lang w:val="pt-PT" w:eastAsia="es-ES"/>
            </w:rPr>
            <w:fldChar w:fldCharType="separate"/>
          </w:r>
          <w:r w:rsidR="001A7B3C">
            <w:rPr>
              <w:noProof/>
              <w:lang w:val="es-MX" w:eastAsia="es-ES"/>
            </w:rPr>
            <w:t>(2025)</w:t>
          </w:r>
          <w:r w:rsidR="00600505">
            <w:rPr>
              <w:lang w:val="pt-PT" w:eastAsia="es-ES"/>
            </w:rPr>
            <w:fldChar w:fldCharType="end"/>
          </w:r>
        </w:sdtContent>
      </w:sdt>
      <w:r>
        <w:rPr>
          <w:lang w:val="pt-PT" w:eastAsia="es-ES"/>
        </w:rPr>
        <w:t xml:space="preserve">, expone que el notario </w:t>
      </w:r>
      <w:r w:rsidR="00BF676B">
        <w:rPr>
          <w:lang w:val="pt-PT" w:eastAsia="es-ES"/>
        </w:rPr>
        <w:t xml:space="preserve">es un funcionario de control de legalidad, esto por cuanto está </w:t>
      </w:r>
      <w:r w:rsidR="002C7B97">
        <w:rPr>
          <w:lang w:val="pt-PT" w:eastAsia="es-ES"/>
        </w:rPr>
        <w:t>investido</w:t>
      </w:r>
      <w:r w:rsidR="00BF676B">
        <w:rPr>
          <w:lang w:val="pt-PT" w:eastAsia="es-ES"/>
        </w:rPr>
        <w:t xml:space="preserve"> constitucional</w:t>
      </w:r>
      <w:r w:rsidR="002C7B97">
        <w:rPr>
          <w:lang w:val="pt-PT" w:eastAsia="es-ES"/>
        </w:rPr>
        <w:t xml:space="preserve"> y legalmente de supervisar</w:t>
      </w:r>
      <w:r w:rsidR="00333670">
        <w:rPr>
          <w:lang w:val="pt-PT" w:eastAsia="es-ES"/>
        </w:rPr>
        <w:t xml:space="preserve"> y controlar </w:t>
      </w:r>
      <w:r w:rsidR="008B454E">
        <w:rPr>
          <w:lang w:val="pt-PT" w:eastAsia="es-ES"/>
        </w:rPr>
        <w:t xml:space="preserve">que los negocios jurídicos que autoriza se establezcan de acuerdo con las condiciones debidas de ley. </w:t>
      </w:r>
      <w:r w:rsidR="00FB4D43">
        <w:rPr>
          <w:lang w:val="pt-PT" w:eastAsia="es-ES"/>
        </w:rPr>
        <w:t>Por lo tanto, le corresponde examinar cada uno de los detalles y las formas para favorecer las condiciones de l</w:t>
      </w:r>
      <w:r w:rsidR="00BC4B62">
        <w:rPr>
          <w:lang w:val="pt-PT" w:eastAsia="es-ES"/>
        </w:rPr>
        <w:t xml:space="preserve">os actos o contratos que se van a celebrar, al mismo tiempo que debe prevenir </w:t>
      </w:r>
      <w:r w:rsidR="0020748C">
        <w:rPr>
          <w:lang w:val="pt-PT" w:eastAsia="es-ES"/>
        </w:rPr>
        <w:t>la existencia de desperfectos o amenazas para las partes y la sociedad en general, de modo que estas puedan ser subsanadas</w:t>
      </w:r>
      <w:r w:rsidR="00FB1853">
        <w:rPr>
          <w:lang w:val="pt-PT" w:eastAsia="es-ES"/>
        </w:rPr>
        <w:t xml:space="preserve">. En términos más específicos, asume ese rol de garante en la debida aplicación de la norma </w:t>
      </w:r>
      <w:r w:rsidR="0020748C">
        <w:rPr>
          <w:lang w:val="pt-PT" w:eastAsia="es-ES"/>
        </w:rPr>
        <w:t xml:space="preserve">jurídica para advertir los riesgos y las consecuencias negativas en el ámbito jurídico. </w:t>
      </w:r>
    </w:p>
    <w:p w14:paraId="4F09EEE3" w14:textId="73D15054" w:rsidR="006D1304" w:rsidRPr="001C3D33" w:rsidRDefault="00F95B0A" w:rsidP="001C3D33">
      <w:pPr>
        <w:rPr>
          <w:lang w:val="pt-PT" w:eastAsia="es-ES"/>
        </w:rPr>
      </w:pPr>
      <w:r>
        <w:rPr>
          <w:lang w:val="pt-PT" w:eastAsia="es-ES"/>
        </w:rPr>
        <w:t xml:space="preserve">La </w:t>
      </w:r>
      <w:r w:rsidR="00900115">
        <w:rPr>
          <w:lang w:val="pt-PT" w:eastAsia="es-ES"/>
        </w:rPr>
        <w:t>revisión</w:t>
      </w:r>
      <w:r>
        <w:rPr>
          <w:lang w:val="pt-PT" w:eastAsia="es-ES"/>
        </w:rPr>
        <w:t xml:space="preserve"> doctrinal </w:t>
      </w:r>
      <w:r w:rsidR="00900115">
        <w:rPr>
          <w:lang w:val="pt-PT" w:eastAsia="es-ES"/>
        </w:rPr>
        <w:t xml:space="preserve">sugiere un vínculo intrínseco entre la legalidad y la seguridad jurídica, por lo que en el ámbito notarial, según lo </w:t>
      </w:r>
      <w:r w:rsidR="009920EA">
        <w:rPr>
          <w:lang w:val="pt-PT" w:eastAsia="es-ES"/>
        </w:rPr>
        <w:t xml:space="preserve">manifestado por </w:t>
      </w:r>
      <w:r w:rsidR="007962C5">
        <w:rPr>
          <w:lang w:val="pt-PT" w:eastAsia="es-ES"/>
        </w:rPr>
        <w:t xml:space="preserve">Mezquita del Cacho </w:t>
      </w:r>
      <w:sdt>
        <w:sdtPr>
          <w:rPr>
            <w:lang w:val="pt-PT" w:eastAsia="es-ES"/>
          </w:rPr>
          <w:id w:val="1913187371"/>
          <w:citation/>
        </w:sdtPr>
        <w:sdtContent>
          <w:r w:rsidR="00B503C4">
            <w:rPr>
              <w:lang w:val="pt-PT" w:eastAsia="es-ES"/>
            </w:rPr>
            <w:fldChar w:fldCharType="begin"/>
          </w:r>
          <w:r w:rsidR="00B503C4">
            <w:rPr>
              <w:lang w:val="es-MX" w:eastAsia="es-ES"/>
            </w:rPr>
            <w:instrText xml:space="preserve">CITATION Mez89 \n  \t  \l 2058 </w:instrText>
          </w:r>
          <w:r w:rsidR="00B503C4">
            <w:rPr>
              <w:lang w:val="pt-PT" w:eastAsia="es-ES"/>
            </w:rPr>
            <w:fldChar w:fldCharType="separate"/>
          </w:r>
          <w:r w:rsidR="001A7B3C">
            <w:rPr>
              <w:noProof/>
              <w:lang w:val="es-MX" w:eastAsia="es-ES"/>
            </w:rPr>
            <w:t>(1989)</w:t>
          </w:r>
          <w:r w:rsidR="00B503C4">
            <w:rPr>
              <w:lang w:val="pt-PT" w:eastAsia="es-ES"/>
            </w:rPr>
            <w:fldChar w:fldCharType="end"/>
          </w:r>
        </w:sdtContent>
      </w:sdt>
      <w:r w:rsidR="009920EA">
        <w:rPr>
          <w:lang w:val="pt-PT" w:eastAsia="es-ES"/>
        </w:rPr>
        <w:t xml:space="preserve">, en la medida </w:t>
      </w:r>
      <w:r w:rsidR="00A53101">
        <w:rPr>
          <w:lang w:val="pt-PT" w:eastAsia="es-ES"/>
        </w:rPr>
        <w:t xml:space="preserve">en </w:t>
      </w:r>
      <w:r w:rsidR="009920EA">
        <w:rPr>
          <w:lang w:val="pt-PT" w:eastAsia="es-ES"/>
        </w:rPr>
        <w:t xml:space="preserve">que un acto jurídico resulte seguro de acuerdo con la ley, </w:t>
      </w:r>
      <w:r w:rsidR="004177AC">
        <w:rPr>
          <w:lang w:val="pt-PT" w:eastAsia="es-ES"/>
        </w:rPr>
        <w:t xml:space="preserve">se está cumpliendo relativamente con la justicia, dado que este es uno de los elementos esenciales </w:t>
      </w:r>
      <w:r w:rsidR="0068232C">
        <w:rPr>
          <w:lang w:val="pt-PT" w:eastAsia="es-ES"/>
        </w:rPr>
        <w:t xml:space="preserve">de un orden jurídico seguro. A este argumento se añade </w:t>
      </w:r>
      <w:r w:rsidR="00A53101">
        <w:rPr>
          <w:lang w:val="pt-PT" w:eastAsia="es-ES"/>
        </w:rPr>
        <w:t xml:space="preserve">que la positivización del Derecho demanda del respeto a la ley y las formas que se </w:t>
      </w:r>
      <w:r w:rsidR="003F5763">
        <w:rPr>
          <w:lang w:val="pt-PT" w:eastAsia="es-ES"/>
        </w:rPr>
        <w:t xml:space="preserve">establecen en ella para tutelar los derechos que se puedan ver favorecidos por la protección de la norma jurídica. Este concepto </w:t>
      </w:r>
      <w:r w:rsidR="003F5763">
        <w:rPr>
          <w:lang w:val="pt-PT" w:eastAsia="es-ES"/>
        </w:rPr>
        <w:lastRenderedPageBreak/>
        <w:t xml:space="preserve">aplicado a la labor notarial </w:t>
      </w:r>
      <w:r w:rsidR="00224EA4">
        <w:rPr>
          <w:lang w:val="pt-PT" w:eastAsia="es-ES"/>
        </w:rPr>
        <w:t>implica que los notarios no solamente tienen que velar por el cumplimiento de la ley, sino que</w:t>
      </w:r>
      <w:r w:rsidR="00AE3579">
        <w:rPr>
          <w:lang w:val="pt-PT" w:eastAsia="es-ES"/>
        </w:rPr>
        <w:t>,</w:t>
      </w:r>
      <w:r w:rsidR="00224EA4">
        <w:rPr>
          <w:lang w:val="pt-PT" w:eastAsia="es-ES"/>
        </w:rPr>
        <w:t xml:space="preserve"> pr</w:t>
      </w:r>
      <w:r w:rsidR="00B52EDB">
        <w:rPr>
          <w:lang w:val="pt-PT" w:eastAsia="es-ES"/>
        </w:rPr>
        <w:t>oducto de ella, los actos o negocios jurídicos en sus diferentes formas no vulneren derechos</w:t>
      </w:r>
      <w:r w:rsidR="001F72CE">
        <w:rPr>
          <w:lang w:val="pt-PT" w:eastAsia="es-ES"/>
        </w:rPr>
        <w:t xml:space="preserve">, por lo que esta premisa se traslada al contexto de la aplicación de los procesos </w:t>
      </w:r>
      <w:r w:rsidR="00647598">
        <w:rPr>
          <w:lang w:val="pt-PT" w:eastAsia="es-ES"/>
        </w:rPr>
        <w:t xml:space="preserve">de digitalización de los servicios notariales de lo que se trata a lo largo de este artículo. </w:t>
      </w:r>
    </w:p>
    <w:p w14:paraId="6DF6323E" w14:textId="387D69A2" w:rsidR="00525E64" w:rsidRDefault="00D13910" w:rsidP="00525E64">
      <w:pPr>
        <w:pStyle w:val="Ttulo2"/>
        <w:numPr>
          <w:ilvl w:val="1"/>
          <w:numId w:val="46"/>
        </w:numPr>
        <w:tabs>
          <w:tab w:val="num" w:pos="360"/>
        </w:tabs>
        <w:ind w:left="360" w:hanging="360"/>
        <w:rPr>
          <w:lang w:val="pt-PT" w:eastAsia="es-ES"/>
        </w:rPr>
      </w:pPr>
      <w:r>
        <w:rPr>
          <w:lang w:val="pt-PT" w:eastAsia="es-ES"/>
        </w:rPr>
        <w:t>LA ADECUACIÓN DE LA LEGALIDAD DE L</w:t>
      </w:r>
      <w:r w:rsidR="001A7525">
        <w:rPr>
          <w:lang w:val="pt-PT" w:eastAsia="es-ES"/>
        </w:rPr>
        <w:t xml:space="preserve">AS ACTUACIONES NOTARIALES </w:t>
      </w:r>
      <w:r w:rsidR="00430C5A">
        <w:rPr>
          <w:lang w:val="pt-PT" w:eastAsia="es-ES"/>
        </w:rPr>
        <w:t>EN LA ERA DE LA DIGITALIZACIÓN</w:t>
      </w:r>
    </w:p>
    <w:p w14:paraId="424C49E1" w14:textId="57BFB6DF" w:rsidR="00525E64" w:rsidRDefault="00757979" w:rsidP="00AE3579">
      <w:pPr>
        <w:rPr>
          <w:lang w:val="pt-PT" w:eastAsia="es-ES"/>
        </w:rPr>
      </w:pPr>
      <w:r>
        <w:rPr>
          <w:lang w:val="pt-PT" w:eastAsia="es-ES"/>
        </w:rPr>
        <w:t xml:space="preserve">La incorporación de la tecnología evidentemente supone </w:t>
      </w:r>
      <w:r w:rsidR="007360DC">
        <w:rPr>
          <w:lang w:val="pt-PT" w:eastAsia="es-ES"/>
        </w:rPr>
        <w:t xml:space="preserve">una transformación de la actividad notarial, por lo que de acuerdo con </w:t>
      </w:r>
      <w:r w:rsidR="00776F8D">
        <w:rPr>
          <w:lang w:val="pt-PT" w:eastAsia="es-ES"/>
        </w:rPr>
        <w:t xml:space="preserve">Moncayo y Delgado </w:t>
      </w:r>
      <w:sdt>
        <w:sdtPr>
          <w:rPr>
            <w:lang w:val="pt-PT" w:eastAsia="es-ES"/>
          </w:rPr>
          <w:id w:val="1105307644"/>
          <w:citation/>
        </w:sdtPr>
        <w:sdtContent>
          <w:r w:rsidR="00776F8D">
            <w:rPr>
              <w:lang w:val="pt-PT" w:eastAsia="es-ES"/>
            </w:rPr>
            <w:fldChar w:fldCharType="begin"/>
          </w:r>
          <w:r w:rsidR="00263A5C">
            <w:rPr>
              <w:lang w:val="es-MX" w:eastAsia="es-ES"/>
            </w:rPr>
            <w:instrText xml:space="preserve">CITATION Mon261 \n  \t  \l 2058 </w:instrText>
          </w:r>
          <w:r w:rsidR="00776F8D">
            <w:rPr>
              <w:lang w:val="pt-PT" w:eastAsia="es-ES"/>
            </w:rPr>
            <w:fldChar w:fldCharType="separate"/>
          </w:r>
          <w:r w:rsidR="001A7B3C">
            <w:rPr>
              <w:noProof/>
              <w:lang w:val="es-MX" w:eastAsia="es-ES"/>
            </w:rPr>
            <w:t>(2026)</w:t>
          </w:r>
          <w:r w:rsidR="00776F8D">
            <w:rPr>
              <w:lang w:val="pt-PT" w:eastAsia="es-ES"/>
            </w:rPr>
            <w:fldChar w:fldCharType="end"/>
          </w:r>
        </w:sdtContent>
      </w:sdt>
      <w:r w:rsidR="007360DC">
        <w:rPr>
          <w:lang w:val="pt-PT" w:eastAsia="es-ES"/>
        </w:rPr>
        <w:t xml:space="preserve">, se produce una transición que comprende </w:t>
      </w:r>
      <w:r w:rsidR="00AC7778">
        <w:rPr>
          <w:lang w:val="pt-PT" w:eastAsia="es-ES"/>
        </w:rPr>
        <w:t xml:space="preserve">el paso de las documentaciones y diligencias físicas en soportes de papel y la </w:t>
      </w:r>
      <w:r w:rsidR="00746116">
        <w:rPr>
          <w:lang w:val="pt-PT" w:eastAsia="es-ES"/>
        </w:rPr>
        <w:t>verificación</w:t>
      </w:r>
      <w:r w:rsidR="00AC7778">
        <w:rPr>
          <w:lang w:val="pt-PT" w:eastAsia="es-ES"/>
        </w:rPr>
        <w:t xml:space="preserve"> directa del comportamiento de los otorgantes a elementos como la firma electrónica, los blockchain, certificados digitales, </w:t>
      </w:r>
      <w:r w:rsidR="00CE5508">
        <w:rPr>
          <w:lang w:val="pt-PT" w:eastAsia="es-ES"/>
        </w:rPr>
        <w:t xml:space="preserve">sistemas biométricos de verificación de datos y bases de datos documentales en línea. </w:t>
      </w:r>
      <w:r w:rsidR="00CB3B08">
        <w:rPr>
          <w:lang w:val="pt-PT" w:eastAsia="es-ES"/>
        </w:rPr>
        <w:t xml:space="preserve">Estos autores plantean una serie de interrogantes que se subsumen a </w:t>
      </w:r>
      <w:r w:rsidR="00DD1874">
        <w:rPr>
          <w:lang w:val="pt-PT" w:eastAsia="es-ES"/>
        </w:rPr>
        <w:t xml:space="preserve">la necesidad de tener la certeza de si los notarios pueden cumplir eficazmente con su rol tradicional de otorgar fe pública cuando la presencialidad </w:t>
      </w:r>
      <w:r w:rsidR="007F14DF">
        <w:rPr>
          <w:lang w:val="pt-PT" w:eastAsia="es-ES"/>
        </w:rPr>
        <w:t xml:space="preserve">y el soporte físico han sido su base, por lo que los entornos digitales y virtuales </w:t>
      </w:r>
      <w:r w:rsidR="00F04C0D">
        <w:rPr>
          <w:lang w:val="pt-PT" w:eastAsia="es-ES"/>
        </w:rPr>
        <w:t xml:space="preserve">no brindarían ese mismo grado de solemnidad. Más que todo, este cuestionamiento se levanta </w:t>
      </w:r>
      <w:r w:rsidR="00A85E86">
        <w:rPr>
          <w:lang w:val="pt-PT" w:eastAsia="es-ES"/>
        </w:rPr>
        <w:t xml:space="preserve">cuando se conoce lo cambiante de la tecnología y sin una base legal </w:t>
      </w:r>
      <w:r w:rsidR="00157792">
        <w:rPr>
          <w:lang w:val="pt-PT" w:eastAsia="es-ES"/>
        </w:rPr>
        <w:t>completamente definida que asegure la legalidad de los actos.</w:t>
      </w:r>
    </w:p>
    <w:p w14:paraId="56D2AE04" w14:textId="2DB3C1F6" w:rsidR="00776F8D" w:rsidRDefault="001816AA" w:rsidP="00AE3579">
      <w:pPr>
        <w:rPr>
          <w:lang w:val="pt-PT" w:eastAsia="es-ES"/>
        </w:rPr>
      </w:pPr>
      <w:r>
        <w:rPr>
          <w:lang w:val="pt-PT" w:eastAsia="es-ES"/>
        </w:rPr>
        <w:t xml:space="preserve">En cuanto al aporte dogmático de </w:t>
      </w:r>
      <w:r w:rsidR="00067503">
        <w:rPr>
          <w:lang w:val="pt-PT" w:eastAsia="es-ES"/>
        </w:rPr>
        <w:t xml:space="preserve">Belalcazar </w:t>
      </w:r>
      <w:sdt>
        <w:sdtPr>
          <w:rPr>
            <w:lang w:val="pt-PT" w:eastAsia="es-ES"/>
          </w:rPr>
          <w:id w:val="-1293593555"/>
          <w:citation/>
        </w:sdtPr>
        <w:sdtContent>
          <w:r w:rsidR="00067503">
            <w:rPr>
              <w:lang w:val="pt-PT" w:eastAsia="es-ES"/>
            </w:rPr>
            <w:fldChar w:fldCharType="begin"/>
          </w:r>
          <w:r w:rsidR="00067503">
            <w:rPr>
              <w:lang w:val="es-MX" w:eastAsia="es-ES"/>
            </w:rPr>
            <w:instrText xml:space="preserve">CITATION Bel26 \n  \t  \l 2058 </w:instrText>
          </w:r>
          <w:r w:rsidR="00067503">
            <w:rPr>
              <w:lang w:val="pt-PT" w:eastAsia="es-ES"/>
            </w:rPr>
            <w:fldChar w:fldCharType="separate"/>
          </w:r>
          <w:r w:rsidR="001A7B3C">
            <w:rPr>
              <w:noProof/>
              <w:lang w:val="es-MX" w:eastAsia="es-ES"/>
            </w:rPr>
            <w:t>(2026)</w:t>
          </w:r>
          <w:r w:rsidR="00067503">
            <w:rPr>
              <w:lang w:val="pt-PT" w:eastAsia="es-ES"/>
            </w:rPr>
            <w:fldChar w:fldCharType="end"/>
          </w:r>
        </w:sdtContent>
      </w:sdt>
      <w:r>
        <w:rPr>
          <w:lang w:val="pt-PT" w:eastAsia="es-ES"/>
        </w:rPr>
        <w:t xml:space="preserve">, se resalta que </w:t>
      </w:r>
      <w:r w:rsidR="004567E1">
        <w:rPr>
          <w:lang w:val="pt-PT" w:eastAsia="es-ES"/>
        </w:rPr>
        <w:t>la digitalización del servicio notarial es jurídicamente viable en tanto se preserve el núcleo esencial de la fe pública</w:t>
      </w:r>
      <w:r w:rsidR="00E0606E">
        <w:rPr>
          <w:lang w:val="pt-PT" w:eastAsia="es-ES"/>
        </w:rPr>
        <w:t xml:space="preserve">, así </w:t>
      </w:r>
      <w:r w:rsidR="00623F2D">
        <w:rPr>
          <w:lang w:val="pt-PT" w:eastAsia="es-ES"/>
        </w:rPr>
        <w:t>como</w:t>
      </w:r>
      <w:r w:rsidR="00E0606E">
        <w:rPr>
          <w:lang w:val="pt-PT" w:eastAsia="es-ES"/>
        </w:rPr>
        <w:t xml:space="preserve"> el control de la legalidad, para lo cual es necesaria la plena identificación de los otorgantes y la autenticidad del instrumento</w:t>
      </w:r>
      <w:r w:rsidR="00623F2D">
        <w:rPr>
          <w:lang w:val="pt-PT" w:eastAsia="es-ES"/>
        </w:rPr>
        <w:t xml:space="preserve">. Otro factor destacado por este autor fue que </w:t>
      </w:r>
      <w:r w:rsidR="0061623B">
        <w:rPr>
          <w:lang w:val="pt-PT" w:eastAsia="es-ES"/>
        </w:rPr>
        <w:t xml:space="preserve">la </w:t>
      </w:r>
      <w:r w:rsidR="006C761A">
        <w:rPr>
          <w:lang w:val="pt-PT" w:eastAsia="es-ES"/>
        </w:rPr>
        <w:t xml:space="preserve">equivalencia jurídica de la firma electrónica representa una condición necesaria, pero que por sí sola no </w:t>
      </w:r>
      <w:r w:rsidR="0061623B">
        <w:rPr>
          <w:lang w:val="pt-PT" w:eastAsia="es-ES"/>
        </w:rPr>
        <w:t xml:space="preserve">garantiza la seguridad jurídica del instrumento público digital. A este argumento, se añade en calidad de sustento de los riesgos que corre la información digital de acceso no consentido, manipulación o alteración de terceros, </w:t>
      </w:r>
      <w:r w:rsidR="0061623B">
        <w:rPr>
          <w:lang w:val="pt-PT" w:eastAsia="es-ES"/>
        </w:rPr>
        <w:lastRenderedPageBreak/>
        <w:t xml:space="preserve">por lo que los medios preventivos </w:t>
      </w:r>
      <w:r w:rsidR="00FA26E8">
        <w:rPr>
          <w:lang w:val="pt-PT" w:eastAsia="es-ES"/>
        </w:rPr>
        <w:t>aún</w:t>
      </w:r>
      <w:r w:rsidR="00762E79">
        <w:rPr>
          <w:lang w:val="pt-PT" w:eastAsia="es-ES"/>
        </w:rPr>
        <w:t xml:space="preserve"> </w:t>
      </w:r>
      <w:r w:rsidR="00666EE2">
        <w:rPr>
          <w:lang w:val="pt-PT" w:eastAsia="es-ES"/>
        </w:rPr>
        <w:t>demandan</w:t>
      </w:r>
      <w:r w:rsidR="00762E79">
        <w:rPr>
          <w:lang w:val="pt-PT" w:eastAsia="es-ES"/>
        </w:rPr>
        <w:t xml:space="preserve"> de mayor desarrollo legal, motivo por el cual los notarios enfrentan con incertidumbre cómo </w:t>
      </w:r>
      <w:r w:rsidR="00FA26E8">
        <w:rPr>
          <w:lang w:val="pt-PT" w:eastAsia="es-ES"/>
        </w:rPr>
        <w:t xml:space="preserve">asegurar dichas garantías cuando estos medios no están completamente desarrollados, más que todo en el caso ecuatoriano que no se cuenta con esa preparación en lo jurídico y en lo tecnológico. </w:t>
      </w:r>
    </w:p>
    <w:p w14:paraId="628AD9CF" w14:textId="73C54CB5" w:rsidR="00067503" w:rsidRDefault="0098640C" w:rsidP="00AE3579">
      <w:pPr>
        <w:rPr>
          <w:lang w:val="pt-PT" w:eastAsia="es-ES"/>
        </w:rPr>
      </w:pPr>
      <w:r>
        <w:rPr>
          <w:lang w:val="pt-PT" w:eastAsia="es-ES"/>
        </w:rPr>
        <w:t xml:space="preserve">Una situación que no se puede ignorar sobre la aplicación de la tecnología en los servicios notariales en Ecuador, y sobre la tutela de la legalidad de los actos jurídicos en este nuevo paradigma </w:t>
      </w:r>
      <w:r w:rsidR="003A16A1">
        <w:rPr>
          <w:lang w:val="pt-PT" w:eastAsia="es-ES"/>
        </w:rPr>
        <w:t xml:space="preserve">obedece a la realidad explicada por </w:t>
      </w:r>
      <w:r w:rsidR="00E1313A">
        <w:rPr>
          <w:lang w:val="pt-PT" w:eastAsia="es-ES"/>
        </w:rPr>
        <w:t xml:space="preserve">Segovia </w:t>
      </w:r>
      <w:sdt>
        <w:sdtPr>
          <w:rPr>
            <w:lang w:val="pt-PT" w:eastAsia="es-ES"/>
          </w:rPr>
          <w:id w:val="420145916"/>
          <w:citation/>
        </w:sdtPr>
        <w:sdtContent>
          <w:r w:rsidR="00E1313A">
            <w:rPr>
              <w:lang w:val="pt-PT" w:eastAsia="es-ES"/>
            </w:rPr>
            <w:fldChar w:fldCharType="begin"/>
          </w:r>
          <w:r w:rsidR="00E1313A">
            <w:rPr>
              <w:lang w:val="es-MX" w:eastAsia="es-ES"/>
            </w:rPr>
            <w:instrText xml:space="preserve">CITATION Seg25 \n  \t  \l 2058 </w:instrText>
          </w:r>
          <w:r w:rsidR="00E1313A">
            <w:rPr>
              <w:lang w:val="pt-PT" w:eastAsia="es-ES"/>
            </w:rPr>
            <w:fldChar w:fldCharType="separate"/>
          </w:r>
          <w:r w:rsidR="001A7B3C">
            <w:rPr>
              <w:noProof/>
              <w:lang w:val="es-MX" w:eastAsia="es-ES"/>
            </w:rPr>
            <w:t>(2025)</w:t>
          </w:r>
          <w:r w:rsidR="00E1313A">
            <w:rPr>
              <w:lang w:val="pt-PT" w:eastAsia="es-ES"/>
            </w:rPr>
            <w:fldChar w:fldCharType="end"/>
          </w:r>
        </w:sdtContent>
      </w:sdt>
      <w:r w:rsidR="003A16A1">
        <w:rPr>
          <w:lang w:val="pt-PT" w:eastAsia="es-ES"/>
        </w:rPr>
        <w:t xml:space="preserve">, al sostener que la implementación de servicios notariales digitales en América Latina </w:t>
      </w:r>
      <w:r w:rsidR="00B37319">
        <w:rPr>
          <w:lang w:val="pt-PT" w:eastAsia="es-ES"/>
        </w:rPr>
        <w:t xml:space="preserve">debe enfrentar </w:t>
      </w:r>
      <w:r w:rsidR="00D85720">
        <w:rPr>
          <w:lang w:val="pt-PT" w:eastAsia="es-ES"/>
        </w:rPr>
        <w:t>desafíos</w:t>
      </w:r>
      <w:r w:rsidR="00B37319">
        <w:rPr>
          <w:lang w:val="pt-PT" w:eastAsia="es-ES"/>
        </w:rPr>
        <w:t xml:space="preserve"> tanto complejos como significativos, tales como la brecha digital, la falta de infraestructura en zonas rurales</w:t>
      </w:r>
      <w:r w:rsidR="00D85720">
        <w:rPr>
          <w:lang w:val="pt-PT" w:eastAsia="es-ES"/>
        </w:rPr>
        <w:t xml:space="preserve">. A esto se añade que </w:t>
      </w:r>
      <w:r w:rsidR="004A6AE6">
        <w:rPr>
          <w:lang w:val="pt-PT" w:eastAsia="es-ES"/>
        </w:rPr>
        <w:t xml:space="preserve">en </w:t>
      </w:r>
      <w:r w:rsidR="00D85720">
        <w:rPr>
          <w:lang w:val="pt-PT" w:eastAsia="es-ES"/>
        </w:rPr>
        <w:t>el Ecuador la adopción de plataformas digitales ha sido desigual</w:t>
      </w:r>
      <w:r w:rsidR="00A16A59">
        <w:rPr>
          <w:lang w:val="pt-PT" w:eastAsia="es-ES"/>
        </w:rPr>
        <w:t>, con avances en las ciudades más grandes, pero sin esa misma oportunidad de implementación y ejecución en sectores urbanos y rurales con menor desarrollo</w:t>
      </w:r>
      <w:r w:rsidR="004A6AE6">
        <w:rPr>
          <w:lang w:val="pt-PT" w:eastAsia="es-ES"/>
        </w:rPr>
        <w:t xml:space="preserve">. Por lo tanto, el problema que se presenta no solo </w:t>
      </w:r>
      <w:r w:rsidR="005A157A">
        <w:rPr>
          <w:lang w:val="pt-PT" w:eastAsia="es-ES"/>
        </w:rPr>
        <w:t xml:space="preserve">trata de incorporar la tecnología para la digitalización del servicio notarial, sino </w:t>
      </w:r>
      <w:r w:rsidR="00EA79C3">
        <w:rPr>
          <w:lang w:val="pt-PT" w:eastAsia="es-ES"/>
        </w:rPr>
        <w:t>que evidentemente se requiere del respaldo de políticas públicas</w:t>
      </w:r>
      <w:r w:rsidR="00A468E3">
        <w:rPr>
          <w:lang w:val="pt-PT" w:eastAsia="es-ES"/>
        </w:rPr>
        <w:t>,</w:t>
      </w:r>
      <w:r w:rsidR="00EA79C3">
        <w:rPr>
          <w:lang w:val="pt-PT" w:eastAsia="es-ES"/>
        </w:rPr>
        <w:t xml:space="preserve"> entre otros elementos normativos</w:t>
      </w:r>
      <w:r w:rsidR="00A468E3">
        <w:rPr>
          <w:lang w:val="pt-PT" w:eastAsia="es-ES"/>
        </w:rPr>
        <w:t>,</w:t>
      </w:r>
      <w:r w:rsidR="00EA79C3">
        <w:rPr>
          <w:lang w:val="pt-PT" w:eastAsia="es-ES"/>
        </w:rPr>
        <w:t xml:space="preserve"> que fomenten la inclusión digital, así como el acceso equitativo al empleo de los medios tecnológicos tanto para los notarios como </w:t>
      </w:r>
      <w:r w:rsidR="00A468E3">
        <w:rPr>
          <w:lang w:val="pt-PT" w:eastAsia="es-ES"/>
        </w:rPr>
        <w:t xml:space="preserve">para los </w:t>
      </w:r>
      <w:r w:rsidR="00EA79C3">
        <w:rPr>
          <w:lang w:val="pt-PT" w:eastAsia="es-ES"/>
        </w:rPr>
        <w:t xml:space="preserve">usuarios. </w:t>
      </w:r>
    </w:p>
    <w:p w14:paraId="65BA6F4B" w14:textId="1B4404F1" w:rsidR="00A92BB0" w:rsidRPr="00AE3579" w:rsidRDefault="00C4379C" w:rsidP="00AE3579">
      <w:pPr>
        <w:rPr>
          <w:lang w:val="pt-PT" w:eastAsia="es-ES"/>
        </w:rPr>
      </w:pPr>
      <w:r>
        <w:rPr>
          <w:lang w:val="pt-PT" w:eastAsia="es-ES"/>
        </w:rPr>
        <w:t>En lo concerniente a</w:t>
      </w:r>
      <w:r w:rsidR="0042701D">
        <w:rPr>
          <w:lang w:val="pt-PT" w:eastAsia="es-ES"/>
        </w:rPr>
        <w:t xml:space="preserve"> la forma en que se deben llevar a cabo las prácticas de la digitalización de los actos notariales, por parte de Castillo et al. </w:t>
      </w:r>
      <w:sdt>
        <w:sdtPr>
          <w:rPr>
            <w:lang w:val="pt-PT" w:eastAsia="es-ES"/>
          </w:rPr>
          <w:id w:val="1287005866"/>
          <w:citation/>
        </w:sdtPr>
        <w:sdtContent>
          <w:r w:rsidR="00B87AD3">
            <w:rPr>
              <w:lang w:val="pt-PT" w:eastAsia="es-ES"/>
            </w:rPr>
            <w:fldChar w:fldCharType="begin"/>
          </w:r>
          <w:r w:rsidR="00B87AD3">
            <w:rPr>
              <w:lang w:val="es-MX" w:eastAsia="es-ES"/>
            </w:rPr>
            <w:instrText xml:space="preserve">CITATION Cas253 \n  \t  \l 2058 </w:instrText>
          </w:r>
          <w:r w:rsidR="00B87AD3">
            <w:rPr>
              <w:lang w:val="pt-PT" w:eastAsia="es-ES"/>
            </w:rPr>
            <w:fldChar w:fldCharType="separate"/>
          </w:r>
          <w:r w:rsidR="001A7B3C">
            <w:rPr>
              <w:noProof/>
              <w:lang w:val="es-MX" w:eastAsia="es-ES"/>
            </w:rPr>
            <w:t>(2025)</w:t>
          </w:r>
          <w:r w:rsidR="00B87AD3">
            <w:rPr>
              <w:lang w:val="pt-PT" w:eastAsia="es-ES"/>
            </w:rPr>
            <w:fldChar w:fldCharType="end"/>
          </w:r>
        </w:sdtContent>
      </w:sdt>
      <w:r w:rsidR="0042701D">
        <w:rPr>
          <w:lang w:val="pt-PT" w:eastAsia="es-ES"/>
        </w:rPr>
        <w:t>, se resalta</w:t>
      </w:r>
      <w:r w:rsidR="00842AB1">
        <w:rPr>
          <w:lang w:val="pt-PT" w:eastAsia="es-ES"/>
        </w:rPr>
        <w:t xml:space="preserve">n los postulados de la hermenéutica notarial, más que todo en lo concerniente a la </w:t>
      </w:r>
      <w:r w:rsidR="005D5A92">
        <w:rPr>
          <w:lang w:val="pt-PT" w:eastAsia="es-ES"/>
        </w:rPr>
        <w:t xml:space="preserve">cadena de autenticidad que se inicia en la oficina notarial, la que debe preservarse </w:t>
      </w:r>
      <w:r w:rsidR="002C5B18">
        <w:rPr>
          <w:lang w:val="pt-PT" w:eastAsia="es-ES"/>
        </w:rPr>
        <w:t xml:space="preserve">ininterrumpidamente hasta la inscripción registral. Para una debida implementación se </w:t>
      </w:r>
      <w:r w:rsidR="00B24B70">
        <w:rPr>
          <w:lang w:val="pt-PT" w:eastAsia="es-ES"/>
        </w:rPr>
        <w:t>demanda la práctica de una transmisión segura de datos, así como la existencia de plataformas interoperables y mecanismos de v</w:t>
      </w:r>
      <w:r w:rsidR="00D97C35">
        <w:rPr>
          <w:lang w:val="pt-PT" w:eastAsia="es-ES"/>
        </w:rPr>
        <w:t xml:space="preserve">erificación autorizada. Igualmente, se apunta que cualquier tipo de ruptura de esta cadena </w:t>
      </w:r>
      <w:r w:rsidR="009363BB">
        <w:rPr>
          <w:lang w:val="pt-PT" w:eastAsia="es-ES"/>
        </w:rPr>
        <w:t xml:space="preserve">compromete el derecho de oponibilidad del acto ante terceros, por lo que se debilita la </w:t>
      </w:r>
      <w:r w:rsidR="00447772">
        <w:rPr>
          <w:lang w:val="pt-PT" w:eastAsia="es-ES"/>
        </w:rPr>
        <w:t xml:space="preserve">transparencia y autenticidad del registro, lo que podría desembocar en conflictos en la defensa de la titularidad de derechos, motivo por el cual los protocolos tecnológicos notariales tienen que estar debidamente reglados. </w:t>
      </w:r>
    </w:p>
    <w:p w14:paraId="4EBBFB38" w14:textId="5F316525" w:rsidR="000E7C4F" w:rsidRDefault="000E7C4F" w:rsidP="000E7C4F">
      <w:pPr>
        <w:pStyle w:val="Ttulo1"/>
        <w:numPr>
          <w:ilvl w:val="0"/>
          <w:numId w:val="45"/>
        </w:numPr>
        <w:tabs>
          <w:tab w:val="num" w:pos="360"/>
        </w:tabs>
        <w:ind w:left="0" w:firstLine="0"/>
        <w:jc w:val="both"/>
        <w:rPr>
          <w:rFonts w:cs="Times New Roman"/>
          <w:color w:val="000000" w:themeColor="text1"/>
          <w:szCs w:val="24"/>
        </w:rPr>
      </w:pPr>
      <w:r>
        <w:rPr>
          <w:rFonts w:cs="Times New Roman"/>
          <w:color w:val="000000" w:themeColor="text1"/>
          <w:szCs w:val="24"/>
        </w:rPr>
        <w:lastRenderedPageBreak/>
        <w:t xml:space="preserve">EL PRINCipio de seguridad jurídica </w:t>
      </w:r>
      <w:r w:rsidR="00147F42">
        <w:rPr>
          <w:rFonts w:cs="Times New Roman"/>
          <w:color w:val="000000" w:themeColor="text1"/>
          <w:szCs w:val="24"/>
        </w:rPr>
        <w:t>EN EL ÁMBITO NOTARIAL</w:t>
      </w:r>
      <w:r w:rsidRPr="00F724BA">
        <w:rPr>
          <w:rFonts w:cs="Times New Roman"/>
          <w:color w:val="000000" w:themeColor="text1"/>
          <w:szCs w:val="24"/>
        </w:rPr>
        <w:t xml:space="preserve">. </w:t>
      </w:r>
    </w:p>
    <w:p w14:paraId="786328F5" w14:textId="0FD330CF" w:rsidR="00B87AD3" w:rsidRDefault="00085DDD" w:rsidP="00B87AD3">
      <w:r>
        <w:t xml:space="preserve">Un primer punto por destacar es que la seguridad jurídica es un principio de carácter </w:t>
      </w:r>
      <w:r w:rsidR="003D6FB2">
        <w:t>fundamental</w:t>
      </w:r>
      <w:r w:rsidR="00535CEB">
        <w:t xml:space="preserve">, el cual es </w:t>
      </w:r>
      <w:r w:rsidR="00746116">
        <w:t>contemplado</w:t>
      </w:r>
      <w:r w:rsidR="00535CEB">
        <w:t xml:space="preserve"> por los distintos ordenamientos jurídicos dentro de sus respectivas configuraciones, por lo que en el caso ecuatoriano </w:t>
      </w:r>
      <w:r w:rsidR="00C40D43">
        <w:t xml:space="preserve">tiene sus propias pautas para garantizar su cumplimiento, lo cual es fundamentado a lo largo de este capítulo. </w:t>
      </w:r>
      <w:r w:rsidR="007D5EB8">
        <w:t xml:space="preserve">Para tener una adecuada comprensión de su contenido e importancia, se parte de revisar lo establecido en el artículo 82 de la Constitución de la República del Ecuador (CRE), el cual en su parte pertinente </w:t>
      </w:r>
      <w:r w:rsidR="00AC7E14">
        <w:t>manifiesta</w:t>
      </w:r>
      <w:r w:rsidR="007D5EB8">
        <w:t xml:space="preserve"> que e</w:t>
      </w:r>
      <w:r w:rsidR="00B81FDA">
        <w:t>ste derecho tiene como pilar fundamental el respeto por la norma cons</w:t>
      </w:r>
      <w:r w:rsidR="00512F71">
        <w:t>titucional, así como en normas jurídicas previas, las que deben ser claras, así como públicas y aplicadas por autoridades competentes</w:t>
      </w:r>
      <w:r w:rsidR="00F60ABE">
        <w:t xml:space="preserve"> </w:t>
      </w:r>
      <w:sdt>
        <w:sdtPr>
          <w:id w:val="1001090339"/>
          <w:citation/>
        </w:sdtPr>
        <w:sdtContent>
          <w:r w:rsidR="00F60ABE">
            <w:fldChar w:fldCharType="begin"/>
          </w:r>
          <w:r w:rsidR="001A7B3C">
            <w:rPr>
              <w:lang w:val="es-MX"/>
            </w:rPr>
            <w:instrText xml:space="preserve">CITATION Con2446 \l 2058 </w:instrText>
          </w:r>
          <w:r w:rsidR="00F60ABE">
            <w:fldChar w:fldCharType="separate"/>
          </w:r>
          <w:r w:rsidR="001A7B3C">
            <w:rPr>
              <w:noProof/>
              <w:lang w:val="es-MX"/>
            </w:rPr>
            <w:t>(Constitución de la República del Ecuador, 2008, actualizada en el Tercer Suplemento del Registro Oficial 568, de 30 de mayo de 2024)</w:t>
          </w:r>
          <w:r w:rsidR="00F60ABE">
            <w:fldChar w:fldCharType="end"/>
          </w:r>
        </w:sdtContent>
      </w:sdt>
      <w:r w:rsidR="00512F71">
        <w:t xml:space="preserve">. </w:t>
      </w:r>
      <w:r w:rsidR="000124EF">
        <w:t xml:space="preserve">Ciertamente, se trata de un mandato de rango constitucional que no </w:t>
      </w:r>
      <w:r w:rsidR="00C254E8">
        <w:t xml:space="preserve">puede pasar inadvertido en ningún ámbito de las relaciones jurídicas, entre estas las que se tutelan en la vía o sede notarial. </w:t>
      </w:r>
    </w:p>
    <w:p w14:paraId="1F6B4739" w14:textId="1A0635D6" w:rsidR="000B4ACA" w:rsidRDefault="001C06B9" w:rsidP="00B87AD3">
      <w:r>
        <w:t>En virtud de normas claras</w:t>
      </w:r>
      <w:r w:rsidR="00FD257D">
        <w:t xml:space="preserve"> y públicas, así como en el carácter preexistente, se revisa lo dispuesto en la Ley Notarial, </w:t>
      </w:r>
      <w:r w:rsidR="00784BCA">
        <w:t>entre las principales obligaciones que deberá cumplir está la relacionada con la constatación de los requisitos de capacidad, libertad y conocimiento de las obligaciones que son asumidas por los contratantes, tal como se fija en el artículo 27 numerales 1, 2 y 3 respectivamente de esta norma jurídica</w:t>
      </w:r>
      <w:r w:rsidR="0080499F">
        <w:t xml:space="preserve"> </w:t>
      </w:r>
      <w:sdt>
        <w:sdtPr>
          <w:id w:val="-99259857"/>
          <w:citation/>
        </w:sdtPr>
        <w:sdtContent>
          <w:r w:rsidR="0080499F">
            <w:fldChar w:fldCharType="begin"/>
          </w:r>
          <w:r w:rsidR="0080499F">
            <w:rPr>
              <w:lang w:val="es-MX"/>
            </w:rPr>
            <w:instrText xml:space="preserve"> CITATION Ley205 \l 2058 </w:instrText>
          </w:r>
          <w:r w:rsidR="0080499F">
            <w:fldChar w:fldCharType="separate"/>
          </w:r>
          <w:r w:rsidR="001A7B3C">
            <w:rPr>
              <w:noProof/>
              <w:lang w:val="es-MX"/>
            </w:rPr>
            <w:t>(Ley Notarial, 1966, actualizado 08 de diciembre de 2020)</w:t>
          </w:r>
          <w:r w:rsidR="0080499F">
            <w:fldChar w:fldCharType="end"/>
          </w:r>
        </w:sdtContent>
      </w:sdt>
      <w:r w:rsidR="00784BCA">
        <w:t>. En efecto</w:t>
      </w:r>
      <w:r w:rsidR="00BE3E80">
        <w:t>, este art</w:t>
      </w:r>
      <w:r w:rsidR="00C2469B">
        <w:t xml:space="preserve">ículo </w:t>
      </w:r>
      <w:r w:rsidR="00526DD4">
        <w:t>muestra</w:t>
      </w:r>
      <w:r w:rsidR="00C2469B">
        <w:t xml:space="preserve"> que los notarios tienen que constatar estos elementos habilitantes para la redacción de una escritura pública </w:t>
      </w:r>
      <w:r w:rsidR="00BB1607">
        <w:t xml:space="preserve">donde se manifiesta la voluntad de los contrayentes para efectuar un determinado acto o negocio jurídico, lo </w:t>
      </w:r>
      <w:r w:rsidR="0013288D">
        <w:t xml:space="preserve">cual constituye un requisito </w:t>
      </w:r>
      <w:r w:rsidR="0013288D">
        <w:rPr>
          <w:i/>
          <w:iCs/>
        </w:rPr>
        <w:t>sine qua non</w:t>
      </w:r>
      <w:r w:rsidR="0013288D">
        <w:t xml:space="preserve"> para la prestación de la fe pública. </w:t>
      </w:r>
      <w:r w:rsidR="005C3BA5">
        <w:t xml:space="preserve">Lógicamente, </w:t>
      </w:r>
      <w:r w:rsidR="00972869">
        <w:t>la l</w:t>
      </w:r>
      <w:r w:rsidR="00E476F0">
        <w:t xml:space="preserve">abor notarial no es discrecional, guarda sujeción a pautas predefinidas en las normas jurídicas como parte de un orden </w:t>
      </w:r>
      <w:r w:rsidR="00470099">
        <w:t>propio de un Estado de Derecho que se rige bajo el imperio de la CRE y las leyes.</w:t>
      </w:r>
    </w:p>
    <w:p w14:paraId="45C22CC0" w14:textId="150CD71B" w:rsidR="001C06B9" w:rsidRDefault="0013288D" w:rsidP="00B87AD3">
      <w:r>
        <w:lastRenderedPageBreak/>
        <w:t xml:space="preserve">Sin embargo, </w:t>
      </w:r>
      <w:r w:rsidR="002B0DED">
        <w:t xml:space="preserve">a nivel de la digitalización de los servicios notariales, esta normativa y las referidas condiciones </w:t>
      </w:r>
      <w:r w:rsidR="002A5BCD">
        <w:t>dependen</w:t>
      </w:r>
      <w:r w:rsidR="002B0DED">
        <w:t xml:space="preserve"> de una actualización para un cumplimiento eficiente, de manera que la misma no se realice de forma provisoria, sino reglada </w:t>
      </w:r>
      <w:r w:rsidR="00A02EA4">
        <w:t>de acuerdo con el</w:t>
      </w:r>
      <w:r w:rsidR="002B0DED">
        <w:t xml:space="preserve"> mandato de la seguridad jurídica. </w:t>
      </w:r>
      <w:r w:rsidR="001870FF">
        <w:t xml:space="preserve">En tal virtud, </w:t>
      </w:r>
      <w:r w:rsidR="0065476B">
        <w:t>se sugiere una regulación prevista dentro de leyes especializadas para el efecto, para así contar con directrices mejor articuladas para el servicio notarial a nivel digital</w:t>
      </w:r>
      <w:r w:rsidR="0032099D">
        <w:t xml:space="preserve">, por cuanto el contenido de la Resolución 001-2021 </w:t>
      </w:r>
      <w:r w:rsidR="0008564A">
        <w:t xml:space="preserve">y la 305-2022 no </w:t>
      </w:r>
      <w:r w:rsidR="00E06478">
        <w:t>es suficiente porque no refiere</w:t>
      </w:r>
      <w:r w:rsidR="007174AC">
        <w:t xml:space="preserve"> expresamente a cada uno de los actos jurídicos y sus respectivas formas de protocolización, quedando únicamente en pautas generales</w:t>
      </w:r>
      <w:r w:rsidR="00AA370C">
        <w:t xml:space="preserve"> </w:t>
      </w:r>
      <w:r w:rsidR="00867000">
        <w:rPr>
          <w:noProof/>
          <w:lang w:val="es-MX"/>
        </w:rPr>
        <w:t>(Resolución 001-2021 del Consejo de la Judicatura, 2021, Resolución 305-2022 del Consejo de la Judicatura, 2022)</w:t>
      </w:r>
      <w:r w:rsidR="00867000">
        <w:t xml:space="preserve">. </w:t>
      </w:r>
      <w:r w:rsidR="0057263A">
        <w:t xml:space="preserve">En vista de </w:t>
      </w:r>
      <w:r w:rsidR="00864F84">
        <w:t xml:space="preserve">que el Derecho Notarial en Ecuador requiere más actualización en el empleo de herramientas tecnológicas, mayor relevancia adquiere </w:t>
      </w:r>
      <w:r w:rsidR="0094481F">
        <w:t xml:space="preserve">que esta se respalde en el principio de seguridad jurídica. </w:t>
      </w:r>
    </w:p>
    <w:p w14:paraId="282F614B" w14:textId="1646B078" w:rsidR="003E2B23" w:rsidRDefault="00EB2C66" w:rsidP="00B87AD3">
      <w:r>
        <w:t xml:space="preserve">CONSULTAR </w:t>
      </w:r>
      <w:r w:rsidRPr="00EB2C66">
        <w:t>DESAFÍOS Y REFORMAS DEL ACTO NOTARIAL EN EL DERECHO CIVIL</w:t>
      </w:r>
    </w:p>
    <w:p w14:paraId="5DED776A" w14:textId="587870D7" w:rsidR="007B09D1" w:rsidRDefault="00FB5561" w:rsidP="007B09D1">
      <w:pPr>
        <w:pStyle w:val="Ttulo2"/>
        <w:rPr>
          <w:lang w:val="pt-PT" w:eastAsia="es-ES"/>
        </w:rPr>
      </w:pPr>
      <w:r>
        <w:rPr>
          <w:lang w:val="pt-PT" w:eastAsia="es-ES"/>
        </w:rPr>
        <w:t xml:space="preserve">2.1 EL PRINCIPIO DE SEGURIDAD JURÍDICA </w:t>
      </w:r>
      <w:r w:rsidR="006771F7">
        <w:rPr>
          <w:lang w:val="pt-PT" w:eastAsia="es-ES"/>
        </w:rPr>
        <w:t>EN LA APLICACIÓN DE LA LEY</w:t>
      </w:r>
    </w:p>
    <w:p w14:paraId="4FCFAD69" w14:textId="65B494F5" w:rsidR="006754C0" w:rsidRDefault="006754C0" w:rsidP="006754C0">
      <w:pPr>
        <w:rPr>
          <w:lang w:val="pt-PT" w:eastAsia="es-ES"/>
        </w:rPr>
      </w:pPr>
      <w:r>
        <w:rPr>
          <w:lang w:val="pt-PT" w:eastAsia="es-ES"/>
        </w:rPr>
        <w:t>Al revisar lo que la doctrina establece en relación con la seguridad jurídica</w:t>
      </w:r>
      <w:r w:rsidR="00FD51FF">
        <w:rPr>
          <w:lang w:val="pt-PT" w:eastAsia="es-ES"/>
        </w:rPr>
        <w:t xml:space="preserve">, se destaca que según </w:t>
      </w:r>
      <w:r w:rsidR="00956F52">
        <w:rPr>
          <w:lang w:val="pt-PT" w:eastAsia="es-ES"/>
        </w:rPr>
        <w:t xml:space="preserve">Vargas </w:t>
      </w:r>
      <w:sdt>
        <w:sdtPr>
          <w:rPr>
            <w:lang w:val="pt-PT" w:eastAsia="es-ES"/>
          </w:rPr>
          <w:id w:val="770208346"/>
          <w:citation/>
        </w:sdtPr>
        <w:sdtContent>
          <w:r w:rsidR="00956F52">
            <w:rPr>
              <w:lang w:val="pt-PT" w:eastAsia="es-ES"/>
            </w:rPr>
            <w:fldChar w:fldCharType="begin"/>
          </w:r>
          <w:r w:rsidR="00956F52">
            <w:rPr>
              <w:lang w:val="es-MX" w:eastAsia="es-ES"/>
            </w:rPr>
            <w:instrText xml:space="preserve">CITATION Var231 \n  \t  \l 2058 </w:instrText>
          </w:r>
          <w:r w:rsidR="00956F52">
            <w:rPr>
              <w:lang w:val="pt-PT" w:eastAsia="es-ES"/>
            </w:rPr>
            <w:fldChar w:fldCharType="separate"/>
          </w:r>
          <w:r w:rsidR="001A7B3C">
            <w:rPr>
              <w:noProof/>
              <w:lang w:val="es-MX" w:eastAsia="es-ES"/>
            </w:rPr>
            <w:t>(2023)</w:t>
          </w:r>
          <w:r w:rsidR="00956F52">
            <w:rPr>
              <w:lang w:val="pt-PT" w:eastAsia="es-ES"/>
            </w:rPr>
            <w:fldChar w:fldCharType="end"/>
          </w:r>
        </w:sdtContent>
      </w:sdt>
      <w:r w:rsidR="00FD51FF">
        <w:rPr>
          <w:lang w:val="pt-PT" w:eastAsia="es-ES"/>
        </w:rPr>
        <w:t xml:space="preserve">, su estudio encuentra </w:t>
      </w:r>
      <w:r w:rsidR="00976607">
        <w:rPr>
          <w:lang w:val="pt-PT" w:eastAsia="es-ES"/>
        </w:rPr>
        <w:t xml:space="preserve">significados polisémicos, es decir, que se refiere a varias interpretaciones relacionadas </w:t>
      </w:r>
      <w:r w:rsidR="001C4E1F">
        <w:rPr>
          <w:lang w:val="pt-PT" w:eastAsia="es-ES"/>
        </w:rPr>
        <w:t>con su propósito, alcances y sentidos, pues este principio conlleva fines diversos.</w:t>
      </w:r>
      <w:r w:rsidR="00DA04DF">
        <w:rPr>
          <w:lang w:val="pt-PT" w:eastAsia="es-ES"/>
        </w:rPr>
        <w:t xml:space="preserve"> Aunque, de su parte se prevé que se trata </w:t>
      </w:r>
      <w:r w:rsidR="008B152B">
        <w:rPr>
          <w:lang w:val="pt-PT" w:eastAsia="es-ES"/>
        </w:rPr>
        <w:t xml:space="preserve">de un orden, previsión y protección al ordenamiento jurídico a través de la normativa que le integra. </w:t>
      </w:r>
      <w:r w:rsidR="003271B7">
        <w:rPr>
          <w:lang w:val="pt-PT" w:eastAsia="es-ES"/>
        </w:rPr>
        <w:t xml:space="preserve">Ciertamente, las normas jurídicas </w:t>
      </w:r>
      <w:r w:rsidR="00CE795C">
        <w:rPr>
          <w:lang w:val="pt-PT" w:eastAsia="es-ES"/>
        </w:rPr>
        <w:t xml:space="preserve">no son una declaración de mandatos con fuerza vinculante </w:t>
      </w:r>
      <w:r w:rsidR="005157EE">
        <w:rPr>
          <w:lang w:val="pt-PT" w:eastAsia="es-ES"/>
        </w:rPr>
        <w:t xml:space="preserve">sin antes ser un producto legitimado por la expresión del legislador como un resultado de la voluntad popular que se legitima a través de </w:t>
      </w:r>
      <w:r w:rsidR="00757686">
        <w:rPr>
          <w:lang w:val="pt-PT" w:eastAsia="es-ES"/>
        </w:rPr>
        <w:t xml:space="preserve">su divulgación y conocimiento en el territorio y </w:t>
      </w:r>
      <w:r w:rsidR="00C633B7">
        <w:rPr>
          <w:lang w:val="pt-PT" w:eastAsia="es-ES"/>
        </w:rPr>
        <w:t>en</w:t>
      </w:r>
      <w:r w:rsidR="00757686">
        <w:rPr>
          <w:lang w:val="pt-PT" w:eastAsia="es-ES"/>
        </w:rPr>
        <w:t xml:space="preserve"> la sociedad en la que habrá de regir.</w:t>
      </w:r>
    </w:p>
    <w:p w14:paraId="19FE9C2A" w14:textId="29C9F3B2" w:rsidR="00956F52" w:rsidRDefault="00A83829" w:rsidP="006754C0">
      <w:pPr>
        <w:rPr>
          <w:lang w:val="pt-PT" w:eastAsia="es-ES"/>
        </w:rPr>
      </w:pPr>
      <w:r>
        <w:rPr>
          <w:lang w:val="pt-PT" w:eastAsia="es-ES"/>
        </w:rPr>
        <w:t xml:space="preserve">Se revisó con anterioridad lo que </w:t>
      </w:r>
      <w:r w:rsidR="00C633B7">
        <w:rPr>
          <w:lang w:val="pt-PT" w:eastAsia="es-ES"/>
        </w:rPr>
        <w:t xml:space="preserve">señaló la CRE en su artículo 82 sobre la seguridad jurídica, resaltándose que se trata de la claridad </w:t>
      </w:r>
      <w:r w:rsidR="000C2F78">
        <w:rPr>
          <w:lang w:val="pt-PT" w:eastAsia="es-ES"/>
        </w:rPr>
        <w:t>de las normas jurídicas con un criterio jurídico de conoc</w:t>
      </w:r>
      <w:r w:rsidR="00224762">
        <w:rPr>
          <w:lang w:val="pt-PT" w:eastAsia="es-ES"/>
        </w:rPr>
        <w:t xml:space="preserve">imiento previo y con </w:t>
      </w:r>
      <w:r w:rsidR="00224762">
        <w:rPr>
          <w:lang w:val="pt-PT" w:eastAsia="es-ES"/>
        </w:rPr>
        <w:lastRenderedPageBreak/>
        <w:t xml:space="preserve">dominio público. No obstante, tal concepción se amplifica </w:t>
      </w:r>
      <w:r w:rsidR="00B0693B">
        <w:rPr>
          <w:lang w:val="pt-PT" w:eastAsia="es-ES"/>
        </w:rPr>
        <w:t xml:space="preserve">al recurrir a la interpretación de la jurisprudencia de la Corte Constitucional del Ecuador, la que al respecto </w:t>
      </w:r>
      <w:r w:rsidR="00BD34AD">
        <w:rPr>
          <w:lang w:val="pt-PT" w:eastAsia="es-ES"/>
        </w:rPr>
        <w:t xml:space="preserve">dentro de la Sentencia N° 127-12-SEP-CC </w:t>
      </w:r>
      <w:r w:rsidR="001B1944">
        <w:rPr>
          <w:lang w:val="pt-PT" w:eastAsia="es-ES"/>
        </w:rPr>
        <w:t xml:space="preserve">indica que este principio es la certeza práctica del derecho, por cuanto se conoce lo prohibido, lo permitido y lo mandado por el poder público, más que todo </w:t>
      </w:r>
      <w:r w:rsidR="00F84B5F">
        <w:rPr>
          <w:lang w:val="pt-PT" w:eastAsia="es-ES"/>
        </w:rPr>
        <w:t>a nivel de las relaciones entre particulares y de estos con el Estado. En esta referencia de la Corte, se agrega que es una garantí</w:t>
      </w:r>
      <w:r w:rsidR="00585CC5">
        <w:rPr>
          <w:lang w:val="pt-PT" w:eastAsia="es-ES"/>
        </w:rPr>
        <w:t xml:space="preserve">a de que el Estado reconoce a la persona, de modo que no se vulnere su integridad, y que sus derechos y bienes no sean violentados, y en el caso que llegare a acontecer, </w:t>
      </w:r>
      <w:r w:rsidR="00AF421D">
        <w:rPr>
          <w:lang w:val="pt-PT" w:eastAsia="es-ES"/>
        </w:rPr>
        <w:t xml:space="preserve">se debe disponer los mecanismos que resulten idóneos para su tutela y reparación </w:t>
      </w:r>
      <w:sdt>
        <w:sdtPr>
          <w:rPr>
            <w:lang w:val="pt-PT" w:eastAsia="es-ES"/>
          </w:rPr>
          <w:id w:val="415364931"/>
          <w:citation/>
        </w:sdtPr>
        <w:sdtContent>
          <w:r w:rsidR="00471CA1">
            <w:rPr>
              <w:lang w:val="pt-PT" w:eastAsia="es-ES"/>
            </w:rPr>
            <w:fldChar w:fldCharType="begin"/>
          </w:r>
          <w:r w:rsidR="00471CA1">
            <w:rPr>
              <w:lang w:val="es-MX" w:eastAsia="es-ES"/>
            </w:rPr>
            <w:instrText xml:space="preserve"> CITATION Sen122 \l 2058 </w:instrText>
          </w:r>
          <w:r w:rsidR="00471CA1">
            <w:rPr>
              <w:lang w:val="pt-PT" w:eastAsia="es-ES"/>
            </w:rPr>
            <w:fldChar w:fldCharType="separate"/>
          </w:r>
          <w:r w:rsidR="001A7B3C">
            <w:rPr>
              <w:noProof/>
              <w:lang w:val="es-MX" w:eastAsia="es-ES"/>
            </w:rPr>
            <w:t>(Sentencia N° 127-12-SEP-CC, 2012)</w:t>
          </w:r>
          <w:r w:rsidR="00471CA1">
            <w:rPr>
              <w:lang w:val="pt-PT" w:eastAsia="es-ES"/>
            </w:rPr>
            <w:fldChar w:fldCharType="end"/>
          </w:r>
        </w:sdtContent>
      </w:sdt>
      <w:r w:rsidR="00AF421D">
        <w:rPr>
          <w:lang w:val="pt-PT" w:eastAsia="es-ES"/>
        </w:rPr>
        <w:t xml:space="preserve">. </w:t>
      </w:r>
      <w:r w:rsidR="00BD34AD">
        <w:rPr>
          <w:lang w:val="pt-PT" w:eastAsia="es-ES"/>
        </w:rPr>
        <w:t xml:space="preserve"> </w:t>
      </w:r>
    </w:p>
    <w:p w14:paraId="63CFF4CD" w14:textId="38B80D1E" w:rsidR="00471CA1" w:rsidRPr="006754C0" w:rsidRDefault="00484981" w:rsidP="006754C0">
      <w:pPr>
        <w:rPr>
          <w:lang w:val="pt-PT" w:eastAsia="es-ES"/>
        </w:rPr>
      </w:pPr>
      <w:r>
        <w:rPr>
          <w:lang w:val="pt-PT" w:eastAsia="es-ES"/>
        </w:rPr>
        <w:t xml:space="preserve"> </w:t>
      </w:r>
      <w:r w:rsidR="00DC153B">
        <w:rPr>
          <w:lang w:val="pt-PT" w:eastAsia="es-ES"/>
        </w:rPr>
        <w:t>Las</w:t>
      </w:r>
      <w:r>
        <w:rPr>
          <w:lang w:val="pt-PT" w:eastAsia="es-ES"/>
        </w:rPr>
        <w:t xml:space="preserve"> normas jurídicas son indispensables para </w:t>
      </w:r>
      <w:r w:rsidR="007426F2">
        <w:rPr>
          <w:lang w:val="pt-PT" w:eastAsia="es-ES"/>
        </w:rPr>
        <w:t xml:space="preserve">garantizar la adecuada gestión de todo acto jurídico, más que todo para respaldar eficientemente el cumplimiento de labores u obligaciones y ejercicio de derechos, puesto que deben contar con una pauta predefinida para su óptima satisfacción. </w:t>
      </w:r>
      <w:r w:rsidR="000D027B">
        <w:rPr>
          <w:lang w:val="pt-PT" w:eastAsia="es-ES"/>
        </w:rPr>
        <w:t xml:space="preserve">Este contexto no es ajeno a la actividad notarial, lo que se explica posteriormente, pero </w:t>
      </w:r>
      <w:r w:rsidR="004D3B28">
        <w:rPr>
          <w:lang w:val="pt-PT" w:eastAsia="es-ES"/>
        </w:rPr>
        <w:t xml:space="preserve">se </w:t>
      </w:r>
      <w:r w:rsidR="007333BD">
        <w:rPr>
          <w:lang w:val="pt-PT" w:eastAsia="es-ES"/>
        </w:rPr>
        <w:t xml:space="preserve">considera debido a que los notarios no cumplen únicamente con protocolos de registro, sino que también deben tutelar los derechos de las personas, más que todo </w:t>
      </w:r>
      <w:r w:rsidR="00AC32ED">
        <w:rPr>
          <w:lang w:val="pt-PT" w:eastAsia="es-ES"/>
        </w:rPr>
        <w:t>si el marco jurídico experimenta cambios, puntualmente ante el hecho de que la digitalización de los servicios notariales en el país aún no cuenta con bases sólidas.</w:t>
      </w:r>
      <w:r w:rsidR="00EF6BB9">
        <w:rPr>
          <w:lang w:val="pt-PT" w:eastAsia="es-ES"/>
        </w:rPr>
        <w:t xml:space="preserve"> Como bien acotó Soler </w:t>
      </w:r>
      <w:sdt>
        <w:sdtPr>
          <w:rPr>
            <w:lang w:val="pt-PT" w:eastAsia="es-ES"/>
          </w:rPr>
          <w:id w:val="-120383383"/>
          <w:citation/>
        </w:sdtPr>
        <w:sdtContent>
          <w:r w:rsidR="00946BF6">
            <w:rPr>
              <w:lang w:val="pt-PT" w:eastAsia="es-ES"/>
            </w:rPr>
            <w:fldChar w:fldCharType="begin"/>
          </w:r>
          <w:r w:rsidR="002F4201">
            <w:rPr>
              <w:lang w:val="es-MX" w:eastAsia="es-ES"/>
            </w:rPr>
            <w:instrText xml:space="preserve">CITATION Sol18 \n  \t  \l 2058 </w:instrText>
          </w:r>
          <w:r w:rsidR="00946BF6">
            <w:rPr>
              <w:lang w:val="pt-PT" w:eastAsia="es-ES"/>
            </w:rPr>
            <w:fldChar w:fldCharType="separate"/>
          </w:r>
          <w:r w:rsidR="001A7B3C">
            <w:rPr>
              <w:noProof/>
              <w:lang w:val="es-MX" w:eastAsia="es-ES"/>
            </w:rPr>
            <w:t>(2018)</w:t>
          </w:r>
          <w:r w:rsidR="00946BF6">
            <w:rPr>
              <w:lang w:val="pt-PT" w:eastAsia="es-ES"/>
            </w:rPr>
            <w:fldChar w:fldCharType="end"/>
          </w:r>
        </w:sdtContent>
      </w:sdt>
      <w:r w:rsidR="00EF6BB9">
        <w:rPr>
          <w:lang w:val="pt-PT" w:eastAsia="es-ES"/>
        </w:rPr>
        <w:t xml:space="preserve">, la seguridad jurídica es un saber anticipado y anticipatorio, por lo que </w:t>
      </w:r>
      <w:r w:rsidR="00B8446B">
        <w:rPr>
          <w:lang w:val="pt-PT" w:eastAsia="es-ES"/>
        </w:rPr>
        <w:t xml:space="preserve">los esfuerzos del hombre siempre están presentes para desplegarse, pero se necesita saber cuáles, lo que atañe concretamente a </w:t>
      </w:r>
      <w:r w:rsidR="00565C06">
        <w:rPr>
          <w:lang w:val="pt-PT" w:eastAsia="es-ES"/>
        </w:rPr>
        <w:t xml:space="preserve">que las tareas en Derecho para ser cumplidas </w:t>
      </w:r>
      <w:r w:rsidR="00494471">
        <w:rPr>
          <w:lang w:val="pt-PT" w:eastAsia="es-ES"/>
        </w:rPr>
        <w:t>deben sostenerse en lo que la ley disponga oportunamente.</w:t>
      </w:r>
    </w:p>
    <w:p w14:paraId="0C1B882F" w14:textId="01A1ED3F" w:rsidR="00453F0C" w:rsidRDefault="006771F7" w:rsidP="00453F0C">
      <w:pPr>
        <w:pStyle w:val="Ttulo2"/>
        <w:rPr>
          <w:lang w:val="pt-PT" w:eastAsia="es-ES"/>
        </w:rPr>
      </w:pPr>
      <w:r>
        <w:rPr>
          <w:lang w:val="pt-PT" w:eastAsia="es-ES"/>
        </w:rPr>
        <w:t>2.2</w:t>
      </w:r>
      <w:r w:rsidR="00180D07">
        <w:rPr>
          <w:lang w:val="pt-PT" w:eastAsia="es-ES"/>
        </w:rPr>
        <w:t xml:space="preserve"> </w:t>
      </w:r>
      <w:r w:rsidR="00164EF5">
        <w:rPr>
          <w:lang w:val="pt-PT" w:eastAsia="es-ES"/>
        </w:rPr>
        <w:t xml:space="preserve">LA SEGURIDAD JURÍDICA </w:t>
      </w:r>
      <w:r w:rsidR="001E0B06">
        <w:rPr>
          <w:lang w:val="pt-PT" w:eastAsia="es-ES"/>
        </w:rPr>
        <w:t>EN LA ACTIVIDAD NOTARIAL</w:t>
      </w:r>
    </w:p>
    <w:p w14:paraId="61357A7E" w14:textId="3A55FB9C" w:rsidR="00453F0C" w:rsidRDefault="00344033" w:rsidP="00453F0C">
      <w:pPr>
        <w:rPr>
          <w:lang w:val="pt-PT" w:eastAsia="es-ES"/>
        </w:rPr>
      </w:pPr>
      <w:r>
        <w:rPr>
          <w:lang w:val="pt-PT" w:eastAsia="es-ES"/>
        </w:rPr>
        <w:t xml:space="preserve">La seguridad jurídica adquiere especial importancia dentro del ámbito notarial, más que todo porque según destacó </w:t>
      </w:r>
      <w:r w:rsidR="00A248D4">
        <w:rPr>
          <w:lang w:val="pt-PT" w:eastAsia="es-ES"/>
        </w:rPr>
        <w:t xml:space="preserve">Gallino </w:t>
      </w:r>
      <w:sdt>
        <w:sdtPr>
          <w:rPr>
            <w:lang w:val="pt-PT" w:eastAsia="es-ES"/>
          </w:rPr>
          <w:id w:val="2135366578"/>
          <w:citation/>
        </w:sdtPr>
        <w:sdtContent>
          <w:r w:rsidR="00A248D4">
            <w:rPr>
              <w:lang w:val="pt-PT" w:eastAsia="es-ES"/>
            </w:rPr>
            <w:fldChar w:fldCharType="begin"/>
          </w:r>
          <w:r w:rsidR="00A248D4">
            <w:rPr>
              <w:lang w:val="es-MX" w:eastAsia="es-ES"/>
            </w:rPr>
            <w:instrText xml:space="preserve">CITATION Gal96 \n  \t  \l 2058 </w:instrText>
          </w:r>
          <w:r w:rsidR="00A248D4">
            <w:rPr>
              <w:lang w:val="pt-PT" w:eastAsia="es-ES"/>
            </w:rPr>
            <w:fldChar w:fldCharType="separate"/>
          </w:r>
          <w:r w:rsidR="001A7B3C">
            <w:rPr>
              <w:noProof/>
              <w:lang w:val="es-MX" w:eastAsia="es-ES"/>
            </w:rPr>
            <w:t>(1996)</w:t>
          </w:r>
          <w:r w:rsidR="00A248D4">
            <w:rPr>
              <w:lang w:val="pt-PT" w:eastAsia="es-ES"/>
            </w:rPr>
            <w:fldChar w:fldCharType="end"/>
          </w:r>
        </w:sdtContent>
      </w:sdt>
      <w:r>
        <w:rPr>
          <w:lang w:val="pt-PT" w:eastAsia="es-ES"/>
        </w:rPr>
        <w:t xml:space="preserve">, </w:t>
      </w:r>
      <w:r w:rsidR="001E65E0">
        <w:rPr>
          <w:lang w:val="pt-PT" w:eastAsia="es-ES"/>
        </w:rPr>
        <w:t xml:space="preserve">por cuanto el notario es un representante del Estado, por lo que a su función se extiende </w:t>
      </w:r>
      <w:r w:rsidR="00A16B5A">
        <w:rPr>
          <w:lang w:val="pt-PT" w:eastAsia="es-ES"/>
        </w:rPr>
        <w:t xml:space="preserve">la salvaguarda del orden jurídico y la protección de los derechos, lo que conlleva que </w:t>
      </w:r>
      <w:r w:rsidR="00E37946">
        <w:rPr>
          <w:lang w:val="pt-PT" w:eastAsia="es-ES"/>
        </w:rPr>
        <w:t xml:space="preserve">debe satisfacer ese rol de garante al tenor de lo que consagra este principio. </w:t>
      </w:r>
      <w:r w:rsidR="001851F4">
        <w:rPr>
          <w:lang w:val="pt-PT" w:eastAsia="es-ES"/>
        </w:rPr>
        <w:t>Todo funcionario, evidentemente</w:t>
      </w:r>
      <w:r w:rsidR="00C31FA5">
        <w:rPr>
          <w:lang w:val="pt-PT" w:eastAsia="es-ES"/>
        </w:rPr>
        <w:t>,</w:t>
      </w:r>
      <w:r w:rsidR="001851F4">
        <w:rPr>
          <w:lang w:val="pt-PT" w:eastAsia="es-ES"/>
        </w:rPr>
        <w:t xml:space="preserve"> </w:t>
      </w:r>
      <w:r w:rsidR="001851F4">
        <w:rPr>
          <w:lang w:val="pt-PT" w:eastAsia="es-ES"/>
        </w:rPr>
        <w:lastRenderedPageBreak/>
        <w:t xml:space="preserve">debe responder a la protección </w:t>
      </w:r>
      <w:r w:rsidR="00BB1DCC">
        <w:rPr>
          <w:lang w:val="pt-PT" w:eastAsia="es-ES"/>
        </w:rPr>
        <w:t xml:space="preserve">del ordenamiento jurídico, más que todo considerando que en su rol fedatario se generan compromisos </w:t>
      </w:r>
      <w:r w:rsidR="00815744">
        <w:rPr>
          <w:lang w:val="pt-PT" w:eastAsia="es-ES"/>
        </w:rPr>
        <w:t>jurídicos</w:t>
      </w:r>
      <w:r w:rsidR="00BB1DCC">
        <w:rPr>
          <w:lang w:val="pt-PT" w:eastAsia="es-ES"/>
        </w:rPr>
        <w:t xml:space="preserve"> por medio de los cuales </w:t>
      </w:r>
      <w:r w:rsidR="00815744">
        <w:rPr>
          <w:lang w:val="pt-PT" w:eastAsia="es-ES"/>
        </w:rPr>
        <w:t xml:space="preserve">entre las partes se exigen derechos y obligaciones. </w:t>
      </w:r>
      <w:r w:rsidR="005455BC">
        <w:rPr>
          <w:lang w:val="pt-PT" w:eastAsia="es-ES"/>
        </w:rPr>
        <w:t>En consecuencia, todo servidor del notariado</w:t>
      </w:r>
      <w:r w:rsidR="006A3AC5">
        <w:rPr>
          <w:lang w:val="pt-PT" w:eastAsia="es-ES"/>
        </w:rPr>
        <w:t xml:space="preserve"> asume el compromiso de respetar las leyes de la República, pero para esto debe conocer con exactitud los </w:t>
      </w:r>
      <w:r w:rsidR="006D0471">
        <w:rPr>
          <w:lang w:val="pt-PT" w:eastAsia="es-ES"/>
        </w:rPr>
        <w:t>requerimientos que se le exigen, lo que refuerza la necesidad</w:t>
      </w:r>
      <w:r w:rsidR="00902611">
        <w:rPr>
          <w:lang w:val="pt-PT" w:eastAsia="es-ES"/>
        </w:rPr>
        <w:t xml:space="preserve"> de que este principio esté adecuadamente vinculado en cada una de sus actuaciones. </w:t>
      </w:r>
    </w:p>
    <w:p w14:paraId="6B968A65" w14:textId="31AFC0A4" w:rsidR="00EE3411" w:rsidRDefault="00EE3411" w:rsidP="00453F0C">
      <w:pPr>
        <w:rPr>
          <w:lang w:val="pt-PT" w:eastAsia="es-ES"/>
        </w:rPr>
      </w:pPr>
      <w:r>
        <w:rPr>
          <w:lang w:val="pt-PT" w:eastAsia="es-ES"/>
        </w:rPr>
        <w:t xml:space="preserve">Entre otras posturas teóricas, se destaca lo reseñado por </w:t>
      </w:r>
      <w:r w:rsidR="006750FF">
        <w:rPr>
          <w:lang w:val="pt-PT" w:eastAsia="es-ES"/>
        </w:rPr>
        <w:t xml:space="preserve">Marcillo y Delgado </w:t>
      </w:r>
      <w:sdt>
        <w:sdtPr>
          <w:rPr>
            <w:lang w:val="pt-PT" w:eastAsia="es-ES"/>
          </w:rPr>
          <w:id w:val="847754807"/>
          <w:citation/>
        </w:sdtPr>
        <w:sdtContent>
          <w:r w:rsidR="006750FF">
            <w:rPr>
              <w:lang w:val="pt-PT" w:eastAsia="es-ES"/>
            </w:rPr>
            <w:fldChar w:fldCharType="begin"/>
          </w:r>
          <w:r w:rsidR="006750FF">
            <w:rPr>
              <w:lang w:val="es-MX" w:eastAsia="es-ES"/>
            </w:rPr>
            <w:instrText xml:space="preserve">CITATION Mar25 \n  \t  \l 2058 </w:instrText>
          </w:r>
          <w:r w:rsidR="006750FF">
            <w:rPr>
              <w:lang w:val="pt-PT" w:eastAsia="es-ES"/>
            </w:rPr>
            <w:fldChar w:fldCharType="separate"/>
          </w:r>
          <w:r w:rsidR="001A7B3C">
            <w:rPr>
              <w:noProof/>
              <w:lang w:val="es-MX" w:eastAsia="es-ES"/>
            </w:rPr>
            <w:t>(2025)</w:t>
          </w:r>
          <w:r w:rsidR="006750FF">
            <w:rPr>
              <w:lang w:val="pt-PT" w:eastAsia="es-ES"/>
            </w:rPr>
            <w:fldChar w:fldCharType="end"/>
          </w:r>
        </w:sdtContent>
      </w:sdt>
      <w:r>
        <w:rPr>
          <w:lang w:val="pt-PT" w:eastAsia="es-ES"/>
        </w:rPr>
        <w:t xml:space="preserve">, al </w:t>
      </w:r>
      <w:r w:rsidR="00943933">
        <w:rPr>
          <w:lang w:val="pt-PT" w:eastAsia="es-ES"/>
        </w:rPr>
        <w:t>tratarse el tema concerniente a la trascendencia de la fe pública, dado que el notario</w:t>
      </w:r>
      <w:r w:rsidR="00DC7BA1">
        <w:rPr>
          <w:lang w:val="pt-PT" w:eastAsia="es-ES"/>
        </w:rPr>
        <w:t xml:space="preserve"> investido por las facultades que le conceden las leyes, hace que este reconocimiento de esta </w:t>
      </w:r>
      <w:r w:rsidR="00472A01">
        <w:rPr>
          <w:lang w:val="pt-PT" w:eastAsia="es-ES"/>
        </w:rPr>
        <w:t xml:space="preserve">fe pública transforme los actos privados en instrumentos públicos, lo que </w:t>
      </w:r>
      <w:r w:rsidR="00240EE9">
        <w:rPr>
          <w:lang w:val="pt-PT" w:eastAsia="es-ES"/>
        </w:rPr>
        <w:t>deposita en ellos una presunción de veracidad y legalidad que no se puede cuestionar con ligereza</w:t>
      </w:r>
      <w:r w:rsidR="003011A8">
        <w:rPr>
          <w:lang w:val="pt-PT" w:eastAsia="es-ES"/>
        </w:rPr>
        <w:t xml:space="preserve">, salvo que existan pruebas categóricas de una actuación indebida que sean evacuadas en procesos judiciales en específico. </w:t>
      </w:r>
      <w:r w:rsidR="00F66171">
        <w:rPr>
          <w:lang w:val="pt-PT" w:eastAsia="es-ES"/>
        </w:rPr>
        <w:t>En tal virtud, esta seguridad jurídica que</w:t>
      </w:r>
      <w:r w:rsidR="00316150">
        <w:rPr>
          <w:lang w:val="pt-PT" w:eastAsia="es-ES"/>
        </w:rPr>
        <w:t xml:space="preserve"> es menester emane de sus actos implica la generación de confianza</w:t>
      </w:r>
      <w:r w:rsidR="001F6B41">
        <w:rPr>
          <w:lang w:val="pt-PT" w:eastAsia="es-ES"/>
        </w:rPr>
        <w:t xml:space="preserve"> en el tráfico jurídico general, lo que también implica la reducción de riesgos de fraude y litigios posteriores. Es así, que mediante este criterio es posible reconocer la importancia y el alcance de la labor notarial </w:t>
      </w:r>
      <w:r w:rsidR="006750FF">
        <w:rPr>
          <w:lang w:val="pt-PT" w:eastAsia="es-ES"/>
        </w:rPr>
        <w:t>desde los postulados de este principio constitucional.</w:t>
      </w:r>
      <w:r w:rsidR="00240EE9">
        <w:rPr>
          <w:lang w:val="pt-PT" w:eastAsia="es-ES"/>
        </w:rPr>
        <w:t xml:space="preserve"> </w:t>
      </w:r>
    </w:p>
    <w:p w14:paraId="1B127DBC" w14:textId="02E083DB" w:rsidR="006750FF" w:rsidRDefault="004A393D" w:rsidP="00453F0C">
      <w:pPr>
        <w:rPr>
          <w:lang w:val="pt-PT" w:eastAsia="es-ES"/>
        </w:rPr>
      </w:pPr>
      <w:r>
        <w:rPr>
          <w:lang w:val="pt-PT" w:eastAsia="es-ES"/>
        </w:rPr>
        <w:t xml:space="preserve">Un aspecto importante que es </w:t>
      </w:r>
      <w:r w:rsidR="00B50A14">
        <w:rPr>
          <w:lang w:val="pt-PT" w:eastAsia="es-ES"/>
        </w:rPr>
        <w:t xml:space="preserve">señalado por </w:t>
      </w:r>
      <w:r w:rsidR="00341DAC">
        <w:rPr>
          <w:lang w:val="pt-PT" w:eastAsia="es-ES"/>
        </w:rPr>
        <w:t>López</w:t>
      </w:r>
      <w:r w:rsidR="00B50A14">
        <w:rPr>
          <w:lang w:val="pt-PT" w:eastAsia="es-ES"/>
        </w:rPr>
        <w:t xml:space="preserve"> y </w:t>
      </w:r>
      <w:r w:rsidR="00341DAC">
        <w:rPr>
          <w:lang w:val="pt-PT" w:eastAsia="es-ES"/>
        </w:rPr>
        <w:t xml:space="preserve">Calle </w:t>
      </w:r>
      <w:sdt>
        <w:sdtPr>
          <w:rPr>
            <w:lang w:val="pt-PT" w:eastAsia="es-ES"/>
          </w:rPr>
          <w:id w:val="-1275703816"/>
          <w:citation/>
        </w:sdtPr>
        <w:sdtContent>
          <w:r w:rsidR="00341DAC">
            <w:rPr>
              <w:lang w:val="pt-PT" w:eastAsia="es-ES"/>
            </w:rPr>
            <w:fldChar w:fldCharType="begin"/>
          </w:r>
          <w:r w:rsidR="00341DAC">
            <w:rPr>
              <w:lang w:val="es-MX" w:eastAsia="es-ES"/>
            </w:rPr>
            <w:instrText xml:space="preserve">CITATION Lóp224 \n  \t  \l 2058 </w:instrText>
          </w:r>
          <w:r w:rsidR="00341DAC">
            <w:rPr>
              <w:lang w:val="pt-PT" w:eastAsia="es-ES"/>
            </w:rPr>
            <w:fldChar w:fldCharType="separate"/>
          </w:r>
          <w:r w:rsidR="001A7B3C">
            <w:rPr>
              <w:noProof/>
              <w:lang w:val="es-MX" w:eastAsia="es-ES"/>
            </w:rPr>
            <w:t>(2022)</w:t>
          </w:r>
          <w:r w:rsidR="00341DAC">
            <w:rPr>
              <w:lang w:val="pt-PT" w:eastAsia="es-ES"/>
            </w:rPr>
            <w:fldChar w:fldCharType="end"/>
          </w:r>
        </w:sdtContent>
      </w:sdt>
      <w:r w:rsidR="00B50A14">
        <w:rPr>
          <w:lang w:val="pt-PT" w:eastAsia="es-ES"/>
        </w:rPr>
        <w:t xml:space="preserve"> en los casos en que se produzca la falta de uniformidad </w:t>
      </w:r>
      <w:r w:rsidR="004A060E">
        <w:rPr>
          <w:lang w:val="pt-PT" w:eastAsia="es-ES"/>
        </w:rPr>
        <w:t xml:space="preserve">en la práctica </w:t>
      </w:r>
      <w:r w:rsidR="00787708">
        <w:rPr>
          <w:lang w:val="pt-PT" w:eastAsia="es-ES"/>
        </w:rPr>
        <w:t>notarial</w:t>
      </w:r>
      <w:r w:rsidR="004A060E">
        <w:rPr>
          <w:lang w:val="pt-PT" w:eastAsia="es-ES"/>
        </w:rPr>
        <w:t xml:space="preserve">, puede, en consecuencia, provocar el debilitamiento en la formación de contratos y negocios jurídicos, lo </w:t>
      </w:r>
      <w:r w:rsidR="00787708">
        <w:rPr>
          <w:lang w:val="pt-PT" w:eastAsia="es-ES"/>
        </w:rPr>
        <w:t xml:space="preserve">que deviene en el planteamiento de retos inmediatos en la mejora de calidad y estandarización de servicios. </w:t>
      </w:r>
      <w:r w:rsidR="00FC18E8">
        <w:rPr>
          <w:lang w:val="pt-PT" w:eastAsia="es-ES"/>
        </w:rPr>
        <w:t xml:space="preserve">Esta afirmación teórica permite evidenciar con mayor criterio y sustento que la uniformidad en las actuaciones notariales no se </w:t>
      </w:r>
      <w:r w:rsidR="00A24C0E">
        <w:rPr>
          <w:lang w:val="pt-PT" w:eastAsia="es-ES"/>
        </w:rPr>
        <w:t>atiene</w:t>
      </w:r>
      <w:r w:rsidR="00FC18E8">
        <w:rPr>
          <w:lang w:val="pt-PT" w:eastAsia="es-ES"/>
        </w:rPr>
        <w:t xml:space="preserve"> únicamente a</w:t>
      </w:r>
      <w:r w:rsidR="00C44C6D">
        <w:rPr>
          <w:lang w:val="pt-PT" w:eastAsia="es-ES"/>
        </w:rPr>
        <w:t xml:space="preserve"> la práctica de procedimientos que surjan por el desarrollo de la costumbre, tal es el caso </w:t>
      </w:r>
      <w:r w:rsidR="00846372">
        <w:rPr>
          <w:lang w:val="pt-PT" w:eastAsia="es-ES"/>
        </w:rPr>
        <w:t xml:space="preserve">de </w:t>
      </w:r>
      <w:r w:rsidR="00C44C6D">
        <w:rPr>
          <w:lang w:val="pt-PT" w:eastAsia="es-ES"/>
        </w:rPr>
        <w:t xml:space="preserve">que entre los notarios surja un consenso </w:t>
      </w:r>
      <w:r w:rsidR="00154D6B">
        <w:rPr>
          <w:lang w:val="pt-PT" w:eastAsia="es-ES"/>
        </w:rPr>
        <w:t xml:space="preserve">a partir de sus actividades para llevar determinados temas de cierta manera, sino que </w:t>
      </w:r>
      <w:r w:rsidR="00A24C0E">
        <w:rPr>
          <w:lang w:val="pt-PT" w:eastAsia="es-ES"/>
        </w:rPr>
        <w:t xml:space="preserve">tiene que sujetarse a las formas y condiciones establecidas legalmente. De lo contrario, </w:t>
      </w:r>
      <w:r w:rsidR="00846372">
        <w:rPr>
          <w:lang w:val="pt-PT" w:eastAsia="es-ES"/>
        </w:rPr>
        <w:t xml:space="preserve">no se estaría garantizando esa seguridad que las partes </w:t>
      </w:r>
      <w:r w:rsidR="004D4667">
        <w:rPr>
          <w:lang w:val="pt-PT" w:eastAsia="es-ES"/>
        </w:rPr>
        <w:t>precisan, lo que comprometería l</w:t>
      </w:r>
      <w:r w:rsidR="007F2BFF">
        <w:rPr>
          <w:lang w:val="pt-PT" w:eastAsia="es-ES"/>
        </w:rPr>
        <w:t xml:space="preserve">a tutela de sus </w:t>
      </w:r>
      <w:r w:rsidR="007F2BFF">
        <w:rPr>
          <w:lang w:val="pt-PT" w:eastAsia="es-ES"/>
        </w:rPr>
        <w:lastRenderedPageBreak/>
        <w:t xml:space="preserve">derechos por cuanto todo notario es un garante </w:t>
      </w:r>
      <w:r w:rsidR="0078517B">
        <w:rPr>
          <w:lang w:val="pt-PT" w:eastAsia="es-ES"/>
        </w:rPr>
        <w:t xml:space="preserve">respecto de este acontecimiento. </w:t>
      </w:r>
    </w:p>
    <w:p w14:paraId="11CFB60D" w14:textId="4F3B08E6" w:rsidR="00F155E8" w:rsidRPr="00453F0C" w:rsidRDefault="009A4B8C" w:rsidP="00453F0C">
      <w:pPr>
        <w:rPr>
          <w:lang w:val="pt-PT" w:eastAsia="es-ES"/>
        </w:rPr>
      </w:pPr>
      <w:r>
        <w:rPr>
          <w:lang w:val="pt-PT" w:eastAsia="es-ES"/>
        </w:rPr>
        <w:t xml:space="preserve">En la doctrina, por parte de </w:t>
      </w:r>
      <w:r w:rsidR="00C67268">
        <w:rPr>
          <w:lang w:val="pt-PT" w:eastAsia="es-ES"/>
        </w:rPr>
        <w:t xml:space="preserve">González </w:t>
      </w:r>
      <w:sdt>
        <w:sdtPr>
          <w:rPr>
            <w:lang w:val="pt-PT" w:eastAsia="es-ES"/>
          </w:rPr>
          <w:id w:val="-1078437394"/>
          <w:citation/>
        </w:sdtPr>
        <w:sdtContent>
          <w:r w:rsidR="00C67268">
            <w:rPr>
              <w:lang w:val="pt-PT" w:eastAsia="es-ES"/>
            </w:rPr>
            <w:fldChar w:fldCharType="begin"/>
          </w:r>
          <w:r w:rsidR="00C67268">
            <w:rPr>
              <w:lang w:val="es-MX" w:eastAsia="es-ES"/>
            </w:rPr>
            <w:instrText xml:space="preserve">CITATION Gon242 \n  \t  \l 2058 </w:instrText>
          </w:r>
          <w:r w:rsidR="00C67268">
            <w:rPr>
              <w:lang w:val="pt-PT" w:eastAsia="es-ES"/>
            </w:rPr>
            <w:fldChar w:fldCharType="separate"/>
          </w:r>
          <w:r w:rsidR="001A7B3C">
            <w:rPr>
              <w:noProof/>
              <w:lang w:val="es-MX" w:eastAsia="es-ES"/>
            </w:rPr>
            <w:t>(2024)</w:t>
          </w:r>
          <w:r w:rsidR="00C67268">
            <w:rPr>
              <w:lang w:val="pt-PT" w:eastAsia="es-ES"/>
            </w:rPr>
            <w:fldChar w:fldCharType="end"/>
          </w:r>
        </w:sdtContent>
      </w:sdt>
      <w:r>
        <w:rPr>
          <w:lang w:val="pt-PT" w:eastAsia="es-ES"/>
        </w:rPr>
        <w:t xml:space="preserve">, se advierte que </w:t>
      </w:r>
      <w:r w:rsidR="001C43C4">
        <w:rPr>
          <w:lang w:val="pt-PT" w:eastAsia="es-ES"/>
        </w:rPr>
        <w:t xml:space="preserve">en un mundo y en un entorno jurídico cada vez más dinámico y globalizado, en especial en materia de economía y al aplicarse las disposiciones propias del Derecho, el </w:t>
      </w:r>
      <w:r w:rsidR="005420C0">
        <w:rPr>
          <w:lang w:val="pt-PT" w:eastAsia="es-ES"/>
        </w:rPr>
        <w:t xml:space="preserve">notario está cada vez más comprometido a garantizar la seguridad jurídica. En especial, </w:t>
      </w:r>
      <w:r w:rsidR="00E238F1">
        <w:rPr>
          <w:lang w:val="pt-PT" w:eastAsia="es-ES"/>
        </w:rPr>
        <w:t xml:space="preserve">este cuidado o protección de los intereses y los bienes jurídicos </w:t>
      </w:r>
      <w:r w:rsidR="00967F7C">
        <w:rPr>
          <w:lang w:val="pt-PT" w:eastAsia="es-ES"/>
        </w:rPr>
        <w:t>reside en la vigilancia de la forma en que se efectúan actos y contratos, así como también en cuanto a la forma en que se debe</w:t>
      </w:r>
      <w:r w:rsidR="00507C5A">
        <w:rPr>
          <w:lang w:val="pt-PT" w:eastAsia="es-ES"/>
        </w:rPr>
        <w:t xml:space="preserve"> cumplir con el acto de guardar los protocolos o archivos correspondientes. En efecto, si las re</w:t>
      </w:r>
      <w:r w:rsidR="00BD770C">
        <w:rPr>
          <w:lang w:val="pt-PT" w:eastAsia="es-ES"/>
        </w:rPr>
        <w:t xml:space="preserve">laciones o vínculos entre las personas naturales y jurídicas cada vez se sostienen a los avances </w:t>
      </w:r>
      <w:r w:rsidR="002F786F">
        <w:rPr>
          <w:lang w:val="pt-PT" w:eastAsia="es-ES"/>
        </w:rPr>
        <w:t xml:space="preserve">sociales donde destaca la tecnología, se asume como consecuencia lógica </w:t>
      </w:r>
      <w:r w:rsidR="00086782">
        <w:rPr>
          <w:lang w:val="pt-PT" w:eastAsia="es-ES"/>
        </w:rPr>
        <w:t xml:space="preserve">que este proceso </w:t>
      </w:r>
      <w:r w:rsidR="002B401D">
        <w:rPr>
          <w:lang w:val="pt-PT" w:eastAsia="es-ES"/>
        </w:rPr>
        <w:t xml:space="preserve">tenga su guía dentro del propio sistema normativo que regula sus actividades </w:t>
      </w:r>
      <w:r w:rsidR="00A32BBC">
        <w:rPr>
          <w:lang w:val="pt-PT" w:eastAsia="es-ES"/>
        </w:rPr>
        <w:t xml:space="preserve">para el otorgamiento de la fe pública. </w:t>
      </w:r>
    </w:p>
    <w:p w14:paraId="3FECF125" w14:textId="7014E71B" w:rsidR="00FB5561" w:rsidRDefault="001E0B06" w:rsidP="00FB5561">
      <w:pPr>
        <w:pStyle w:val="Ttulo2"/>
        <w:rPr>
          <w:lang w:val="pt-PT" w:eastAsia="es-ES"/>
        </w:rPr>
      </w:pPr>
      <w:r>
        <w:rPr>
          <w:lang w:val="pt-PT" w:eastAsia="es-ES"/>
        </w:rPr>
        <w:t xml:space="preserve">2.3 LA </w:t>
      </w:r>
      <w:r w:rsidR="00CE7C63">
        <w:rPr>
          <w:lang w:val="pt-PT" w:eastAsia="es-ES"/>
        </w:rPr>
        <w:t>PRÁCTICA DE LA SEGURIDAD JU</w:t>
      </w:r>
      <w:r w:rsidR="00566F95">
        <w:rPr>
          <w:lang w:val="pt-PT" w:eastAsia="es-ES"/>
        </w:rPr>
        <w:t>RÍDICA COMO PARTE DE LA DIGITALIZACIÓN NOTARIAL</w:t>
      </w:r>
    </w:p>
    <w:p w14:paraId="3FA27CE9" w14:textId="3D707335" w:rsidR="00053D04" w:rsidRDefault="00CF75D4" w:rsidP="00053D04">
      <w:pPr>
        <w:rPr>
          <w:lang w:val="pt-PT" w:eastAsia="es-ES"/>
        </w:rPr>
      </w:pPr>
      <w:r>
        <w:rPr>
          <w:lang w:val="pt-PT" w:eastAsia="es-ES"/>
        </w:rPr>
        <w:t xml:space="preserve">Para </w:t>
      </w:r>
      <w:r w:rsidR="00FB21CD">
        <w:rPr>
          <w:lang w:val="pt-PT" w:eastAsia="es-ES"/>
        </w:rPr>
        <w:t xml:space="preserve">Arellano </w:t>
      </w:r>
      <w:sdt>
        <w:sdtPr>
          <w:rPr>
            <w:lang w:val="pt-PT" w:eastAsia="es-ES"/>
          </w:rPr>
          <w:id w:val="-36058322"/>
          <w:citation/>
        </w:sdtPr>
        <w:sdtContent>
          <w:r w:rsidR="00FB21CD">
            <w:rPr>
              <w:lang w:val="pt-PT" w:eastAsia="es-ES"/>
            </w:rPr>
            <w:fldChar w:fldCharType="begin"/>
          </w:r>
          <w:r w:rsidR="00FB21CD">
            <w:rPr>
              <w:lang w:val="es-MX" w:eastAsia="es-ES"/>
            </w:rPr>
            <w:instrText xml:space="preserve">CITATION Are232 \n  \t  \l 2058 </w:instrText>
          </w:r>
          <w:r w:rsidR="00FB21CD">
            <w:rPr>
              <w:lang w:val="pt-PT" w:eastAsia="es-ES"/>
            </w:rPr>
            <w:fldChar w:fldCharType="separate"/>
          </w:r>
          <w:r w:rsidR="001A7B3C">
            <w:rPr>
              <w:noProof/>
              <w:lang w:val="es-MX" w:eastAsia="es-ES"/>
            </w:rPr>
            <w:t>(2023)</w:t>
          </w:r>
          <w:r w:rsidR="00FB21CD">
            <w:rPr>
              <w:lang w:val="pt-PT" w:eastAsia="es-ES"/>
            </w:rPr>
            <w:fldChar w:fldCharType="end"/>
          </w:r>
        </w:sdtContent>
      </w:sdt>
      <w:r>
        <w:rPr>
          <w:lang w:val="pt-PT" w:eastAsia="es-ES"/>
        </w:rPr>
        <w:t>, u</w:t>
      </w:r>
      <w:r w:rsidR="00053D04">
        <w:rPr>
          <w:lang w:val="pt-PT" w:eastAsia="es-ES"/>
        </w:rPr>
        <w:t xml:space="preserve">no de los aspectos en los cuales se presentan dudas acerca de los efectos de cómo llevar a cabo </w:t>
      </w:r>
      <w:r w:rsidR="00480C27">
        <w:rPr>
          <w:lang w:val="pt-PT" w:eastAsia="es-ES"/>
        </w:rPr>
        <w:t xml:space="preserve">los procesos de la digitalización de los servicios notariales </w:t>
      </w:r>
      <w:r w:rsidR="002224C0">
        <w:rPr>
          <w:lang w:val="pt-PT" w:eastAsia="es-ES"/>
        </w:rPr>
        <w:t xml:space="preserve">tiene que ver con </w:t>
      </w:r>
      <w:r w:rsidR="002C1DC0">
        <w:rPr>
          <w:lang w:val="pt-PT" w:eastAsia="es-ES"/>
        </w:rPr>
        <w:t>la individualización de los intervinientes, así como en la constatación de la autenticidad en la declaración de la voluntad</w:t>
      </w:r>
      <w:r w:rsidR="00841B06">
        <w:rPr>
          <w:lang w:val="pt-PT" w:eastAsia="es-ES"/>
        </w:rPr>
        <w:t>, así como en la validez de la firma electrónica, por lo que la verificación no o</w:t>
      </w:r>
      <w:r>
        <w:rPr>
          <w:lang w:val="pt-PT" w:eastAsia="es-ES"/>
        </w:rPr>
        <w:t xml:space="preserve">curre de la misma forma que cuando se realiza de forma presencial y en respaldos físicos de papel. Aunque la vía telemática y la digitalización de los procesos sean más ágiles y eficientes, queda el cuestionamiento </w:t>
      </w:r>
      <w:r w:rsidR="000D2944">
        <w:rPr>
          <w:lang w:val="pt-PT" w:eastAsia="es-ES"/>
        </w:rPr>
        <w:t xml:space="preserve">vinculado a si la tecnología logra reemplazar la inmediación presencial, más que todo cuando </w:t>
      </w:r>
      <w:r w:rsidR="00331687">
        <w:rPr>
          <w:lang w:val="pt-PT" w:eastAsia="es-ES"/>
        </w:rPr>
        <w:t xml:space="preserve">hay personas con discapacidad o que no cuentan con las condiciones suficientes de accesibilidad a la tecnología y a la cobertura del internet. Estos aspectos no aparecen cubiertos con suficiencia, motivo por el cual se pone en entredicho </w:t>
      </w:r>
      <w:r w:rsidR="0068536A">
        <w:rPr>
          <w:lang w:val="pt-PT" w:eastAsia="es-ES"/>
        </w:rPr>
        <w:t>el desarrollo cabal de los elementos y fines que persigue la seguridad jurídica.</w:t>
      </w:r>
    </w:p>
    <w:p w14:paraId="7608A903" w14:textId="18B89EF8" w:rsidR="000A3980" w:rsidRDefault="006643BC" w:rsidP="00053D04">
      <w:pPr>
        <w:rPr>
          <w:lang w:val="pt-PT" w:eastAsia="es-ES"/>
        </w:rPr>
      </w:pPr>
      <w:r>
        <w:rPr>
          <w:lang w:val="pt-PT" w:eastAsia="es-ES"/>
        </w:rPr>
        <w:lastRenderedPageBreak/>
        <w:t xml:space="preserve">Se puntualiza entre otros </w:t>
      </w:r>
      <w:r w:rsidR="00AA393E">
        <w:rPr>
          <w:lang w:val="pt-PT" w:eastAsia="es-ES"/>
        </w:rPr>
        <w:t>acontecimientos</w:t>
      </w:r>
      <w:r w:rsidR="00741575">
        <w:rPr>
          <w:lang w:val="pt-PT" w:eastAsia="es-ES"/>
        </w:rPr>
        <w:t xml:space="preserve"> de acuerdo con </w:t>
      </w:r>
      <w:r w:rsidR="003350FF">
        <w:rPr>
          <w:lang w:val="pt-PT" w:eastAsia="es-ES"/>
        </w:rPr>
        <w:t>Salazar et al</w:t>
      </w:r>
      <w:r w:rsidR="001A052A">
        <w:rPr>
          <w:lang w:val="pt-PT" w:eastAsia="es-ES"/>
        </w:rPr>
        <w:t xml:space="preserve">. </w:t>
      </w:r>
      <w:sdt>
        <w:sdtPr>
          <w:rPr>
            <w:lang w:val="pt-PT" w:eastAsia="es-ES"/>
          </w:rPr>
          <w:id w:val="-1590462820"/>
          <w:citation/>
        </w:sdtPr>
        <w:sdtContent>
          <w:r w:rsidR="001A052A">
            <w:rPr>
              <w:lang w:val="pt-PT" w:eastAsia="es-ES"/>
            </w:rPr>
            <w:fldChar w:fldCharType="begin"/>
          </w:r>
          <w:r w:rsidR="001A052A">
            <w:rPr>
              <w:lang w:val="es-MX" w:eastAsia="es-ES"/>
            </w:rPr>
            <w:instrText xml:space="preserve">CITATION Sal23 \n  \t  \l 2058 </w:instrText>
          </w:r>
          <w:r w:rsidR="001A052A">
            <w:rPr>
              <w:lang w:val="pt-PT" w:eastAsia="es-ES"/>
            </w:rPr>
            <w:fldChar w:fldCharType="separate"/>
          </w:r>
          <w:r w:rsidR="001A7B3C">
            <w:rPr>
              <w:noProof/>
              <w:lang w:val="es-MX" w:eastAsia="es-ES"/>
            </w:rPr>
            <w:t>(2023)</w:t>
          </w:r>
          <w:r w:rsidR="001A052A">
            <w:rPr>
              <w:lang w:val="pt-PT" w:eastAsia="es-ES"/>
            </w:rPr>
            <w:fldChar w:fldCharType="end"/>
          </w:r>
        </w:sdtContent>
      </w:sdt>
      <w:r w:rsidR="00741575">
        <w:rPr>
          <w:lang w:val="pt-PT" w:eastAsia="es-ES"/>
        </w:rPr>
        <w:t>,</w:t>
      </w:r>
      <w:r w:rsidR="00AA393E">
        <w:rPr>
          <w:lang w:val="pt-PT" w:eastAsia="es-ES"/>
        </w:rPr>
        <w:t xml:space="preserve"> sobre las incidencias de la digitalización de los servicios notariales al </w:t>
      </w:r>
      <w:r w:rsidR="00741575">
        <w:rPr>
          <w:lang w:val="pt-PT" w:eastAsia="es-ES"/>
        </w:rPr>
        <w:t xml:space="preserve">impacto propio que esta tendría respecto de esta prestación pública. </w:t>
      </w:r>
      <w:r w:rsidR="000301BE">
        <w:rPr>
          <w:lang w:val="pt-PT" w:eastAsia="es-ES"/>
        </w:rPr>
        <w:t xml:space="preserve">Si bien, el objetivo es avanzar hacia un sistema que resulte más ágil y accesible para los usuarios, no se soslaya que la implementación de la tecnología debe </w:t>
      </w:r>
      <w:r w:rsidR="00D042A4">
        <w:rPr>
          <w:lang w:val="pt-PT" w:eastAsia="es-ES"/>
        </w:rPr>
        <w:t xml:space="preserve">solventarse con medidas previstas dentro del marco legal para garantizar la seguridad jurídica para las partes intervinientes en la celebración de escrituras públicas. Por lo tanto, de ese modo, es posible </w:t>
      </w:r>
      <w:r w:rsidR="00AD2EC9">
        <w:rPr>
          <w:lang w:val="pt-PT" w:eastAsia="es-ES"/>
        </w:rPr>
        <w:t xml:space="preserve">contar con la previsión que contribuya a evitar vacíos normativos que vulneren los derechos de los comparecientes. </w:t>
      </w:r>
    </w:p>
    <w:p w14:paraId="2A692FB1" w14:textId="17DFD29A" w:rsidR="006760F6" w:rsidRDefault="000A3980" w:rsidP="00053D04">
      <w:pPr>
        <w:rPr>
          <w:lang w:val="pt-PT" w:eastAsia="es-ES"/>
        </w:rPr>
      </w:pPr>
      <w:r>
        <w:rPr>
          <w:lang w:val="pt-PT" w:eastAsia="es-ES"/>
        </w:rPr>
        <w:t xml:space="preserve">En relación con lo indicado en líneas anteriores, los notarios deben adaptarse e implementar la tecnología como parte del desempeño de sus cargos, pero cabe el cuestionamiento en relación con </w:t>
      </w:r>
      <w:r w:rsidR="003031FD">
        <w:rPr>
          <w:lang w:val="pt-PT" w:eastAsia="es-ES"/>
        </w:rPr>
        <w:t xml:space="preserve">los presupuestos legales que les instruya y les muestre cómo cumplir con tal cometido. Este hecho más que todo es contradictorio cuando se fija una obligación, pero sin parámetros en la ley más definidos para aquello, tal como se desprende del artículo 301.2, numeral 4 del Código Orgánico de la Función Judicial que </w:t>
      </w:r>
      <w:r w:rsidR="002F4CC8">
        <w:rPr>
          <w:lang w:val="pt-PT" w:eastAsia="es-ES"/>
        </w:rPr>
        <w:t>señala como estándares de rendimiento para estos funcionarios en cuanto al uso de herramientas tecnológicas para realizar sus actuaciones</w:t>
      </w:r>
      <w:r w:rsidR="00B233E2">
        <w:rPr>
          <w:lang w:val="pt-PT" w:eastAsia="es-ES"/>
        </w:rPr>
        <w:t xml:space="preserve"> </w:t>
      </w:r>
      <w:sdt>
        <w:sdtPr>
          <w:rPr>
            <w:lang w:val="pt-PT" w:eastAsia="es-ES"/>
          </w:rPr>
          <w:id w:val="1021049240"/>
          <w:citation/>
        </w:sdtPr>
        <w:sdtContent>
          <w:r w:rsidR="00B233E2">
            <w:rPr>
              <w:lang w:val="pt-PT" w:eastAsia="es-ES"/>
            </w:rPr>
            <w:fldChar w:fldCharType="begin"/>
          </w:r>
          <w:r w:rsidR="00B233E2">
            <w:rPr>
              <w:lang w:val="es-MX" w:eastAsia="es-ES"/>
            </w:rPr>
            <w:instrText xml:space="preserve"> CITATION Cód262 \l 2058 </w:instrText>
          </w:r>
          <w:r w:rsidR="00B233E2">
            <w:rPr>
              <w:lang w:val="pt-PT" w:eastAsia="es-ES"/>
            </w:rPr>
            <w:fldChar w:fldCharType="separate"/>
          </w:r>
          <w:r w:rsidR="001A7B3C">
            <w:rPr>
              <w:noProof/>
              <w:lang w:val="es-MX" w:eastAsia="es-ES"/>
            </w:rPr>
            <w:t>(Código Orgánico de la Función Judicial, 2009, actualizado en el Registro Oficial 189 de 26 de marzo de 2026)</w:t>
          </w:r>
          <w:r w:rsidR="00B233E2">
            <w:rPr>
              <w:lang w:val="pt-PT" w:eastAsia="es-ES"/>
            </w:rPr>
            <w:fldChar w:fldCharType="end"/>
          </w:r>
        </w:sdtContent>
      </w:sdt>
      <w:r w:rsidR="002F4CC8">
        <w:rPr>
          <w:lang w:val="pt-PT" w:eastAsia="es-ES"/>
        </w:rPr>
        <w:t xml:space="preserve">. </w:t>
      </w:r>
      <w:r w:rsidR="006760F6">
        <w:rPr>
          <w:lang w:val="pt-PT" w:eastAsia="es-ES"/>
        </w:rPr>
        <w:t xml:space="preserve">Esta disposición claramente establece un deber, pero no se aprecia que esta o alguna otra norma indique las condiciones necesarias para </w:t>
      </w:r>
      <w:r w:rsidR="000B59E1">
        <w:rPr>
          <w:lang w:val="pt-PT" w:eastAsia="es-ES"/>
        </w:rPr>
        <w:t xml:space="preserve">ejecutar debidamente este cumplimiento que es exigido. </w:t>
      </w:r>
    </w:p>
    <w:p w14:paraId="61588101" w14:textId="5D2B0E93" w:rsidR="00F46FD2" w:rsidRDefault="00956325" w:rsidP="00053D04">
      <w:pPr>
        <w:rPr>
          <w:lang w:val="pt-PT" w:eastAsia="es-ES"/>
        </w:rPr>
      </w:pPr>
      <w:r>
        <w:rPr>
          <w:lang w:val="pt-PT" w:eastAsia="es-ES"/>
        </w:rPr>
        <w:t xml:space="preserve">Del mismo modo, el artículo 66, numeral 25 de la CRE </w:t>
      </w:r>
      <w:r w:rsidR="0030704F">
        <w:rPr>
          <w:lang w:val="pt-PT" w:eastAsia="es-ES"/>
        </w:rPr>
        <w:t>reconoce el derecho de las personas a recibir una prestación de bienes y servicios públicos de calidad</w:t>
      </w:r>
      <w:r w:rsidR="00E4488F">
        <w:rPr>
          <w:lang w:val="pt-PT" w:eastAsia="es-ES"/>
        </w:rPr>
        <w:t xml:space="preserve">. A esto, </w:t>
      </w:r>
      <w:r w:rsidR="00201A69">
        <w:rPr>
          <w:lang w:val="pt-PT" w:eastAsia="es-ES"/>
        </w:rPr>
        <w:t>surgen las inquietudes de cómo los notarios pueden adaptar estas disposiciones cuando el marco jurídico no es lo suficientemente amplio y descriptivo en la digitalización de estos servicios en términos de eficacia</w:t>
      </w:r>
      <w:r w:rsidR="00B233E2">
        <w:rPr>
          <w:lang w:val="pt-PT" w:eastAsia="es-ES"/>
        </w:rPr>
        <w:t>.</w:t>
      </w:r>
      <w:r w:rsidR="000B59E1">
        <w:rPr>
          <w:lang w:val="pt-PT" w:eastAsia="es-ES"/>
        </w:rPr>
        <w:t xml:space="preserve"> Esta predisposición de adecuado servicio, </w:t>
      </w:r>
      <w:r w:rsidR="009D1F4C">
        <w:rPr>
          <w:lang w:val="pt-PT" w:eastAsia="es-ES"/>
        </w:rPr>
        <w:t>sumada</w:t>
      </w:r>
      <w:r w:rsidR="000B59E1">
        <w:rPr>
          <w:lang w:val="pt-PT" w:eastAsia="es-ES"/>
        </w:rPr>
        <w:t xml:space="preserve"> a lo mencionado previamente, </w:t>
      </w:r>
      <w:r w:rsidR="009D1F4C">
        <w:rPr>
          <w:lang w:val="pt-PT" w:eastAsia="es-ES"/>
        </w:rPr>
        <w:t>lleva</w:t>
      </w:r>
      <w:r w:rsidR="00382E89">
        <w:rPr>
          <w:lang w:val="pt-PT" w:eastAsia="es-ES"/>
        </w:rPr>
        <w:t xml:space="preserve"> a reflexionar hasta qué punto se puede esperar seguridad jurídica cuando no se </w:t>
      </w:r>
      <w:r w:rsidR="009D1F4C">
        <w:rPr>
          <w:lang w:val="pt-PT" w:eastAsia="es-ES"/>
        </w:rPr>
        <w:t>dispone</w:t>
      </w:r>
      <w:r w:rsidR="00382E89">
        <w:rPr>
          <w:lang w:val="pt-PT" w:eastAsia="es-ES"/>
        </w:rPr>
        <w:t xml:space="preserve"> de los medios para el efecto. </w:t>
      </w:r>
    </w:p>
    <w:p w14:paraId="458585B7" w14:textId="03D3B509" w:rsidR="000A3980" w:rsidRDefault="00CE44EF" w:rsidP="00053D04">
      <w:pPr>
        <w:rPr>
          <w:lang w:val="pt-PT" w:eastAsia="es-ES"/>
        </w:rPr>
      </w:pPr>
      <w:r>
        <w:rPr>
          <w:lang w:val="pt-PT" w:eastAsia="es-ES"/>
        </w:rPr>
        <w:t>Para efectos de contar con una idea más descriptiva sobre este asunto</w:t>
      </w:r>
      <w:r w:rsidR="00E4488F">
        <w:rPr>
          <w:lang w:val="pt-PT" w:eastAsia="es-ES"/>
        </w:rPr>
        <w:t xml:space="preserve">, Vásquez y Jaramillo (2023), sostuvieron que tanto en la forma </w:t>
      </w:r>
      <w:r w:rsidR="00E4488F">
        <w:rPr>
          <w:lang w:val="pt-PT" w:eastAsia="es-ES"/>
        </w:rPr>
        <w:lastRenderedPageBreak/>
        <w:t xml:space="preserve">tradicional como en la digital, la función notarial no se limita solo a certificar firmas, sino a </w:t>
      </w:r>
      <w:r w:rsidR="0004204A">
        <w:rPr>
          <w:lang w:val="pt-PT" w:eastAsia="es-ES"/>
        </w:rPr>
        <w:t>verificar la capacidad de las partes</w:t>
      </w:r>
      <w:r w:rsidR="00F46FD2">
        <w:rPr>
          <w:lang w:val="pt-PT" w:eastAsia="es-ES"/>
        </w:rPr>
        <w:t xml:space="preserve">. También </w:t>
      </w:r>
      <w:r w:rsidR="00E4488F">
        <w:rPr>
          <w:lang w:val="pt-PT" w:eastAsia="es-ES"/>
        </w:rPr>
        <w:t>consta</w:t>
      </w:r>
      <w:r w:rsidR="0004204A">
        <w:rPr>
          <w:lang w:val="pt-PT" w:eastAsia="es-ES"/>
        </w:rPr>
        <w:t xml:space="preserve"> la comprensión del contenido negacional, así como la prevención </w:t>
      </w:r>
      <w:r w:rsidR="00C01787">
        <w:rPr>
          <w:lang w:val="pt-PT" w:eastAsia="es-ES"/>
        </w:rPr>
        <w:t xml:space="preserve">de vicios del consentimiento, lo que es un desafío en la esfera digital </w:t>
      </w:r>
      <w:r w:rsidR="009D1F4C">
        <w:rPr>
          <w:lang w:val="pt-PT" w:eastAsia="es-ES"/>
        </w:rPr>
        <w:t xml:space="preserve">por las brechas de la alfabetización digital y desigualdades de acceso a la tecnología. </w:t>
      </w:r>
      <w:r w:rsidR="00BA68A0">
        <w:rPr>
          <w:lang w:val="pt-PT" w:eastAsia="es-ES"/>
        </w:rPr>
        <w:t xml:space="preserve">Se observa </w:t>
      </w:r>
      <w:r w:rsidR="00746116">
        <w:rPr>
          <w:lang w:val="pt-PT" w:eastAsia="es-ES"/>
        </w:rPr>
        <w:t xml:space="preserve">cómo la incorporación de tecnologías digitales y telemáticas en </w:t>
      </w:r>
      <w:r w:rsidR="00427C43">
        <w:rPr>
          <w:lang w:val="pt-PT" w:eastAsia="es-ES"/>
        </w:rPr>
        <w:t xml:space="preserve">el servicio notarial no conduce a una impresión unánime de mejora, sino más bien, de desafíos que deben ser asumidos para su correcto empleo, más que todo porque las respuestas deben surgir de la propia ley, es decir, en términos de seguridad jurídica. </w:t>
      </w:r>
    </w:p>
    <w:p w14:paraId="5C709B4A" w14:textId="13C275C7" w:rsidR="00041424" w:rsidRPr="00053D04" w:rsidRDefault="00041424" w:rsidP="00053D04">
      <w:pPr>
        <w:rPr>
          <w:lang w:val="pt-PT" w:eastAsia="es-ES"/>
        </w:rPr>
      </w:pPr>
      <w:r>
        <w:rPr>
          <w:lang w:val="pt-PT" w:eastAsia="es-ES"/>
        </w:rPr>
        <w:t>En efecto, el uso de la tecnología por parte de los notarios, tal como está previsto por</w:t>
      </w:r>
      <w:r w:rsidR="008008A7">
        <w:rPr>
          <w:lang w:val="pt-PT" w:eastAsia="es-ES"/>
        </w:rPr>
        <w:t xml:space="preserve"> Villacres</w:t>
      </w:r>
      <w:r>
        <w:rPr>
          <w:lang w:val="pt-PT" w:eastAsia="es-ES"/>
        </w:rPr>
        <w:t xml:space="preserve"> y </w:t>
      </w:r>
      <w:r w:rsidR="008008A7">
        <w:rPr>
          <w:lang w:val="pt-PT" w:eastAsia="es-ES"/>
        </w:rPr>
        <w:t xml:space="preserve">Pazmay </w:t>
      </w:r>
      <w:sdt>
        <w:sdtPr>
          <w:rPr>
            <w:lang w:val="pt-PT" w:eastAsia="es-ES"/>
          </w:rPr>
          <w:id w:val="1522211001"/>
          <w:citation/>
        </w:sdtPr>
        <w:sdtContent>
          <w:r w:rsidR="008008A7">
            <w:rPr>
              <w:lang w:val="pt-PT" w:eastAsia="es-ES"/>
            </w:rPr>
            <w:fldChar w:fldCharType="begin"/>
          </w:r>
          <w:r w:rsidR="008008A7">
            <w:rPr>
              <w:lang w:val="es-MX" w:eastAsia="es-ES"/>
            </w:rPr>
            <w:instrText xml:space="preserve">CITATION Vil213 \n  \t  \l 2058 </w:instrText>
          </w:r>
          <w:r w:rsidR="008008A7">
            <w:rPr>
              <w:lang w:val="pt-PT" w:eastAsia="es-ES"/>
            </w:rPr>
            <w:fldChar w:fldCharType="separate"/>
          </w:r>
          <w:r w:rsidR="001A7B3C">
            <w:rPr>
              <w:noProof/>
              <w:lang w:val="es-MX" w:eastAsia="es-ES"/>
            </w:rPr>
            <w:t>(2021)</w:t>
          </w:r>
          <w:r w:rsidR="008008A7">
            <w:rPr>
              <w:lang w:val="pt-PT" w:eastAsia="es-ES"/>
            </w:rPr>
            <w:fldChar w:fldCharType="end"/>
          </w:r>
        </w:sdtContent>
      </w:sdt>
      <w:r>
        <w:rPr>
          <w:lang w:val="pt-PT" w:eastAsia="es-ES"/>
        </w:rPr>
        <w:t xml:space="preserve">, </w:t>
      </w:r>
      <w:r w:rsidR="00651E0D">
        <w:rPr>
          <w:lang w:val="pt-PT" w:eastAsia="es-ES"/>
        </w:rPr>
        <w:t>en términos de seguridad jurídica</w:t>
      </w:r>
      <w:r w:rsidR="00013D22">
        <w:rPr>
          <w:lang w:val="pt-PT" w:eastAsia="es-ES"/>
        </w:rPr>
        <w:t xml:space="preserve"> debe acreditar y asegurar certeza, estabilidad y previsibilidad en los actos notariales. Por consiguiente, </w:t>
      </w:r>
      <w:r w:rsidR="008F742E">
        <w:rPr>
          <w:lang w:val="pt-PT" w:eastAsia="es-ES"/>
        </w:rPr>
        <w:t>la automatización de este servicio no puede provocar incertidumbre sobre la autoría, así como sobre la integridad  o efectos jurídicos de los instrumentos públicos.</w:t>
      </w:r>
      <w:r w:rsidR="00135610">
        <w:rPr>
          <w:lang w:val="pt-PT" w:eastAsia="es-ES"/>
        </w:rPr>
        <w:t xml:space="preserve"> Al contrario, le compete reforzar la confianza pertinente a este sistema y que se ten</w:t>
      </w:r>
      <w:r w:rsidR="00854799">
        <w:rPr>
          <w:lang w:val="pt-PT" w:eastAsia="es-ES"/>
        </w:rPr>
        <w:t>ga la convicción de que los actos autorizados digitalmente por el notario son plenamente válidos de conformidad con las normas del sistema jurídico ecuatoriano en el contexto digital.</w:t>
      </w:r>
      <w:r w:rsidR="008008A7">
        <w:rPr>
          <w:lang w:val="pt-PT" w:eastAsia="es-ES"/>
        </w:rPr>
        <w:t xml:space="preserve"> </w:t>
      </w:r>
    </w:p>
    <w:p w14:paraId="30CC6AFF" w14:textId="3F330DD7" w:rsidR="00F46F3C" w:rsidRDefault="00F46F3C" w:rsidP="00231BA9">
      <w:pPr>
        <w:pStyle w:val="Ttulo1"/>
        <w:numPr>
          <w:ilvl w:val="0"/>
          <w:numId w:val="45"/>
        </w:numPr>
        <w:tabs>
          <w:tab w:val="left" w:pos="567"/>
        </w:tabs>
        <w:ind w:left="0" w:firstLine="0"/>
        <w:rPr>
          <w:lang w:val="pt-PT" w:eastAsia="es-ES"/>
        </w:rPr>
      </w:pPr>
      <w:r>
        <w:rPr>
          <w:lang w:val="pt-PT" w:eastAsia="es-ES"/>
        </w:rPr>
        <w:t>CONCLUSIONES</w:t>
      </w:r>
    </w:p>
    <w:p w14:paraId="434B6A1F" w14:textId="605F298F" w:rsidR="00A40E4F" w:rsidRDefault="00802559" w:rsidP="00231BA9">
      <w:pPr>
        <w:pStyle w:val="Prrafodelista"/>
        <w:ind w:left="0"/>
        <w:rPr>
          <w:lang w:val="pt-PT" w:eastAsia="es-ES"/>
        </w:rPr>
      </w:pPr>
      <w:r>
        <w:rPr>
          <w:lang w:val="pt-PT" w:eastAsia="es-ES"/>
        </w:rPr>
        <w:t>Se pudo observar que la</w:t>
      </w:r>
      <w:r w:rsidR="00F152F2">
        <w:rPr>
          <w:lang w:val="pt-PT" w:eastAsia="es-ES"/>
        </w:rPr>
        <w:t xml:space="preserve"> legalidad de las actuaciones notariales enfrenta un cambio de concepción y aplicación ante la irrupción de los nuevos avances tecnológicos que deben aplicarse dentro de este ámbito, por lo tanto, ante </w:t>
      </w:r>
      <w:r w:rsidR="00053088">
        <w:rPr>
          <w:lang w:val="pt-PT" w:eastAsia="es-ES"/>
        </w:rPr>
        <w:t xml:space="preserve">este novedoso escenario en constante </w:t>
      </w:r>
      <w:r w:rsidR="00391808">
        <w:rPr>
          <w:lang w:val="pt-PT" w:eastAsia="es-ES"/>
        </w:rPr>
        <w:t>transformación</w:t>
      </w:r>
      <w:r w:rsidR="00053088">
        <w:rPr>
          <w:lang w:val="pt-PT" w:eastAsia="es-ES"/>
        </w:rPr>
        <w:t xml:space="preserve">, </w:t>
      </w:r>
      <w:r w:rsidR="00BB1142">
        <w:rPr>
          <w:lang w:val="pt-PT" w:eastAsia="es-ES"/>
        </w:rPr>
        <w:t>se apreci</w:t>
      </w:r>
      <w:r w:rsidR="00391808">
        <w:rPr>
          <w:lang w:val="pt-PT" w:eastAsia="es-ES"/>
        </w:rPr>
        <w:t>ó</w:t>
      </w:r>
      <w:r w:rsidR="00BB1142">
        <w:rPr>
          <w:lang w:val="pt-PT" w:eastAsia="es-ES"/>
        </w:rPr>
        <w:t xml:space="preserve"> cómo emerge la digitalización de los actos y las relaciones jurídicas entre las personas naturales y jurídicas. Este proceso </w:t>
      </w:r>
      <w:r w:rsidR="00D01081">
        <w:rPr>
          <w:lang w:val="pt-PT" w:eastAsia="es-ES"/>
        </w:rPr>
        <w:t>exige</w:t>
      </w:r>
      <w:r w:rsidR="00053088">
        <w:rPr>
          <w:lang w:val="pt-PT" w:eastAsia="es-ES"/>
        </w:rPr>
        <w:t xml:space="preserve"> que los notarios empleen </w:t>
      </w:r>
      <w:r w:rsidR="00E8025B">
        <w:rPr>
          <w:lang w:val="pt-PT" w:eastAsia="es-ES"/>
        </w:rPr>
        <w:t xml:space="preserve">de forma imperativa las herramientas tecnológicas en el ejercicio de sus labores, lo cual </w:t>
      </w:r>
      <w:r w:rsidR="00B45BF9">
        <w:rPr>
          <w:lang w:val="pt-PT" w:eastAsia="es-ES"/>
        </w:rPr>
        <w:t>evidenció en el caso puntual de la realidad ecuatoriana que existe</w:t>
      </w:r>
      <w:r w:rsidR="00556961">
        <w:rPr>
          <w:lang w:val="pt-PT" w:eastAsia="es-ES"/>
        </w:rPr>
        <w:t xml:space="preserve"> la</w:t>
      </w:r>
      <w:r w:rsidR="00B45BF9">
        <w:rPr>
          <w:lang w:val="pt-PT" w:eastAsia="es-ES"/>
        </w:rPr>
        <w:t xml:space="preserve"> </w:t>
      </w:r>
      <w:r w:rsidR="00556961">
        <w:rPr>
          <w:lang w:val="pt-PT" w:eastAsia="es-ES"/>
        </w:rPr>
        <w:t>obligación de</w:t>
      </w:r>
      <w:r w:rsidR="00B45BF9">
        <w:rPr>
          <w:lang w:val="pt-PT" w:eastAsia="es-ES"/>
        </w:rPr>
        <w:t xml:space="preserve"> </w:t>
      </w:r>
      <w:r w:rsidR="007020B4">
        <w:rPr>
          <w:lang w:val="pt-PT" w:eastAsia="es-ES"/>
        </w:rPr>
        <w:t xml:space="preserve">digitalizar el servicio notarial, pero sin el </w:t>
      </w:r>
      <w:r w:rsidR="006F07DF">
        <w:rPr>
          <w:lang w:val="pt-PT" w:eastAsia="es-ES"/>
        </w:rPr>
        <w:t xml:space="preserve">suficiente desarrollo normativo que defina puntualmente cómo </w:t>
      </w:r>
      <w:r w:rsidR="00F05591">
        <w:rPr>
          <w:lang w:val="pt-PT" w:eastAsia="es-ES"/>
        </w:rPr>
        <w:t xml:space="preserve">corresponde que se lleve a cabo. </w:t>
      </w:r>
      <w:r w:rsidR="008147A9">
        <w:rPr>
          <w:lang w:val="pt-PT" w:eastAsia="es-ES"/>
        </w:rPr>
        <w:t xml:space="preserve">Al no existir una </w:t>
      </w:r>
      <w:r w:rsidR="008147A9">
        <w:rPr>
          <w:lang w:val="pt-PT" w:eastAsia="es-ES"/>
        </w:rPr>
        <w:lastRenderedPageBreak/>
        <w:t>pauta estándar, se afirma que e</w:t>
      </w:r>
      <w:r w:rsidR="00065358">
        <w:rPr>
          <w:lang w:val="pt-PT" w:eastAsia="es-ES"/>
        </w:rPr>
        <w:t xml:space="preserve">xiste un vacío jurídico que requiere de una solución que comprende </w:t>
      </w:r>
      <w:r w:rsidR="00D16703">
        <w:rPr>
          <w:lang w:val="pt-PT" w:eastAsia="es-ES"/>
        </w:rPr>
        <w:t xml:space="preserve">la creación de </w:t>
      </w:r>
      <w:r w:rsidR="00B35861">
        <w:rPr>
          <w:lang w:val="pt-PT" w:eastAsia="es-ES"/>
        </w:rPr>
        <w:t>la</w:t>
      </w:r>
      <w:r w:rsidR="00D16703">
        <w:rPr>
          <w:lang w:val="pt-PT" w:eastAsia="es-ES"/>
        </w:rPr>
        <w:t xml:space="preserve"> normativa que oriente a los notarios en este nuevo </w:t>
      </w:r>
      <w:r w:rsidR="00B35861">
        <w:rPr>
          <w:lang w:val="pt-PT" w:eastAsia="es-ES"/>
        </w:rPr>
        <w:t>contexto de prestación de sus servicios.</w:t>
      </w:r>
    </w:p>
    <w:p w14:paraId="57925625" w14:textId="77777777" w:rsidR="00243505" w:rsidRDefault="00243505" w:rsidP="00231BA9">
      <w:pPr>
        <w:pStyle w:val="Prrafodelista"/>
        <w:ind w:left="0"/>
        <w:rPr>
          <w:lang w:val="pt-PT" w:eastAsia="es-ES"/>
        </w:rPr>
      </w:pPr>
    </w:p>
    <w:p w14:paraId="2CF7E852" w14:textId="17A79FAD" w:rsidR="00B35861" w:rsidRDefault="0080611D" w:rsidP="00231BA9">
      <w:pPr>
        <w:pStyle w:val="Prrafodelista"/>
        <w:ind w:left="0"/>
        <w:rPr>
          <w:lang w:val="pt-PT" w:eastAsia="es-ES"/>
        </w:rPr>
      </w:pPr>
      <w:r>
        <w:rPr>
          <w:lang w:val="pt-PT" w:eastAsia="es-ES"/>
        </w:rPr>
        <w:t xml:space="preserve">Por su parte, la seguridad jurídica reflejó ser un principio que </w:t>
      </w:r>
      <w:r w:rsidR="00410673">
        <w:rPr>
          <w:lang w:val="pt-PT" w:eastAsia="es-ES"/>
        </w:rPr>
        <w:t xml:space="preserve">está adquiriendo otras connotaciones y relevancia </w:t>
      </w:r>
      <w:r w:rsidR="008A0E8D">
        <w:rPr>
          <w:lang w:val="pt-PT" w:eastAsia="es-ES"/>
        </w:rPr>
        <w:t>en</w:t>
      </w:r>
      <w:r w:rsidR="00410673">
        <w:rPr>
          <w:lang w:val="pt-PT" w:eastAsia="es-ES"/>
        </w:rPr>
        <w:t xml:space="preserve"> el proceso de digitalización de los servicios notariales, dado que el notario no solo debe reconocer y prestar la fe pública </w:t>
      </w:r>
      <w:r w:rsidR="003D5326">
        <w:rPr>
          <w:lang w:val="pt-PT" w:eastAsia="es-ES"/>
        </w:rPr>
        <w:t xml:space="preserve">como tradicionalmente ha estado acostumbrado a hacerlo, sino que su proceder está inexorablemente </w:t>
      </w:r>
      <w:r w:rsidR="00874F1A">
        <w:rPr>
          <w:lang w:val="pt-PT" w:eastAsia="es-ES"/>
        </w:rPr>
        <w:t xml:space="preserve">destinado a trasladarse </w:t>
      </w:r>
      <w:r w:rsidR="00A94E4A">
        <w:rPr>
          <w:lang w:val="pt-PT" w:eastAsia="es-ES"/>
        </w:rPr>
        <w:t>al ámbito digital. Las distintas posturas teóricas recopiladas a lo largo de esta investigación abarcaron</w:t>
      </w:r>
      <w:r w:rsidR="008A0E8D">
        <w:rPr>
          <w:lang w:val="pt-PT" w:eastAsia="es-ES"/>
        </w:rPr>
        <w:t xml:space="preserve"> que la presencia de brechas tecnológicas es el principal limitante que debe superarse para brindar un servicio óptimo y de calidad, lo cual resulta más complejo</w:t>
      </w:r>
      <w:r w:rsidR="005D7E92">
        <w:rPr>
          <w:lang w:val="pt-PT" w:eastAsia="es-ES"/>
        </w:rPr>
        <w:t xml:space="preserve"> cuando la ley no contempla este presupuesto. Este reto es más demandante y exigente toda vez </w:t>
      </w:r>
      <w:r w:rsidR="008A0E8D">
        <w:rPr>
          <w:lang w:val="pt-PT" w:eastAsia="es-ES"/>
        </w:rPr>
        <w:t>que</w:t>
      </w:r>
      <w:r w:rsidR="00243505">
        <w:rPr>
          <w:lang w:val="pt-PT" w:eastAsia="es-ES"/>
        </w:rPr>
        <w:t xml:space="preserve"> la accesibilidad a la tecnología es limitada, cuando existen personas vulnerables y en poblaciones </w:t>
      </w:r>
      <w:r w:rsidR="008A0E8D">
        <w:rPr>
          <w:lang w:val="pt-PT" w:eastAsia="es-ES"/>
        </w:rPr>
        <w:t xml:space="preserve">en las </w:t>
      </w:r>
      <w:r w:rsidR="00243505">
        <w:rPr>
          <w:lang w:val="pt-PT" w:eastAsia="es-ES"/>
        </w:rPr>
        <w:t xml:space="preserve">que no hay las posibilidades de contar con este recurso, por lo que tutelar los derechos por medio </w:t>
      </w:r>
      <w:r w:rsidR="008E6636">
        <w:rPr>
          <w:lang w:val="pt-PT" w:eastAsia="es-ES"/>
        </w:rPr>
        <w:t xml:space="preserve">del servicio notarial es más complejo cuando la ley no lo prevé, lo que condiciona </w:t>
      </w:r>
      <w:r w:rsidR="008A0E8D">
        <w:rPr>
          <w:lang w:val="pt-PT" w:eastAsia="es-ES"/>
        </w:rPr>
        <w:t>la satisfacción de este principio.</w:t>
      </w:r>
    </w:p>
    <w:p w14:paraId="5D3A1DBF" w14:textId="77777777" w:rsidR="008A0E8D" w:rsidRDefault="008A0E8D" w:rsidP="00231BA9">
      <w:pPr>
        <w:pStyle w:val="Prrafodelista"/>
        <w:ind w:left="0"/>
        <w:rPr>
          <w:lang w:val="pt-PT" w:eastAsia="es-ES"/>
        </w:rPr>
      </w:pPr>
    </w:p>
    <w:p w14:paraId="63228352" w14:textId="357BE42B" w:rsidR="008A0E8D" w:rsidRPr="00A40E4F" w:rsidRDefault="008A0E8D" w:rsidP="00231BA9">
      <w:pPr>
        <w:pStyle w:val="Prrafodelista"/>
        <w:ind w:left="0"/>
        <w:rPr>
          <w:lang w:val="pt-PT" w:eastAsia="es-ES"/>
        </w:rPr>
      </w:pPr>
      <w:r>
        <w:rPr>
          <w:lang w:val="pt-PT" w:eastAsia="es-ES"/>
        </w:rPr>
        <w:t xml:space="preserve">Finalmente, </w:t>
      </w:r>
      <w:r w:rsidR="00586E7F">
        <w:rPr>
          <w:lang w:val="pt-PT" w:eastAsia="es-ES"/>
        </w:rPr>
        <w:t xml:space="preserve">se concluye que la legalidad y la seguridad jurídica en el Ecuador </w:t>
      </w:r>
      <w:r w:rsidR="00425516">
        <w:rPr>
          <w:lang w:val="pt-PT" w:eastAsia="es-ES"/>
        </w:rPr>
        <w:t xml:space="preserve">no estarían lo suficientemente garantizadas en el proceso </w:t>
      </w:r>
      <w:r w:rsidR="004773DF">
        <w:rPr>
          <w:lang w:val="pt-PT" w:eastAsia="es-ES"/>
        </w:rPr>
        <w:t xml:space="preserve">de digitalización de los servicios notariales, más que todo por lo relacionado con las brechas </w:t>
      </w:r>
      <w:r w:rsidR="00585B3F">
        <w:rPr>
          <w:lang w:val="pt-PT" w:eastAsia="es-ES"/>
        </w:rPr>
        <w:t>existentes y la previsión de riesgos concernientes a la consta</w:t>
      </w:r>
      <w:r w:rsidR="005419AE">
        <w:rPr>
          <w:lang w:val="pt-PT" w:eastAsia="es-ES"/>
        </w:rPr>
        <w:t>ta</w:t>
      </w:r>
      <w:r w:rsidR="00585B3F">
        <w:rPr>
          <w:lang w:val="pt-PT" w:eastAsia="es-ES"/>
        </w:rPr>
        <w:t>ción de la autenticidad de la voluntad de los otorgantes e</w:t>
      </w:r>
      <w:r w:rsidR="005419AE">
        <w:rPr>
          <w:lang w:val="pt-PT" w:eastAsia="es-ES"/>
        </w:rPr>
        <w:t xml:space="preserve">n las escrituras públicas. Igualmente, si existen errores </w:t>
      </w:r>
      <w:r w:rsidR="008C4932">
        <w:rPr>
          <w:lang w:val="pt-PT" w:eastAsia="es-ES"/>
        </w:rPr>
        <w:t xml:space="preserve">en el registro de estas escrituras, no hay procedimientos establecidos para su rectificación cuando se celebran de forma telemática y la gestión es digital. </w:t>
      </w:r>
      <w:r w:rsidR="00474237">
        <w:rPr>
          <w:lang w:val="pt-PT" w:eastAsia="es-ES"/>
        </w:rPr>
        <w:t xml:space="preserve">Este hecho conlleva </w:t>
      </w:r>
      <w:r w:rsidR="00162CD6">
        <w:rPr>
          <w:lang w:val="pt-PT" w:eastAsia="es-ES"/>
        </w:rPr>
        <w:t>que la tutela efectiva de los derechos de los comparecientes no estaría plenamente garantizada, más que todo porque los notarios no cuentan con un marco legal que prevea estas situaciones, siendo que la digitalización de estos servicios cuenta</w:t>
      </w:r>
      <w:r w:rsidR="00604D3B">
        <w:rPr>
          <w:lang w:val="pt-PT" w:eastAsia="es-ES"/>
        </w:rPr>
        <w:t xml:space="preserve"> con varios temas por resolver para afianzar </w:t>
      </w:r>
      <w:r w:rsidR="00162CD6">
        <w:rPr>
          <w:lang w:val="pt-PT" w:eastAsia="es-ES"/>
        </w:rPr>
        <w:t xml:space="preserve">la aplicación de estos principios. </w:t>
      </w:r>
    </w:p>
    <w:p w14:paraId="558826EA" w14:textId="06A02AAB" w:rsidR="009919EE" w:rsidRDefault="009919EE" w:rsidP="009919EE">
      <w:pPr>
        <w:pStyle w:val="Ttulo1"/>
        <w:rPr>
          <w:lang w:val="pt-PT" w:eastAsia="es-ES"/>
        </w:rPr>
      </w:pPr>
      <w:r>
        <w:rPr>
          <w:lang w:val="pt-PT" w:eastAsia="es-ES"/>
        </w:rPr>
        <w:lastRenderedPageBreak/>
        <w:t xml:space="preserve">4. REFERENCIAS </w:t>
      </w:r>
    </w:p>
    <w:sdt>
      <w:sdtPr>
        <w:rPr>
          <w:rFonts w:eastAsiaTheme="minorHAnsi" w:cstheme="minorBidi"/>
          <w:caps w:val="0"/>
          <w:sz w:val="23"/>
          <w:szCs w:val="22"/>
          <w:shd w:val="clear" w:color="auto" w:fill="auto"/>
          <w14:numForm w14:val="oldStyle"/>
        </w:rPr>
        <w:id w:val="577410284"/>
        <w:docPartObj>
          <w:docPartGallery w:val="Bibliographies"/>
          <w:docPartUnique/>
        </w:docPartObj>
      </w:sdtPr>
      <w:sdtContent>
        <w:p w14:paraId="639F69F5" w14:textId="5F88B327" w:rsidR="00135842" w:rsidRDefault="00135842">
          <w:pPr>
            <w:pStyle w:val="Ttulo1"/>
          </w:pPr>
        </w:p>
        <w:sdt>
          <w:sdtPr>
            <w:rPr>
              <w:rFonts w:eastAsiaTheme="minorHAnsi" w:cstheme="minorBidi"/>
              <w:spacing w:val="1"/>
              <w:sz w:val="23"/>
              <w14:numSpacing w14:val="default"/>
            </w:rPr>
            <w:id w:val="-573587230"/>
            <w:bibliography/>
          </w:sdtPr>
          <w:sdtContent>
            <w:p w14:paraId="1828CDFA" w14:textId="77777777" w:rsidR="001A7B3C" w:rsidRDefault="00135842" w:rsidP="001A7B3C">
              <w:pPr>
                <w:pStyle w:val="Bibliografa"/>
                <w:ind w:left="720" w:hanging="720"/>
                <w:jc w:val="both"/>
                <w:rPr>
                  <w:noProof/>
                  <w:sz w:val="24"/>
                  <w:szCs w:val="24"/>
                  <w:lang w:val="pt-PT"/>
                </w:rPr>
              </w:pPr>
              <w:r>
                <w:fldChar w:fldCharType="begin"/>
              </w:r>
              <w:r>
                <w:instrText>BIBLIOGRAPHY</w:instrText>
              </w:r>
              <w:r>
                <w:fldChar w:fldCharType="separate"/>
              </w:r>
              <w:r w:rsidR="001A7B3C">
                <w:rPr>
                  <w:noProof/>
                  <w:lang w:val="pt-PT"/>
                </w:rPr>
                <w:t xml:space="preserve">Aponte, J. (2022). Crisis del principio de legalidad: discusión recurrente pero necesaria en América Latina. </w:t>
              </w:r>
              <w:r w:rsidR="001A7B3C">
                <w:rPr>
                  <w:i/>
                  <w:iCs/>
                  <w:noProof/>
                  <w:lang w:val="pt-PT"/>
                </w:rPr>
                <w:t>Estado &amp; Comunes, Revista de políticas y problemas públicos. Instituto de Altos Estudios Nacionales (IAEN), 14</w:t>
              </w:r>
              <w:r w:rsidR="001A7B3C">
                <w:rPr>
                  <w:noProof/>
                  <w:lang w:val="pt-PT"/>
                </w:rPr>
                <w:t>(1), 95-111. doi:https://doi.org/ 10.37228/estado_comunes.v1.n14.2022.243</w:t>
              </w:r>
            </w:p>
            <w:p w14:paraId="7072BECB" w14:textId="77777777" w:rsidR="001A7B3C" w:rsidRDefault="001A7B3C" w:rsidP="001A7B3C">
              <w:pPr>
                <w:pStyle w:val="Bibliografa"/>
                <w:ind w:left="720" w:hanging="720"/>
                <w:jc w:val="both"/>
                <w:rPr>
                  <w:noProof/>
                  <w:lang w:val="pt-PT"/>
                </w:rPr>
              </w:pPr>
              <w:r>
                <w:rPr>
                  <w:noProof/>
                  <w:lang w:val="pt-PT"/>
                </w:rPr>
                <w:t xml:space="preserve">Arellano, P. (2023). Servicio público notarial y seguridad jurídica en la contratación por medios telemáticos en Ecuador. </w:t>
              </w:r>
              <w:r>
                <w:rPr>
                  <w:i/>
                  <w:iCs/>
                  <w:noProof/>
                  <w:lang w:val="pt-PT"/>
                </w:rPr>
                <w:t>Polo del Conocimiento, 8</w:t>
              </w:r>
              <w:r>
                <w:rPr>
                  <w:noProof/>
                  <w:lang w:val="pt-PT"/>
                </w:rPr>
                <w:t>(6), 719-731. doi:DOI: 10.23857/pc.v8i6</w:t>
              </w:r>
            </w:p>
            <w:p w14:paraId="7D0E5CD1" w14:textId="77777777" w:rsidR="001A7B3C" w:rsidRDefault="001A7B3C" w:rsidP="001A7B3C">
              <w:pPr>
                <w:pStyle w:val="Bibliografa"/>
                <w:ind w:left="720" w:hanging="720"/>
                <w:jc w:val="both"/>
                <w:rPr>
                  <w:noProof/>
                  <w:lang w:val="pt-PT"/>
                </w:rPr>
              </w:pPr>
              <w:r>
                <w:rPr>
                  <w:noProof/>
                  <w:lang w:val="pt-PT"/>
                </w:rPr>
                <w:t xml:space="preserve">Belalcazar, P. (2026). La función notarial frente a la digitalización de los actos jurídicos: límites, garantías y riesgos en el notariado electrónico. </w:t>
              </w:r>
              <w:r>
                <w:rPr>
                  <w:i/>
                  <w:iCs/>
                  <w:noProof/>
                  <w:lang w:val="pt-PT"/>
                </w:rPr>
                <w:t>Revista Científica Dominio de las Ciencias, 12</w:t>
              </w:r>
              <w:r>
                <w:rPr>
                  <w:noProof/>
                  <w:lang w:val="pt-PT"/>
                </w:rPr>
                <w:t>(1), 338-353. doi:https://doi.org/10.23857/dc.v12i1.4674</w:t>
              </w:r>
            </w:p>
            <w:p w14:paraId="2B0BAD7F" w14:textId="1D561E13" w:rsidR="001A7B3C" w:rsidRDefault="001A7B3C" w:rsidP="001A7B3C">
              <w:pPr>
                <w:pStyle w:val="Bibliografa"/>
                <w:ind w:left="720" w:hanging="720"/>
                <w:jc w:val="both"/>
                <w:rPr>
                  <w:noProof/>
                  <w:lang w:val="pt-PT"/>
                </w:rPr>
              </w:pPr>
              <w:r>
                <w:rPr>
                  <w:noProof/>
                  <w:lang w:val="pt-PT"/>
                </w:rPr>
                <w:t xml:space="preserve">Castillo, S., Chacón, N., &amp; Castro, F. (2025). La hermenéutica notarial inmobiliario-mercantil y su eficacia registral en la legislación ecuatoriana. </w:t>
              </w:r>
              <w:r>
                <w:rPr>
                  <w:i/>
                  <w:iCs/>
                  <w:noProof/>
                  <w:lang w:val="pt-PT"/>
                </w:rPr>
                <w:t>Noesis, 7</w:t>
              </w:r>
              <w:r>
                <w:rPr>
                  <w:noProof/>
                  <w:lang w:val="pt-PT"/>
                </w:rPr>
                <w:t>(esp 1), 1793-1808. doi:https://doi.org/10.35381/noesisin.v7i1.534</w:t>
              </w:r>
            </w:p>
            <w:p w14:paraId="7A0BA671" w14:textId="77777777" w:rsidR="001A7B3C" w:rsidRDefault="001A7B3C" w:rsidP="001A7B3C">
              <w:pPr>
                <w:pStyle w:val="Bibliografa"/>
                <w:ind w:left="720" w:hanging="720"/>
                <w:jc w:val="both"/>
                <w:rPr>
                  <w:noProof/>
                  <w:lang w:val="pt-PT"/>
                </w:rPr>
              </w:pPr>
              <w:r>
                <w:rPr>
                  <w:noProof/>
                  <w:lang w:val="pt-PT"/>
                </w:rPr>
                <w:t xml:space="preserve">Código Orgánico de la Función Judicial. (2009, actualizado en el Registro Oficial 189 de 26 de marzo de 2026). </w:t>
              </w:r>
              <w:r>
                <w:rPr>
                  <w:i/>
                  <w:iCs/>
                  <w:noProof/>
                  <w:lang w:val="pt-PT"/>
                </w:rPr>
                <w:t>Asamblea Nacional de la República del Ecuador.</w:t>
              </w:r>
              <w:r>
                <w:rPr>
                  <w:noProof/>
                  <w:lang w:val="pt-PT"/>
                </w:rPr>
                <w:t xml:space="preserve"> Suplemento del Registro Oficial N° 544 de 09 de marzo de 2009. Obtido de https://biblioteca.defensoria.gob.ec/bitstream/37000/3818/3/C%c3%93DIGO%20ORG%c3%81NICO%20DE%20LA%20FUNCI%c3%93N%20JUDICIAL.%20Actualizado.pdf</w:t>
              </w:r>
            </w:p>
            <w:p w14:paraId="2BFD3DEE" w14:textId="77777777" w:rsidR="001A7B3C" w:rsidRDefault="001A7B3C" w:rsidP="001A7B3C">
              <w:pPr>
                <w:pStyle w:val="Bibliografa"/>
                <w:ind w:left="720" w:hanging="720"/>
                <w:jc w:val="both"/>
                <w:rPr>
                  <w:noProof/>
                  <w:lang w:val="pt-PT"/>
                </w:rPr>
              </w:pPr>
              <w:r>
                <w:rPr>
                  <w:noProof/>
                  <w:lang w:val="pt-PT"/>
                </w:rPr>
                <w:t xml:space="preserve">Constitución de la República del Ecuador. (2008, actualizada en el Tercer Suplemento del Registro Oficial 568, de 30 de mayo de 2024). </w:t>
              </w:r>
              <w:r>
                <w:rPr>
                  <w:i/>
                  <w:iCs/>
                  <w:noProof/>
                  <w:lang w:val="pt-PT"/>
                </w:rPr>
                <w:t>Asamblea Nacional Constituyente de la República del Ecuador.</w:t>
              </w:r>
              <w:r>
                <w:rPr>
                  <w:noProof/>
                  <w:lang w:val="pt-PT"/>
                </w:rPr>
                <w:t xml:space="preserve"> Registro Oficial N° 449 de 20 de octubre de 2008. Obtido de https://biblioteca.defensoria.gob.ec/bitstream/37000/4083/1/Constituci%c3%b3n%20de%20la%20Rep%c3%bablica%20del%20Ecuador.%20Actualizada.pdf</w:t>
              </w:r>
            </w:p>
            <w:p w14:paraId="2D3D971F" w14:textId="77777777" w:rsidR="001A7B3C" w:rsidRDefault="001A7B3C" w:rsidP="001A7B3C">
              <w:pPr>
                <w:pStyle w:val="Bibliografa"/>
                <w:ind w:left="720" w:hanging="720"/>
                <w:jc w:val="both"/>
                <w:rPr>
                  <w:noProof/>
                  <w:lang w:val="pt-PT"/>
                </w:rPr>
              </w:pPr>
              <w:r>
                <w:rPr>
                  <w:noProof/>
                  <w:lang w:val="pt-PT"/>
                </w:rPr>
                <w:t xml:space="preserve">Díaz, J., Chacón, N., &amp; Castro, F. (2025). Limitantes en la actuación notarial en la constatación de actos y hechos a petición de parte, en Ecuador. </w:t>
              </w:r>
              <w:r>
                <w:rPr>
                  <w:i/>
                  <w:iCs/>
                  <w:noProof/>
                  <w:lang w:val="pt-PT"/>
                </w:rPr>
                <w:t>Noesis. Revista Electrónica de Investigación, 7</w:t>
              </w:r>
              <w:r>
                <w:rPr>
                  <w:noProof/>
                  <w:lang w:val="pt-PT"/>
                </w:rPr>
                <w:t>(1), 1876-1892. doi:DOI 10.35381/noesisin.v7i1.539</w:t>
              </w:r>
            </w:p>
            <w:p w14:paraId="2EDB5AED" w14:textId="77777777" w:rsidR="001A7B3C" w:rsidRDefault="001A7B3C" w:rsidP="001A7B3C">
              <w:pPr>
                <w:pStyle w:val="Bibliografa"/>
                <w:ind w:left="720" w:hanging="720"/>
                <w:jc w:val="both"/>
                <w:rPr>
                  <w:noProof/>
                  <w:lang w:val="pt-PT"/>
                </w:rPr>
              </w:pPr>
              <w:r>
                <w:rPr>
                  <w:noProof/>
                  <w:lang w:val="pt-PT"/>
                </w:rPr>
                <w:t xml:space="preserve">Gallino, E. (1996). Notariado y seguridad jurídica. </w:t>
              </w:r>
              <w:r>
                <w:rPr>
                  <w:i/>
                  <w:iCs/>
                  <w:noProof/>
                  <w:lang w:val="pt-PT"/>
                </w:rPr>
                <w:t>Revista Notarial Colegio de Escribanos de la Provincia de Córdoba</w:t>
              </w:r>
              <w:r>
                <w:rPr>
                  <w:noProof/>
                  <w:lang w:val="pt-PT"/>
                </w:rPr>
                <w:t>(72), 1-15. Obtido de https://escribanos.org.ar/rnotarial/wp-content/uploads/2015/07/RNCba-72-1996-02-Doctrina.pdf</w:t>
              </w:r>
            </w:p>
            <w:p w14:paraId="303C07B2" w14:textId="77777777" w:rsidR="001A7B3C" w:rsidRDefault="001A7B3C" w:rsidP="001A7B3C">
              <w:pPr>
                <w:pStyle w:val="Bibliografa"/>
                <w:ind w:left="720" w:hanging="720"/>
                <w:jc w:val="both"/>
                <w:rPr>
                  <w:noProof/>
                  <w:lang w:val="pt-PT"/>
                </w:rPr>
              </w:pPr>
              <w:r>
                <w:rPr>
                  <w:noProof/>
                  <w:lang w:val="pt-PT"/>
                </w:rPr>
                <w:lastRenderedPageBreak/>
                <w:t xml:space="preserve">González, S. (2024). La seguridad jurídica en Paraguay: rol notarial. </w:t>
              </w:r>
              <w:r>
                <w:rPr>
                  <w:i/>
                  <w:iCs/>
                  <w:noProof/>
                  <w:lang w:val="pt-PT"/>
                </w:rPr>
                <w:t>Notariados de América</w:t>
              </w:r>
              <w:r>
                <w:rPr>
                  <w:noProof/>
                  <w:lang w:val="pt-PT"/>
                </w:rPr>
                <w:t>(2), 142-149. Obtido de https://uinl.org/wp-content/uploads/2025/02/Notariados_de_America_volumen-2_septiembre_2024.pdf</w:t>
              </w:r>
            </w:p>
            <w:p w14:paraId="0A000A17" w14:textId="77777777" w:rsidR="001A7B3C" w:rsidRDefault="001A7B3C" w:rsidP="001A7B3C">
              <w:pPr>
                <w:pStyle w:val="Bibliografa"/>
                <w:ind w:left="720" w:hanging="720"/>
                <w:jc w:val="both"/>
                <w:rPr>
                  <w:noProof/>
                  <w:lang w:val="pt-PT"/>
                </w:rPr>
              </w:pPr>
              <w:r>
                <w:rPr>
                  <w:noProof/>
                  <w:lang w:val="pt-PT"/>
                </w:rPr>
                <w:t xml:space="preserve">Guastini, R. (2001). El principio de legalidad. Em R. Guastini, </w:t>
              </w:r>
              <w:r>
                <w:rPr>
                  <w:i/>
                  <w:iCs/>
                  <w:noProof/>
                  <w:lang w:val="pt-PT"/>
                </w:rPr>
                <w:t>Estudios de teoría constitucional</w:t>
              </w:r>
              <w:r>
                <w:rPr>
                  <w:noProof/>
                  <w:lang w:val="pt-PT"/>
                </w:rPr>
                <w:t xml:space="preserve"> (M. Carbonell, &amp; K. Peréz, Trads., pp. 117-129). Universidad Nacional Autónoma de México.</w:t>
              </w:r>
            </w:p>
            <w:p w14:paraId="3E8FC057" w14:textId="77777777" w:rsidR="001A7B3C" w:rsidRDefault="001A7B3C" w:rsidP="001A7B3C">
              <w:pPr>
                <w:pStyle w:val="Bibliografa"/>
                <w:ind w:left="720" w:hanging="720"/>
                <w:jc w:val="both"/>
                <w:rPr>
                  <w:noProof/>
                  <w:lang w:val="pt-PT"/>
                </w:rPr>
              </w:pPr>
              <w:r>
                <w:rPr>
                  <w:noProof/>
                  <w:lang w:val="pt-PT"/>
                </w:rPr>
                <w:t xml:space="preserve">Islas, R. (2009). Sobre el principio de legalidad. </w:t>
              </w:r>
              <w:r>
                <w:rPr>
                  <w:i/>
                  <w:iCs/>
                  <w:noProof/>
                  <w:lang w:val="pt-PT"/>
                </w:rPr>
                <w:t>Anuario de Derecho Constitucional Latinoamericano, 15</w:t>
              </w:r>
              <w:r>
                <w:rPr>
                  <w:noProof/>
                  <w:lang w:val="pt-PT"/>
                </w:rPr>
                <w:t>, 97-108. Obtido de https://www.corteidh.or.cr/tablas/r23516.pdf</w:t>
              </w:r>
            </w:p>
            <w:p w14:paraId="2BD294FC" w14:textId="77777777" w:rsidR="001A7B3C" w:rsidRDefault="001A7B3C" w:rsidP="001A7B3C">
              <w:pPr>
                <w:pStyle w:val="Bibliografa"/>
                <w:ind w:left="720" w:hanging="720"/>
                <w:jc w:val="both"/>
                <w:rPr>
                  <w:noProof/>
                  <w:lang w:val="pt-PT"/>
                </w:rPr>
              </w:pPr>
              <w:r>
                <w:rPr>
                  <w:noProof/>
                  <w:lang w:val="pt-PT"/>
                </w:rPr>
                <w:t xml:space="preserve">Ley Notarial. (1966, actualizado 08 de diciembre de 2020). </w:t>
              </w:r>
              <w:r>
                <w:rPr>
                  <w:i/>
                  <w:iCs/>
                  <w:noProof/>
                  <w:lang w:val="pt-PT"/>
                </w:rPr>
                <w:t>Decreto Supremo 1404.</w:t>
              </w:r>
              <w:r>
                <w:rPr>
                  <w:noProof/>
                  <w:lang w:val="pt-PT"/>
                </w:rPr>
                <w:t xml:space="preserve"> Registro Oficial 158 de 11 de noviembre de 1966. Obtido de https://www.fen.com.ec/website/Documentos/normas/LEY-NOTARIAL.pdf?_gl=1*fju7rb*_ga*ODc2NDg3ODEyLjE3Njk2MzA5Njk.*_ga_P28FZYZ3P7*czE3NzkzODk5OTIkbzEwJGcwJHQxNzc5Mzg5OTkyJGo2MCRsMCRoMA..</w:t>
              </w:r>
            </w:p>
            <w:p w14:paraId="48AA570C" w14:textId="77777777" w:rsidR="001A7B3C" w:rsidRDefault="001A7B3C" w:rsidP="001A7B3C">
              <w:pPr>
                <w:pStyle w:val="Bibliografa"/>
                <w:ind w:left="720" w:hanging="720"/>
                <w:jc w:val="both"/>
                <w:rPr>
                  <w:noProof/>
                  <w:lang w:val="pt-PT"/>
                </w:rPr>
              </w:pPr>
              <w:r>
                <w:rPr>
                  <w:noProof/>
                  <w:lang w:val="pt-PT"/>
                </w:rPr>
                <w:t xml:space="preserve">López, A., &amp; Calle, J. (2022). Reflexiones sobre el régimen notarial en Ecuador. </w:t>
              </w:r>
              <w:r>
                <w:rPr>
                  <w:i/>
                  <w:iCs/>
                  <w:noProof/>
                  <w:lang w:val="pt-PT"/>
                </w:rPr>
                <w:t>Multiverso journal, 2</w:t>
              </w:r>
              <w:r>
                <w:rPr>
                  <w:noProof/>
                  <w:lang w:val="pt-PT"/>
                </w:rPr>
                <w:t>(3), 57-66. doi:https://doi.org/10.46502/issn.2792-3681/2022.3.5</w:t>
              </w:r>
            </w:p>
            <w:p w14:paraId="49DA367C" w14:textId="77777777" w:rsidR="001A7B3C" w:rsidRDefault="001A7B3C" w:rsidP="001A7B3C">
              <w:pPr>
                <w:pStyle w:val="Bibliografa"/>
                <w:ind w:left="720" w:hanging="720"/>
                <w:jc w:val="both"/>
                <w:rPr>
                  <w:noProof/>
                  <w:lang w:val="pt-PT"/>
                </w:rPr>
              </w:pPr>
              <w:r>
                <w:rPr>
                  <w:noProof/>
                  <w:lang w:val="pt-PT"/>
                </w:rPr>
                <w:t xml:space="preserve">Lucas, S., &amp; Albert, J. (2023). Principios notariales, justicia preventiva y seguridad jurídica. </w:t>
              </w:r>
              <w:r>
                <w:rPr>
                  <w:i/>
                  <w:iCs/>
                  <w:noProof/>
                  <w:lang w:val="pt-PT"/>
                </w:rPr>
                <w:t>Revista de Asociación de Escribanos del Uruguay, 109</w:t>
              </w:r>
              <w:r>
                <w:rPr>
                  <w:noProof/>
                  <w:lang w:val="pt-PT"/>
                </w:rPr>
                <w:t>, 21-39.</w:t>
              </w:r>
            </w:p>
            <w:p w14:paraId="536905B1" w14:textId="77777777" w:rsidR="001A7B3C" w:rsidRDefault="001A7B3C" w:rsidP="001A7B3C">
              <w:pPr>
                <w:pStyle w:val="Bibliografa"/>
                <w:ind w:left="720" w:hanging="720"/>
                <w:jc w:val="both"/>
                <w:rPr>
                  <w:noProof/>
                  <w:lang w:val="pt-PT"/>
                </w:rPr>
              </w:pPr>
              <w:r>
                <w:rPr>
                  <w:noProof/>
                  <w:lang w:val="pt-PT"/>
                </w:rPr>
                <w:t xml:space="preserve">Marcillo, M., &amp; Delgado, C. (2025). La seguridad jurídica en los actos notariales: Análisis desde la posesión efectiva en Ecuador. </w:t>
              </w:r>
              <w:r>
                <w:rPr>
                  <w:i/>
                  <w:iCs/>
                  <w:noProof/>
                  <w:lang w:val="pt-PT"/>
                </w:rPr>
                <w:t>Polo del Conocimiento, 10</w:t>
              </w:r>
              <w:r>
                <w:rPr>
                  <w:noProof/>
                  <w:lang w:val="pt-PT"/>
                </w:rPr>
                <w:t>(12), 3269-3283. doi:DOI: 10.23857/pc.v10i12.11070</w:t>
              </w:r>
            </w:p>
            <w:p w14:paraId="7F0C3E8C" w14:textId="77777777" w:rsidR="001A7B3C" w:rsidRDefault="001A7B3C" w:rsidP="001A7B3C">
              <w:pPr>
                <w:pStyle w:val="Bibliografa"/>
                <w:ind w:left="720" w:hanging="720"/>
                <w:jc w:val="both"/>
                <w:rPr>
                  <w:noProof/>
                  <w:lang w:val="pt-PT"/>
                </w:rPr>
              </w:pPr>
              <w:r>
                <w:rPr>
                  <w:noProof/>
                  <w:lang w:val="pt-PT"/>
                </w:rPr>
                <w:t xml:space="preserve">Mayorga, R. (2019). </w:t>
              </w:r>
              <w:r>
                <w:rPr>
                  <w:i/>
                  <w:iCs/>
                  <w:noProof/>
                  <w:lang w:val="pt-PT"/>
                </w:rPr>
                <w:t xml:space="preserve">Aplicabilidad y vigencia del principio de legalidad en el régimen jurídico administrativo dentro del marco del Estado constitucional de derechos y de justicia </w:t>
              </w:r>
              <w:r w:rsidRPr="000B35C2">
                <w:rPr>
                  <w:noProof/>
                  <w:lang w:val="pt-PT"/>
                </w:rPr>
                <w:t>[Maestría Profesional en Derecho Administrativo]</w:t>
              </w:r>
              <w:r>
                <w:rPr>
                  <w:i/>
                  <w:iCs/>
                  <w:noProof/>
                  <w:lang w:val="pt-PT"/>
                </w:rPr>
                <w:t>.</w:t>
              </w:r>
              <w:r>
                <w:rPr>
                  <w:noProof/>
                  <w:lang w:val="pt-PT"/>
                </w:rPr>
                <w:t xml:space="preserve"> Universidad Andina Simón Bolívar. Sede Ecuador. Área de Derecho. Obtido de https://repositorio.uasb.edu.ec/bitstream/10644/6856/1/T2936-MDA-Mayorga-Aplicabilidad.pdf</w:t>
              </w:r>
            </w:p>
            <w:p w14:paraId="13C88C9B" w14:textId="77777777" w:rsidR="001A7B3C" w:rsidRDefault="001A7B3C" w:rsidP="001A7B3C">
              <w:pPr>
                <w:pStyle w:val="Bibliografa"/>
                <w:ind w:left="720" w:hanging="720"/>
                <w:jc w:val="both"/>
                <w:rPr>
                  <w:noProof/>
                  <w:lang w:val="pt-PT"/>
                </w:rPr>
              </w:pPr>
              <w:r>
                <w:rPr>
                  <w:noProof/>
                  <w:lang w:val="pt-PT"/>
                </w:rPr>
                <w:t xml:space="preserve">Mezquita del Cacho, J. (1989). </w:t>
              </w:r>
              <w:r>
                <w:rPr>
                  <w:i/>
                  <w:iCs/>
                  <w:noProof/>
                  <w:lang w:val="pt-PT"/>
                </w:rPr>
                <w:t>Seguridad jurídica y sistema cautelar. Tomo I. Sistema español de Derecho Cautelar.</w:t>
              </w:r>
              <w:r>
                <w:rPr>
                  <w:noProof/>
                  <w:lang w:val="pt-PT"/>
                </w:rPr>
                <w:t xml:space="preserve"> Editorial Bosch.</w:t>
              </w:r>
            </w:p>
            <w:p w14:paraId="0FC6C0A5" w14:textId="77777777" w:rsidR="001A7B3C" w:rsidRDefault="001A7B3C" w:rsidP="001A7B3C">
              <w:pPr>
                <w:pStyle w:val="Bibliografa"/>
                <w:ind w:left="720" w:hanging="720"/>
                <w:jc w:val="both"/>
                <w:rPr>
                  <w:noProof/>
                  <w:lang w:val="pt-PT"/>
                </w:rPr>
              </w:pPr>
              <w:r>
                <w:rPr>
                  <w:noProof/>
                  <w:lang w:val="pt-PT"/>
                </w:rPr>
                <w:t xml:space="preserve">Moncayo, A., &amp; Delgado, C. (2026). El impacto de la digitalización en el ejercicio notarial en Ecuador: Un análisis con estudio de caso práctico. </w:t>
              </w:r>
              <w:r>
                <w:rPr>
                  <w:i/>
                  <w:iCs/>
                  <w:noProof/>
                  <w:lang w:val="pt-PT"/>
                </w:rPr>
                <w:t>Polo del Conocimiento, 11</w:t>
              </w:r>
              <w:r>
                <w:rPr>
                  <w:noProof/>
                  <w:lang w:val="pt-PT"/>
                </w:rPr>
                <w:t>(1), 1269-1287. doi:DOI: 10.23857/pc.v11i1.11071</w:t>
              </w:r>
            </w:p>
            <w:p w14:paraId="56D94578" w14:textId="77777777" w:rsidR="001A7B3C" w:rsidRDefault="001A7B3C" w:rsidP="001A7B3C">
              <w:pPr>
                <w:pStyle w:val="Bibliografa"/>
                <w:ind w:left="720" w:hanging="720"/>
                <w:jc w:val="both"/>
                <w:rPr>
                  <w:noProof/>
                  <w:lang w:val="pt-PT"/>
                </w:rPr>
              </w:pPr>
              <w:r>
                <w:rPr>
                  <w:noProof/>
                  <w:lang w:val="pt-PT"/>
                </w:rPr>
                <w:t xml:space="preserve">Prada, J. (1993). Lección segunda. Distintas clases de notariado: sus diferencias. </w:t>
              </w:r>
              <w:r>
                <w:rPr>
                  <w:i/>
                  <w:iCs/>
                  <w:noProof/>
                  <w:lang w:val="pt-PT"/>
                </w:rPr>
                <w:t>Podium Notarial. Revista del Colegio de Notarios del Estado de Jalisco</w:t>
              </w:r>
              <w:r>
                <w:rPr>
                  <w:noProof/>
                  <w:lang w:val="pt-PT"/>
                </w:rPr>
                <w:t xml:space="preserve">(8), 43-58. Obtido de </w:t>
              </w:r>
              <w:r>
                <w:rPr>
                  <w:noProof/>
                  <w:lang w:val="pt-PT"/>
                </w:rPr>
                <w:lastRenderedPageBreak/>
                <w:t>http://historico.juridicas.unam.mx/publica/librev/rev/podium/cont/8/cnt/cnt3.pdf</w:t>
              </w:r>
            </w:p>
            <w:p w14:paraId="684AEA07" w14:textId="77777777" w:rsidR="001A7B3C" w:rsidRDefault="001A7B3C" w:rsidP="001A7B3C">
              <w:pPr>
                <w:pStyle w:val="Bibliografa"/>
                <w:ind w:left="720" w:hanging="720"/>
                <w:jc w:val="both"/>
                <w:rPr>
                  <w:noProof/>
                  <w:lang w:val="pt-PT"/>
                </w:rPr>
              </w:pPr>
              <w:r>
                <w:rPr>
                  <w:noProof/>
                  <w:lang w:val="pt-PT"/>
                </w:rPr>
                <w:t xml:space="preserve">Remeseiro, R. (2025). La función notarial de control de legalidad en Chile. </w:t>
              </w:r>
              <w:r>
                <w:rPr>
                  <w:i/>
                  <w:iCs/>
                  <w:noProof/>
                  <w:lang w:val="pt-PT"/>
                </w:rPr>
                <w:t>Revista Chilena de Derecho Privado</w:t>
              </w:r>
              <w:r>
                <w:rPr>
                  <w:noProof/>
                  <w:lang w:val="pt-PT"/>
                </w:rPr>
                <w:t>(45), 115-159. doi:doi.org/10.32995/S0718-80722025974</w:t>
              </w:r>
            </w:p>
            <w:p w14:paraId="1D00FBCA" w14:textId="77777777" w:rsidR="001A7B3C" w:rsidRDefault="001A7B3C" w:rsidP="001A7B3C">
              <w:pPr>
                <w:pStyle w:val="Bibliografa"/>
                <w:ind w:left="720" w:hanging="720"/>
                <w:jc w:val="both"/>
                <w:rPr>
                  <w:noProof/>
                  <w:lang w:val="pt-PT"/>
                </w:rPr>
              </w:pPr>
              <w:r>
                <w:rPr>
                  <w:noProof/>
                  <w:lang w:val="pt-PT"/>
                </w:rPr>
                <w:t xml:space="preserve">Resolución 001-2021 del Consejo de la Judicatura. (2021). </w:t>
              </w:r>
              <w:r>
                <w:rPr>
                  <w:i/>
                  <w:iCs/>
                  <w:noProof/>
                  <w:lang w:val="pt-PT"/>
                </w:rPr>
                <w:t>Protocolo y regulaciones que permitan a notarías y notarios utilizar otras plataformas y herramientas tecnológicas.</w:t>
              </w:r>
              <w:r>
                <w:rPr>
                  <w:noProof/>
                  <w:lang w:val="pt-PT"/>
                </w:rPr>
                <w:t xml:space="preserve"> Pleno del Consejo de la Judicatura.</w:t>
              </w:r>
            </w:p>
            <w:p w14:paraId="49C847C7" w14:textId="77777777" w:rsidR="001A7B3C" w:rsidRDefault="001A7B3C" w:rsidP="001A7B3C">
              <w:pPr>
                <w:pStyle w:val="Bibliografa"/>
                <w:ind w:left="720" w:hanging="720"/>
                <w:jc w:val="both"/>
                <w:rPr>
                  <w:noProof/>
                  <w:lang w:val="pt-PT"/>
                </w:rPr>
              </w:pPr>
              <w:r>
                <w:rPr>
                  <w:noProof/>
                  <w:lang w:val="pt-PT"/>
                </w:rPr>
                <w:t xml:space="preserve">Resolución 305-2022 del Consejo de la Judicatura. (2022). </w:t>
              </w:r>
              <w:r>
                <w:rPr>
                  <w:i/>
                  <w:iCs/>
                  <w:noProof/>
                  <w:lang w:val="pt-PT"/>
                </w:rPr>
                <w:t>Protocolo uso de plataformas y herramientas para la prestación del servicio notarial telemático.</w:t>
              </w:r>
              <w:r>
                <w:rPr>
                  <w:noProof/>
                  <w:lang w:val="pt-PT"/>
                </w:rPr>
                <w:t xml:space="preserve"> Pleno del Consejo de la Judicatura.</w:t>
              </w:r>
            </w:p>
            <w:p w14:paraId="23767D81" w14:textId="77777777" w:rsidR="001A7B3C" w:rsidRDefault="001A7B3C" w:rsidP="001A7B3C">
              <w:pPr>
                <w:pStyle w:val="Bibliografa"/>
                <w:ind w:left="720" w:hanging="720"/>
                <w:jc w:val="both"/>
                <w:rPr>
                  <w:noProof/>
                  <w:lang w:val="pt-PT"/>
                </w:rPr>
              </w:pPr>
              <w:r>
                <w:rPr>
                  <w:noProof/>
                  <w:lang w:val="pt-PT"/>
                </w:rPr>
                <w:t xml:space="preserve">Salazar, E., Rojas, V., Recalde, A., &amp; Yache, E. (2023). Digitalización en compra-venta de bienes muebles y calidad del servicio notarial. </w:t>
              </w:r>
              <w:r>
                <w:rPr>
                  <w:i/>
                  <w:iCs/>
                  <w:noProof/>
                  <w:lang w:val="pt-PT"/>
                </w:rPr>
                <w:t>Iustitia Socialis. Revista Arbitrada de Ciencias Jurídicas y Criminalísticas, 8</w:t>
              </w:r>
              <w:r>
                <w:rPr>
                  <w:noProof/>
                  <w:lang w:val="pt-PT"/>
                </w:rPr>
                <w:t>(2), 207-220. doi:https://doi.org/10.35381/racji.v8i2.2910</w:t>
              </w:r>
            </w:p>
            <w:p w14:paraId="13B97A09" w14:textId="77777777" w:rsidR="001A7B3C" w:rsidRDefault="001A7B3C" w:rsidP="001A7B3C">
              <w:pPr>
                <w:pStyle w:val="Bibliografa"/>
                <w:ind w:left="720" w:hanging="720"/>
                <w:jc w:val="both"/>
                <w:rPr>
                  <w:noProof/>
                  <w:lang w:val="pt-PT"/>
                </w:rPr>
              </w:pPr>
              <w:r>
                <w:rPr>
                  <w:noProof/>
                  <w:lang w:val="pt-PT"/>
                </w:rPr>
                <w:t xml:space="preserve">Santistevan, S. (2026). Análisis jurídico del control de legalidad en la función notarial. </w:t>
              </w:r>
              <w:r>
                <w:rPr>
                  <w:i/>
                  <w:iCs/>
                  <w:noProof/>
                  <w:lang w:val="pt-PT"/>
                </w:rPr>
                <w:t>Polo del conocimiento, 11</w:t>
              </w:r>
              <w:r>
                <w:rPr>
                  <w:noProof/>
                  <w:lang w:val="pt-PT"/>
                </w:rPr>
                <w:t>(5), 358-367. Obtido de https://doi.org/10.23857/pc.v11i5.11592</w:t>
              </w:r>
            </w:p>
            <w:p w14:paraId="4D8B5946" w14:textId="77777777" w:rsidR="001A7B3C" w:rsidRDefault="001A7B3C" w:rsidP="001A7B3C">
              <w:pPr>
                <w:pStyle w:val="Bibliografa"/>
                <w:ind w:left="720" w:hanging="720"/>
                <w:jc w:val="both"/>
                <w:rPr>
                  <w:noProof/>
                  <w:lang w:val="pt-PT"/>
                </w:rPr>
              </w:pPr>
              <w:r>
                <w:rPr>
                  <w:noProof/>
                  <w:lang w:val="pt-PT"/>
                </w:rPr>
                <w:t xml:space="preserve">Segovia, L. (2025). </w:t>
              </w:r>
              <w:r>
                <w:rPr>
                  <w:i/>
                  <w:iCs/>
                  <w:noProof/>
                  <w:lang w:val="pt-PT"/>
                </w:rPr>
                <w:t xml:space="preserve">Impacto de la digitalización en los servicios notariales en el cantón Pujilí, provincia de Cotopaxi </w:t>
              </w:r>
              <w:r w:rsidRPr="000B35C2">
                <w:rPr>
                  <w:noProof/>
                  <w:lang w:val="pt-PT"/>
                </w:rPr>
                <w:t>[Maestría en Derecho con Mención en Derecho Notarial y Registral]</w:t>
              </w:r>
              <w:r>
                <w:rPr>
                  <w:i/>
                  <w:iCs/>
                  <w:noProof/>
                  <w:lang w:val="pt-PT"/>
                </w:rPr>
                <w:t>.</w:t>
              </w:r>
              <w:r>
                <w:rPr>
                  <w:noProof/>
                  <w:lang w:val="pt-PT"/>
                </w:rPr>
                <w:t xml:space="preserve"> Instituto de Altos Estudios Nacionales. Obtido de https://repositorio.iaen.edu.ec/xmlui/bitstream/handle/24000/6770/SEGOVIA%20CARDENAS_LUIS%20ALFONSO.pdf?sequence=1&amp;isAllowed=y</w:t>
              </w:r>
            </w:p>
            <w:p w14:paraId="75ECC07F" w14:textId="77777777" w:rsidR="001A7B3C" w:rsidRDefault="001A7B3C" w:rsidP="001A7B3C">
              <w:pPr>
                <w:pStyle w:val="Bibliografa"/>
                <w:ind w:left="720" w:hanging="720"/>
                <w:jc w:val="both"/>
                <w:rPr>
                  <w:noProof/>
                  <w:lang w:val="pt-PT"/>
                </w:rPr>
              </w:pPr>
              <w:r>
                <w:rPr>
                  <w:noProof/>
                  <w:lang w:val="pt-PT"/>
                </w:rPr>
                <w:t>Sentencia N° 127-12-SEP-CC, Caso N° 0555-10-EP (Corte Constitucional del Ecuador 10 de Abril de 2012). Obtido de https://esacc.corteconstitucional.gob.ec/storage/api/v1/10_DWL_FL/e2NhcnBldGE6J2FsZnJlc2NvJywgdXVpZDonNTQ1YTM4NjYtYzUzNi00ZDBkLWEwNTAtZGU1YjZiYzBkMGM5LnBkZid9</w:t>
              </w:r>
            </w:p>
            <w:p w14:paraId="16A1C1D3" w14:textId="77777777" w:rsidR="001A7B3C" w:rsidRDefault="001A7B3C" w:rsidP="001A7B3C">
              <w:pPr>
                <w:pStyle w:val="Bibliografa"/>
                <w:ind w:left="720" w:hanging="720"/>
                <w:jc w:val="both"/>
                <w:rPr>
                  <w:noProof/>
                  <w:lang w:val="pt-PT"/>
                </w:rPr>
              </w:pPr>
              <w:r>
                <w:rPr>
                  <w:noProof/>
                  <w:lang w:val="pt-PT"/>
                </w:rPr>
                <w:t xml:space="preserve">Soler, S. (2018). </w:t>
              </w:r>
              <w:r>
                <w:rPr>
                  <w:i/>
                  <w:iCs/>
                  <w:noProof/>
                  <w:lang w:val="pt-PT"/>
                </w:rPr>
                <w:t>Las palabras de la ley.</w:t>
              </w:r>
              <w:r>
                <w:rPr>
                  <w:noProof/>
                  <w:lang w:val="pt-PT"/>
                </w:rPr>
                <w:t xml:space="preserve"> Ediciones Olejnik.</w:t>
              </w:r>
            </w:p>
            <w:p w14:paraId="56956E87" w14:textId="77777777" w:rsidR="001A7B3C" w:rsidRDefault="001A7B3C" w:rsidP="001A7B3C">
              <w:pPr>
                <w:pStyle w:val="Bibliografa"/>
                <w:ind w:left="720" w:hanging="720"/>
                <w:jc w:val="both"/>
                <w:rPr>
                  <w:noProof/>
                  <w:lang w:val="pt-PT"/>
                </w:rPr>
              </w:pPr>
              <w:r>
                <w:rPr>
                  <w:noProof/>
                  <w:lang w:val="pt-PT"/>
                </w:rPr>
                <w:t xml:space="preserve">Vargas, R. (2023). Seguridad jurídica como fin del derecho. </w:t>
              </w:r>
              <w:r>
                <w:rPr>
                  <w:i/>
                  <w:iCs/>
                  <w:noProof/>
                  <w:lang w:val="pt-PT"/>
                </w:rPr>
                <w:t>Revista de Derecho</w:t>
              </w:r>
              <w:r>
                <w:rPr>
                  <w:noProof/>
                  <w:lang w:val="pt-PT"/>
                </w:rPr>
                <w:t>(27), 1-16. doi:DOI: 10.22235/rd27.3075</w:t>
              </w:r>
            </w:p>
            <w:p w14:paraId="3DBE17B2" w14:textId="77777777" w:rsidR="001A7B3C" w:rsidRDefault="001A7B3C" w:rsidP="001A7B3C">
              <w:pPr>
                <w:pStyle w:val="Bibliografa"/>
                <w:ind w:left="720" w:hanging="720"/>
                <w:jc w:val="both"/>
                <w:rPr>
                  <w:noProof/>
                  <w:lang w:val="pt-PT"/>
                </w:rPr>
              </w:pPr>
              <w:r>
                <w:rPr>
                  <w:noProof/>
                  <w:lang w:val="pt-PT"/>
                </w:rPr>
                <w:t xml:space="preserve">Vásquez, C., &amp; Jaramillo, A. (2023). Las atribuciones del notario en los actos notariales de manera telemática. </w:t>
              </w:r>
              <w:r>
                <w:rPr>
                  <w:i/>
                  <w:iCs/>
                  <w:noProof/>
                  <w:lang w:val="pt-PT"/>
                </w:rPr>
                <w:t>Imaginario Social, 6</w:t>
              </w:r>
              <w:r>
                <w:rPr>
                  <w:noProof/>
                  <w:lang w:val="pt-PT"/>
                </w:rPr>
                <w:t>(1), 69-92.</w:t>
              </w:r>
            </w:p>
            <w:p w14:paraId="409FDBA9" w14:textId="77777777" w:rsidR="001A7B3C" w:rsidRDefault="001A7B3C" w:rsidP="001A7B3C">
              <w:pPr>
                <w:pStyle w:val="Bibliografa"/>
                <w:ind w:left="720" w:hanging="720"/>
                <w:jc w:val="both"/>
                <w:rPr>
                  <w:noProof/>
                  <w:lang w:val="pt-PT"/>
                </w:rPr>
              </w:pPr>
              <w:r>
                <w:rPr>
                  <w:noProof/>
                  <w:lang w:val="pt-PT"/>
                </w:rPr>
                <w:t xml:space="preserve">Villacres, J., &amp; Pazmay, S. (2021). Derecho constitucional de la seguridad jurídica de los ciudadanos en el Ecuador. </w:t>
              </w:r>
              <w:r>
                <w:rPr>
                  <w:i/>
                  <w:iCs/>
                  <w:noProof/>
                  <w:lang w:val="pt-PT"/>
                </w:rPr>
                <w:t>Polo del Conocimiento, 6</w:t>
              </w:r>
              <w:r>
                <w:rPr>
                  <w:noProof/>
                  <w:lang w:val="pt-PT"/>
                </w:rPr>
                <w:t>(5), 1222-1233. doi:DOI: 10.23857/pc.v6i5.2751</w:t>
              </w:r>
            </w:p>
            <w:p w14:paraId="75B0C20E" w14:textId="6190BC00" w:rsidR="00135842" w:rsidRDefault="00135842" w:rsidP="001A7B3C">
              <w:r>
                <w:rPr>
                  <w:b/>
                  <w:bCs/>
                </w:rPr>
                <w:fldChar w:fldCharType="end"/>
              </w:r>
            </w:p>
          </w:sdtContent>
        </w:sdt>
      </w:sdtContent>
    </w:sdt>
    <w:p w14:paraId="7BA073D2" w14:textId="77777777" w:rsidR="009919EE" w:rsidRPr="009919EE" w:rsidRDefault="009919EE" w:rsidP="009919EE">
      <w:pPr>
        <w:rPr>
          <w:lang w:val="pt-PT" w:eastAsia="es-ES"/>
        </w:rPr>
      </w:pPr>
    </w:p>
    <w:p w14:paraId="6347F866" w14:textId="77777777" w:rsidR="007F5F86" w:rsidRPr="007F5F86" w:rsidRDefault="007F5F86" w:rsidP="007F5F86">
      <w:pPr>
        <w:pStyle w:val="Ttulo1"/>
        <w:rPr>
          <w:lang w:val="pt-PT" w:eastAsia="es-ES"/>
        </w:rPr>
      </w:pPr>
    </w:p>
    <w:p w14:paraId="6749BBB0" w14:textId="77777777" w:rsidR="00FB5561" w:rsidRPr="00FB5561" w:rsidRDefault="00FB5561" w:rsidP="00FB5561">
      <w:pPr>
        <w:pStyle w:val="Ttulo1"/>
        <w:rPr>
          <w:lang w:val="pt-PT" w:eastAsia="es-ES"/>
        </w:rPr>
      </w:pPr>
    </w:p>
    <w:p w14:paraId="0163AB36" w14:textId="1CA169BD" w:rsidR="00430C5A" w:rsidRPr="000E7C4F" w:rsidRDefault="00430C5A" w:rsidP="00430C5A">
      <w:pPr>
        <w:pStyle w:val="Ttulo1"/>
        <w:rPr>
          <w:lang w:eastAsia="es-ES"/>
        </w:rPr>
      </w:pPr>
    </w:p>
    <w:p w14:paraId="306F3A8A" w14:textId="77777777" w:rsidR="005F5562" w:rsidRPr="005F5562" w:rsidRDefault="005F5562" w:rsidP="005F5562">
      <w:pPr>
        <w:pStyle w:val="Ttulo1"/>
        <w:rPr>
          <w:lang w:val="pt-PT" w:eastAsia="es-ES"/>
        </w:rPr>
      </w:pPr>
    </w:p>
    <w:p w14:paraId="1316ADCB" w14:textId="77777777" w:rsidR="0097576F" w:rsidRPr="0097576F" w:rsidRDefault="0097576F" w:rsidP="0097576F">
      <w:pPr>
        <w:pStyle w:val="Ttulo1"/>
        <w:rPr>
          <w:lang w:val="pt-PT" w:eastAsia="es-ES"/>
        </w:rPr>
      </w:pPr>
    </w:p>
    <w:p w14:paraId="027FA13E" w14:textId="77777777" w:rsidR="00DB4576" w:rsidRPr="00DB4576" w:rsidRDefault="00DB4576" w:rsidP="00DB4576">
      <w:pPr>
        <w:pStyle w:val="Ttulo1"/>
        <w:rPr>
          <w:lang w:val="pt-PT" w:eastAsia="es-ES"/>
        </w:rPr>
      </w:pPr>
    </w:p>
    <w:p w14:paraId="0779DB49" w14:textId="77777777" w:rsidR="002A43CD" w:rsidRPr="00375999" w:rsidRDefault="002A43CD" w:rsidP="002A43CD">
      <w:pPr>
        <w:pStyle w:val="Listado"/>
        <w:numPr>
          <w:ilvl w:val="0"/>
          <w:numId w:val="0"/>
        </w:numPr>
        <w:ind w:left="851"/>
        <w:rPr>
          <w:lang w:eastAsia="es-ES"/>
        </w:rPr>
      </w:pPr>
    </w:p>
    <w:p w14:paraId="41A3A15A" w14:textId="77777777" w:rsidR="00CE0F4B" w:rsidRPr="003512A0" w:rsidRDefault="00CE0F4B" w:rsidP="003512A0">
      <w:pPr>
        <w:rPr>
          <w:rFonts w:cs="Times New Roman"/>
          <w:sz w:val="22"/>
        </w:rPr>
      </w:pPr>
    </w:p>
    <w:sectPr w:rsidR="00CE0F4B" w:rsidRPr="003512A0"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4644C" w14:textId="77777777" w:rsidR="003B2EED" w:rsidRDefault="003B2EED" w:rsidP="00EB0247">
      <w:pPr>
        <w:spacing w:after="0" w:line="240" w:lineRule="auto"/>
      </w:pPr>
      <w:r>
        <w:separator/>
      </w:r>
    </w:p>
  </w:endnote>
  <w:endnote w:type="continuationSeparator" w:id="0">
    <w:p w14:paraId="213BF378" w14:textId="77777777" w:rsidR="003B2EED" w:rsidRDefault="003B2EED"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A0A38" w14:textId="77777777" w:rsidR="003B2EED" w:rsidRDefault="003B2EED" w:rsidP="00EB0247">
      <w:pPr>
        <w:spacing w:after="0" w:line="240" w:lineRule="auto"/>
      </w:pPr>
      <w:r>
        <w:separator/>
      </w:r>
    </w:p>
  </w:footnote>
  <w:footnote w:type="continuationSeparator" w:id="0">
    <w:p w14:paraId="42D2DF93" w14:textId="77777777" w:rsidR="003B2EED" w:rsidRDefault="003B2EED"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4C604A"/>
    <w:multiLevelType w:val="multilevel"/>
    <w:tmpl w:val="872065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6E229C1"/>
    <w:multiLevelType w:val="multilevel"/>
    <w:tmpl w:val="1242CFA8"/>
    <w:lvl w:ilvl="0">
      <w:start w:val="1"/>
      <w:numFmt w:val="decimal"/>
      <w:lvlText w:val="%1"/>
      <w:lvlJc w:val="left"/>
      <w:pPr>
        <w:ind w:left="516" w:hanging="516"/>
      </w:pPr>
      <w:rPr>
        <w:rFonts w:hint="default"/>
      </w:rPr>
    </w:lvl>
    <w:lvl w:ilvl="1">
      <w:start w:val="1"/>
      <w:numFmt w:val="decimal"/>
      <w:lvlText w:val="%1.%2"/>
      <w:lvlJc w:val="left"/>
      <w:pPr>
        <w:ind w:left="516" w:hanging="5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9"/>
  </w:num>
  <w:num w:numId="16" w16cid:durableId="1825004959">
    <w:abstractNumId w:val="29"/>
  </w:num>
  <w:num w:numId="17" w16cid:durableId="2006781074">
    <w:abstractNumId w:val="26"/>
  </w:num>
  <w:num w:numId="18" w16cid:durableId="367535750">
    <w:abstractNumId w:val="10"/>
  </w:num>
  <w:num w:numId="19" w16cid:durableId="1815218795">
    <w:abstractNumId w:val="25"/>
  </w:num>
  <w:num w:numId="20" w16cid:durableId="1407610298">
    <w:abstractNumId w:val="31"/>
  </w:num>
  <w:num w:numId="21" w16cid:durableId="1389261098">
    <w:abstractNumId w:val="32"/>
  </w:num>
  <w:num w:numId="22" w16cid:durableId="2057120259">
    <w:abstractNumId w:val="22"/>
  </w:num>
  <w:num w:numId="23" w16cid:durableId="2094281302">
    <w:abstractNumId w:val="32"/>
    <w:lvlOverride w:ilvl="0">
      <w:startOverride w:val="1"/>
    </w:lvlOverride>
  </w:num>
  <w:num w:numId="24" w16cid:durableId="1101535958">
    <w:abstractNumId w:val="32"/>
    <w:lvlOverride w:ilvl="0">
      <w:startOverride w:val="1"/>
    </w:lvlOverride>
  </w:num>
  <w:num w:numId="25" w16cid:durableId="1325545862">
    <w:abstractNumId w:val="12"/>
  </w:num>
  <w:num w:numId="26" w16cid:durableId="577521618">
    <w:abstractNumId w:val="33"/>
  </w:num>
  <w:num w:numId="27" w16cid:durableId="2020505449">
    <w:abstractNumId w:val="20"/>
  </w:num>
  <w:num w:numId="28" w16cid:durableId="1669907">
    <w:abstractNumId w:val="21"/>
  </w:num>
  <w:num w:numId="29" w16cid:durableId="1025332096">
    <w:abstractNumId w:val="23"/>
  </w:num>
  <w:num w:numId="30" w16cid:durableId="1328703471">
    <w:abstractNumId w:val="15"/>
  </w:num>
  <w:num w:numId="31" w16cid:durableId="801968312">
    <w:abstractNumId w:val="24"/>
  </w:num>
  <w:num w:numId="32" w16cid:durableId="638923685">
    <w:abstractNumId w:val="14"/>
  </w:num>
  <w:num w:numId="33" w16cid:durableId="185219344">
    <w:abstractNumId w:val="27"/>
  </w:num>
  <w:num w:numId="34" w16cid:durableId="501512660">
    <w:abstractNumId w:val="28"/>
  </w:num>
  <w:num w:numId="35" w16cid:durableId="1453018132">
    <w:abstractNumId w:val="34"/>
  </w:num>
  <w:num w:numId="36" w16cid:durableId="1414818766">
    <w:abstractNumId w:val="32"/>
    <w:lvlOverride w:ilvl="0">
      <w:startOverride w:val="1"/>
    </w:lvlOverride>
  </w:num>
  <w:num w:numId="37" w16cid:durableId="532958873">
    <w:abstractNumId w:val="32"/>
    <w:lvlOverride w:ilvl="0">
      <w:startOverride w:val="1"/>
    </w:lvlOverride>
  </w:num>
  <w:num w:numId="38" w16cid:durableId="1155561952">
    <w:abstractNumId w:val="32"/>
    <w:lvlOverride w:ilvl="0">
      <w:startOverride w:val="1"/>
    </w:lvlOverride>
  </w:num>
  <w:num w:numId="39" w16cid:durableId="342585045">
    <w:abstractNumId w:val="34"/>
    <w:lvlOverride w:ilvl="0">
      <w:startOverride w:val="1"/>
    </w:lvlOverride>
  </w:num>
  <w:num w:numId="40" w16cid:durableId="346520185">
    <w:abstractNumId w:val="34"/>
    <w:lvlOverride w:ilvl="0">
      <w:startOverride w:val="1"/>
    </w:lvlOverride>
  </w:num>
  <w:num w:numId="41" w16cid:durableId="1703744177">
    <w:abstractNumId w:val="32"/>
    <w:lvlOverride w:ilvl="0">
      <w:startOverride w:val="1"/>
    </w:lvlOverride>
  </w:num>
  <w:num w:numId="42" w16cid:durableId="457184035">
    <w:abstractNumId w:val="34"/>
    <w:lvlOverride w:ilvl="0">
      <w:startOverride w:val="1"/>
    </w:lvlOverride>
  </w:num>
  <w:num w:numId="43" w16cid:durableId="518083198">
    <w:abstractNumId w:val="32"/>
    <w:lvlOverride w:ilvl="0">
      <w:startOverride w:val="1"/>
    </w:lvlOverride>
  </w:num>
  <w:num w:numId="44" w16cid:durableId="150829909">
    <w:abstractNumId w:val="34"/>
    <w:lvlOverride w:ilvl="0">
      <w:startOverride w:val="1"/>
    </w:lvlOverride>
  </w:num>
  <w:num w:numId="45" w16cid:durableId="584531908">
    <w:abstractNumId w:val="18"/>
  </w:num>
  <w:num w:numId="46" w16cid:durableId="1591521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7D1"/>
    <w:rsid w:val="000068CF"/>
    <w:rsid w:val="00010A28"/>
    <w:rsid w:val="0001118C"/>
    <w:rsid w:val="000116C6"/>
    <w:rsid w:val="000124EF"/>
    <w:rsid w:val="00012517"/>
    <w:rsid w:val="00012DBD"/>
    <w:rsid w:val="00013D22"/>
    <w:rsid w:val="000200F9"/>
    <w:rsid w:val="000301BE"/>
    <w:rsid w:val="00033E3E"/>
    <w:rsid w:val="00041424"/>
    <w:rsid w:val="0004204A"/>
    <w:rsid w:val="00045A1D"/>
    <w:rsid w:val="00053088"/>
    <w:rsid w:val="00053D04"/>
    <w:rsid w:val="00056E22"/>
    <w:rsid w:val="00063421"/>
    <w:rsid w:val="00065358"/>
    <w:rsid w:val="00067503"/>
    <w:rsid w:val="000765E7"/>
    <w:rsid w:val="0008564A"/>
    <w:rsid w:val="00085DDD"/>
    <w:rsid w:val="00086782"/>
    <w:rsid w:val="00097EEF"/>
    <w:rsid w:val="000A3980"/>
    <w:rsid w:val="000B35C2"/>
    <w:rsid w:val="000B3640"/>
    <w:rsid w:val="000B4611"/>
    <w:rsid w:val="000B4ACA"/>
    <w:rsid w:val="000B59E1"/>
    <w:rsid w:val="000C29B9"/>
    <w:rsid w:val="000C2F78"/>
    <w:rsid w:val="000C5EDB"/>
    <w:rsid w:val="000D027B"/>
    <w:rsid w:val="000D2944"/>
    <w:rsid w:val="000D5DF9"/>
    <w:rsid w:val="000E2C36"/>
    <w:rsid w:val="000E7C4F"/>
    <w:rsid w:val="000F0C27"/>
    <w:rsid w:val="000F40FF"/>
    <w:rsid w:val="000F65B2"/>
    <w:rsid w:val="00122E34"/>
    <w:rsid w:val="00132218"/>
    <w:rsid w:val="0013288D"/>
    <w:rsid w:val="001348A0"/>
    <w:rsid w:val="00135610"/>
    <w:rsid w:val="00135842"/>
    <w:rsid w:val="0013776A"/>
    <w:rsid w:val="00140844"/>
    <w:rsid w:val="00141B6B"/>
    <w:rsid w:val="001468AC"/>
    <w:rsid w:val="00147F42"/>
    <w:rsid w:val="0015031C"/>
    <w:rsid w:val="0015066B"/>
    <w:rsid w:val="00154D6B"/>
    <w:rsid w:val="00156F2B"/>
    <w:rsid w:val="00157792"/>
    <w:rsid w:val="00157AE2"/>
    <w:rsid w:val="00162CD6"/>
    <w:rsid w:val="00164EF5"/>
    <w:rsid w:val="00172836"/>
    <w:rsid w:val="001760EF"/>
    <w:rsid w:val="00180D07"/>
    <w:rsid w:val="001816AA"/>
    <w:rsid w:val="00182667"/>
    <w:rsid w:val="001851F4"/>
    <w:rsid w:val="00185A00"/>
    <w:rsid w:val="0018654D"/>
    <w:rsid w:val="001870FF"/>
    <w:rsid w:val="00191647"/>
    <w:rsid w:val="001950D8"/>
    <w:rsid w:val="00197C0E"/>
    <w:rsid w:val="00197D57"/>
    <w:rsid w:val="001A052A"/>
    <w:rsid w:val="001A7525"/>
    <w:rsid w:val="001A7AD8"/>
    <w:rsid w:val="001A7B3C"/>
    <w:rsid w:val="001B16B5"/>
    <w:rsid w:val="001B1944"/>
    <w:rsid w:val="001B661E"/>
    <w:rsid w:val="001C06B9"/>
    <w:rsid w:val="001C3D33"/>
    <w:rsid w:val="001C43C4"/>
    <w:rsid w:val="001C4E1F"/>
    <w:rsid w:val="001E0B06"/>
    <w:rsid w:val="001E65E0"/>
    <w:rsid w:val="001F36BB"/>
    <w:rsid w:val="001F6B41"/>
    <w:rsid w:val="001F72CE"/>
    <w:rsid w:val="00201A69"/>
    <w:rsid w:val="00202DA8"/>
    <w:rsid w:val="0020748C"/>
    <w:rsid w:val="00220753"/>
    <w:rsid w:val="002224C0"/>
    <w:rsid w:val="00224762"/>
    <w:rsid w:val="00224EA4"/>
    <w:rsid w:val="002257F6"/>
    <w:rsid w:val="00226FFC"/>
    <w:rsid w:val="00231BA9"/>
    <w:rsid w:val="00234261"/>
    <w:rsid w:val="00234F66"/>
    <w:rsid w:val="00240EE9"/>
    <w:rsid w:val="00242EFB"/>
    <w:rsid w:val="002433EC"/>
    <w:rsid w:val="0024345D"/>
    <w:rsid w:val="00243505"/>
    <w:rsid w:val="0024632B"/>
    <w:rsid w:val="00251248"/>
    <w:rsid w:val="00254F0F"/>
    <w:rsid w:val="0025743F"/>
    <w:rsid w:val="002623CE"/>
    <w:rsid w:val="00263A5C"/>
    <w:rsid w:val="00280126"/>
    <w:rsid w:val="00281564"/>
    <w:rsid w:val="002830E9"/>
    <w:rsid w:val="00285B53"/>
    <w:rsid w:val="00286703"/>
    <w:rsid w:val="00293FBD"/>
    <w:rsid w:val="002A0341"/>
    <w:rsid w:val="002A43CD"/>
    <w:rsid w:val="002A5668"/>
    <w:rsid w:val="002A5BCD"/>
    <w:rsid w:val="002B0DED"/>
    <w:rsid w:val="002B401D"/>
    <w:rsid w:val="002B6A93"/>
    <w:rsid w:val="002B7E08"/>
    <w:rsid w:val="002C1DC0"/>
    <w:rsid w:val="002C5703"/>
    <w:rsid w:val="002C5B18"/>
    <w:rsid w:val="002C7B97"/>
    <w:rsid w:val="002D23FB"/>
    <w:rsid w:val="002D268C"/>
    <w:rsid w:val="002E1099"/>
    <w:rsid w:val="002F3733"/>
    <w:rsid w:val="002F4201"/>
    <w:rsid w:val="002F4CC8"/>
    <w:rsid w:val="002F786F"/>
    <w:rsid w:val="00300477"/>
    <w:rsid w:val="003011A8"/>
    <w:rsid w:val="00302583"/>
    <w:rsid w:val="003031FD"/>
    <w:rsid w:val="0030704F"/>
    <w:rsid w:val="00307590"/>
    <w:rsid w:val="00307FFC"/>
    <w:rsid w:val="00316150"/>
    <w:rsid w:val="0032099D"/>
    <w:rsid w:val="00320A25"/>
    <w:rsid w:val="003229AA"/>
    <w:rsid w:val="00325440"/>
    <w:rsid w:val="003271B7"/>
    <w:rsid w:val="00331687"/>
    <w:rsid w:val="00333670"/>
    <w:rsid w:val="003350FF"/>
    <w:rsid w:val="00341DAC"/>
    <w:rsid w:val="00344033"/>
    <w:rsid w:val="003512A0"/>
    <w:rsid w:val="00373339"/>
    <w:rsid w:val="00375999"/>
    <w:rsid w:val="00382E89"/>
    <w:rsid w:val="00383E11"/>
    <w:rsid w:val="00385DB8"/>
    <w:rsid w:val="00391808"/>
    <w:rsid w:val="00391DE8"/>
    <w:rsid w:val="0039591A"/>
    <w:rsid w:val="003A16A1"/>
    <w:rsid w:val="003A4E04"/>
    <w:rsid w:val="003B2EED"/>
    <w:rsid w:val="003B7ADB"/>
    <w:rsid w:val="003C06DD"/>
    <w:rsid w:val="003C4D9F"/>
    <w:rsid w:val="003C5475"/>
    <w:rsid w:val="003C66E2"/>
    <w:rsid w:val="003C7389"/>
    <w:rsid w:val="003D5326"/>
    <w:rsid w:val="003D6FB2"/>
    <w:rsid w:val="003E2B23"/>
    <w:rsid w:val="003E66FB"/>
    <w:rsid w:val="003F5763"/>
    <w:rsid w:val="00402355"/>
    <w:rsid w:val="00410673"/>
    <w:rsid w:val="00411AA6"/>
    <w:rsid w:val="004177AC"/>
    <w:rsid w:val="00422CDA"/>
    <w:rsid w:val="00425516"/>
    <w:rsid w:val="00426927"/>
    <w:rsid w:val="0042701D"/>
    <w:rsid w:val="00427C43"/>
    <w:rsid w:val="004307D4"/>
    <w:rsid w:val="00430C5A"/>
    <w:rsid w:val="00437ED3"/>
    <w:rsid w:val="0044345A"/>
    <w:rsid w:val="00447772"/>
    <w:rsid w:val="0045048A"/>
    <w:rsid w:val="004528D6"/>
    <w:rsid w:val="00453F0C"/>
    <w:rsid w:val="004567E1"/>
    <w:rsid w:val="00460288"/>
    <w:rsid w:val="00470099"/>
    <w:rsid w:val="00471CA1"/>
    <w:rsid w:val="00472A01"/>
    <w:rsid w:val="00474237"/>
    <w:rsid w:val="00477173"/>
    <w:rsid w:val="004773DF"/>
    <w:rsid w:val="00480C27"/>
    <w:rsid w:val="004819D7"/>
    <w:rsid w:val="004838F2"/>
    <w:rsid w:val="004842F0"/>
    <w:rsid w:val="00484413"/>
    <w:rsid w:val="00484981"/>
    <w:rsid w:val="004926A3"/>
    <w:rsid w:val="00493A17"/>
    <w:rsid w:val="00494471"/>
    <w:rsid w:val="004A060E"/>
    <w:rsid w:val="004A393D"/>
    <w:rsid w:val="004A6AE6"/>
    <w:rsid w:val="004B1C3B"/>
    <w:rsid w:val="004C0202"/>
    <w:rsid w:val="004C2FE1"/>
    <w:rsid w:val="004D0180"/>
    <w:rsid w:val="004D3B28"/>
    <w:rsid w:val="004D4667"/>
    <w:rsid w:val="004D676E"/>
    <w:rsid w:val="004E65F5"/>
    <w:rsid w:val="00500456"/>
    <w:rsid w:val="00507C5A"/>
    <w:rsid w:val="00512F71"/>
    <w:rsid w:val="005157EE"/>
    <w:rsid w:val="005173B5"/>
    <w:rsid w:val="0052071A"/>
    <w:rsid w:val="00525E64"/>
    <w:rsid w:val="00526DD4"/>
    <w:rsid w:val="005335DF"/>
    <w:rsid w:val="00535CEB"/>
    <w:rsid w:val="005417EB"/>
    <w:rsid w:val="005419AE"/>
    <w:rsid w:val="005420C0"/>
    <w:rsid w:val="005430EA"/>
    <w:rsid w:val="005455BC"/>
    <w:rsid w:val="00546343"/>
    <w:rsid w:val="00556961"/>
    <w:rsid w:val="00561484"/>
    <w:rsid w:val="00565C06"/>
    <w:rsid w:val="00566F95"/>
    <w:rsid w:val="0057263A"/>
    <w:rsid w:val="00584BB4"/>
    <w:rsid w:val="00585614"/>
    <w:rsid w:val="00585B3F"/>
    <w:rsid w:val="00585CC5"/>
    <w:rsid w:val="00586E7F"/>
    <w:rsid w:val="00592144"/>
    <w:rsid w:val="00596C93"/>
    <w:rsid w:val="00597206"/>
    <w:rsid w:val="005A157A"/>
    <w:rsid w:val="005A43E3"/>
    <w:rsid w:val="005A4AFE"/>
    <w:rsid w:val="005A6174"/>
    <w:rsid w:val="005B043D"/>
    <w:rsid w:val="005C3BA5"/>
    <w:rsid w:val="005D3146"/>
    <w:rsid w:val="005D5225"/>
    <w:rsid w:val="005D5A92"/>
    <w:rsid w:val="005D7E92"/>
    <w:rsid w:val="005F5562"/>
    <w:rsid w:val="005F73DC"/>
    <w:rsid w:val="00600505"/>
    <w:rsid w:val="00604D3B"/>
    <w:rsid w:val="00607EE3"/>
    <w:rsid w:val="006131F7"/>
    <w:rsid w:val="0061623B"/>
    <w:rsid w:val="006174A4"/>
    <w:rsid w:val="006224AC"/>
    <w:rsid w:val="00623D90"/>
    <w:rsid w:val="00623F2D"/>
    <w:rsid w:val="00641B39"/>
    <w:rsid w:val="00647598"/>
    <w:rsid w:val="00651E0D"/>
    <w:rsid w:val="00652706"/>
    <w:rsid w:val="0065476B"/>
    <w:rsid w:val="00661470"/>
    <w:rsid w:val="006643BC"/>
    <w:rsid w:val="00666EE2"/>
    <w:rsid w:val="006750FF"/>
    <w:rsid w:val="006754C0"/>
    <w:rsid w:val="00675757"/>
    <w:rsid w:val="006760F6"/>
    <w:rsid w:val="006771F7"/>
    <w:rsid w:val="00680332"/>
    <w:rsid w:val="00681364"/>
    <w:rsid w:val="0068232C"/>
    <w:rsid w:val="0068536A"/>
    <w:rsid w:val="0068745E"/>
    <w:rsid w:val="006909F0"/>
    <w:rsid w:val="00693807"/>
    <w:rsid w:val="006A3AC5"/>
    <w:rsid w:val="006B7745"/>
    <w:rsid w:val="006C4DD4"/>
    <w:rsid w:val="006C761A"/>
    <w:rsid w:val="006D0471"/>
    <w:rsid w:val="006D1304"/>
    <w:rsid w:val="006D241E"/>
    <w:rsid w:val="006D7DB5"/>
    <w:rsid w:val="006D7F20"/>
    <w:rsid w:val="006E5EB2"/>
    <w:rsid w:val="006E6204"/>
    <w:rsid w:val="006F07DF"/>
    <w:rsid w:val="007020B4"/>
    <w:rsid w:val="00714CBD"/>
    <w:rsid w:val="007174AC"/>
    <w:rsid w:val="007177A1"/>
    <w:rsid w:val="00721EBE"/>
    <w:rsid w:val="007333BD"/>
    <w:rsid w:val="007360DC"/>
    <w:rsid w:val="00741575"/>
    <w:rsid w:val="007426F2"/>
    <w:rsid w:val="00742AC5"/>
    <w:rsid w:val="00743F36"/>
    <w:rsid w:val="00746116"/>
    <w:rsid w:val="00757686"/>
    <w:rsid w:val="00757979"/>
    <w:rsid w:val="00762E79"/>
    <w:rsid w:val="0076420E"/>
    <w:rsid w:val="007701F1"/>
    <w:rsid w:val="007727EA"/>
    <w:rsid w:val="00776F8D"/>
    <w:rsid w:val="00784BCA"/>
    <w:rsid w:val="0078517B"/>
    <w:rsid w:val="00787708"/>
    <w:rsid w:val="00792960"/>
    <w:rsid w:val="007962C5"/>
    <w:rsid w:val="007A0F17"/>
    <w:rsid w:val="007B09D1"/>
    <w:rsid w:val="007B369A"/>
    <w:rsid w:val="007D5EB8"/>
    <w:rsid w:val="007D7487"/>
    <w:rsid w:val="007E4E94"/>
    <w:rsid w:val="007E7737"/>
    <w:rsid w:val="007F0944"/>
    <w:rsid w:val="007F14DF"/>
    <w:rsid w:val="007F2BFF"/>
    <w:rsid w:val="007F5F86"/>
    <w:rsid w:val="008001AC"/>
    <w:rsid w:val="00800236"/>
    <w:rsid w:val="008008A7"/>
    <w:rsid w:val="00802559"/>
    <w:rsid w:val="0080499F"/>
    <w:rsid w:val="008051F7"/>
    <w:rsid w:val="0080611D"/>
    <w:rsid w:val="008147A9"/>
    <w:rsid w:val="00815744"/>
    <w:rsid w:val="0082319D"/>
    <w:rsid w:val="008238DE"/>
    <w:rsid w:val="00826C71"/>
    <w:rsid w:val="00841B06"/>
    <w:rsid w:val="00842AB1"/>
    <w:rsid w:val="00846372"/>
    <w:rsid w:val="00854799"/>
    <w:rsid w:val="00863A4D"/>
    <w:rsid w:val="00864F84"/>
    <w:rsid w:val="00867000"/>
    <w:rsid w:val="00867690"/>
    <w:rsid w:val="00874F1A"/>
    <w:rsid w:val="008A0E8D"/>
    <w:rsid w:val="008A170E"/>
    <w:rsid w:val="008A2943"/>
    <w:rsid w:val="008A4085"/>
    <w:rsid w:val="008A483F"/>
    <w:rsid w:val="008B11A2"/>
    <w:rsid w:val="008B152B"/>
    <w:rsid w:val="008B454E"/>
    <w:rsid w:val="008B6A98"/>
    <w:rsid w:val="008C02A5"/>
    <w:rsid w:val="008C1043"/>
    <w:rsid w:val="008C1056"/>
    <w:rsid w:val="008C2B2C"/>
    <w:rsid w:val="008C33CD"/>
    <w:rsid w:val="008C4932"/>
    <w:rsid w:val="008C505A"/>
    <w:rsid w:val="008C602A"/>
    <w:rsid w:val="008E3764"/>
    <w:rsid w:val="008E6636"/>
    <w:rsid w:val="008F1330"/>
    <w:rsid w:val="008F3F8E"/>
    <w:rsid w:val="008F44FD"/>
    <w:rsid w:val="008F71B8"/>
    <w:rsid w:val="008F742E"/>
    <w:rsid w:val="00900115"/>
    <w:rsid w:val="00902611"/>
    <w:rsid w:val="0091337D"/>
    <w:rsid w:val="00915789"/>
    <w:rsid w:val="00916209"/>
    <w:rsid w:val="009171C1"/>
    <w:rsid w:val="00920563"/>
    <w:rsid w:val="00922EE4"/>
    <w:rsid w:val="009301F4"/>
    <w:rsid w:val="00932AE2"/>
    <w:rsid w:val="0093429F"/>
    <w:rsid w:val="009363BB"/>
    <w:rsid w:val="00943933"/>
    <w:rsid w:val="0094481F"/>
    <w:rsid w:val="00946BF6"/>
    <w:rsid w:val="009477E3"/>
    <w:rsid w:val="00956325"/>
    <w:rsid w:val="00956F52"/>
    <w:rsid w:val="00962592"/>
    <w:rsid w:val="00967F7C"/>
    <w:rsid w:val="00972869"/>
    <w:rsid w:val="0097576F"/>
    <w:rsid w:val="00976607"/>
    <w:rsid w:val="00981C3F"/>
    <w:rsid w:val="009847F6"/>
    <w:rsid w:val="0098640C"/>
    <w:rsid w:val="009919EE"/>
    <w:rsid w:val="009920EA"/>
    <w:rsid w:val="00993D8C"/>
    <w:rsid w:val="009A336B"/>
    <w:rsid w:val="009A4B8C"/>
    <w:rsid w:val="009A4EA8"/>
    <w:rsid w:val="009C0DFA"/>
    <w:rsid w:val="009C304F"/>
    <w:rsid w:val="009C657C"/>
    <w:rsid w:val="009D0243"/>
    <w:rsid w:val="009D0814"/>
    <w:rsid w:val="009D1F4C"/>
    <w:rsid w:val="009D4514"/>
    <w:rsid w:val="009E664A"/>
    <w:rsid w:val="009F1F16"/>
    <w:rsid w:val="009F5F74"/>
    <w:rsid w:val="00A02EA4"/>
    <w:rsid w:val="00A0369D"/>
    <w:rsid w:val="00A16A59"/>
    <w:rsid w:val="00A16B5A"/>
    <w:rsid w:val="00A206F1"/>
    <w:rsid w:val="00A248D4"/>
    <w:rsid w:val="00A24C0E"/>
    <w:rsid w:val="00A32BBC"/>
    <w:rsid w:val="00A33BAB"/>
    <w:rsid w:val="00A36555"/>
    <w:rsid w:val="00A40229"/>
    <w:rsid w:val="00A40E4F"/>
    <w:rsid w:val="00A468E3"/>
    <w:rsid w:val="00A517EA"/>
    <w:rsid w:val="00A52B9C"/>
    <w:rsid w:val="00A53101"/>
    <w:rsid w:val="00A6627D"/>
    <w:rsid w:val="00A71DE5"/>
    <w:rsid w:val="00A753CF"/>
    <w:rsid w:val="00A813AB"/>
    <w:rsid w:val="00A83829"/>
    <w:rsid w:val="00A84782"/>
    <w:rsid w:val="00A8553F"/>
    <w:rsid w:val="00A85584"/>
    <w:rsid w:val="00A858B2"/>
    <w:rsid w:val="00A85E86"/>
    <w:rsid w:val="00A86328"/>
    <w:rsid w:val="00A912C3"/>
    <w:rsid w:val="00A91859"/>
    <w:rsid w:val="00A91963"/>
    <w:rsid w:val="00A92BB0"/>
    <w:rsid w:val="00A93BC0"/>
    <w:rsid w:val="00A94E4A"/>
    <w:rsid w:val="00AA370C"/>
    <w:rsid w:val="00AA393E"/>
    <w:rsid w:val="00AC32ED"/>
    <w:rsid w:val="00AC7778"/>
    <w:rsid w:val="00AC7E14"/>
    <w:rsid w:val="00AD2EC9"/>
    <w:rsid w:val="00AD3D97"/>
    <w:rsid w:val="00AE3579"/>
    <w:rsid w:val="00AE7A1F"/>
    <w:rsid w:val="00AF421D"/>
    <w:rsid w:val="00B05926"/>
    <w:rsid w:val="00B0693B"/>
    <w:rsid w:val="00B0717D"/>
    <w:rsid w:val="00B15313"/>
    <w:rsid w:val="00B233E2"/>
    <w:rsid w:val="00B24B70"/>
    <w:rsid w:val="00B30EDD"/>
    <w:rsid w:val="00B35861"/>
    <w:rsid w:val="00B37319"/>
    <w:rsid w:val="00B45BF9"/>
    <w:rsid w:val="00B503C4"/>
    <w:rsid w:val="00B50A14"/>
    <w:rsid w:val="00B52EDB"/>
    <w:rsid w:val="00B57A4E"/>
    <w:rsid w:val="00B60DF4"/>
    <w:rsid w:val="00B74C8C"/>
    <w:rsid w:val="00B81FDA"/>
    <w:rsid w:val="00B8446B"/>
    <w:rsid w:val="00B87AD3"/>
    <w:rsid w:val="00B909E1"/>
    <w:rsid w:val="00B97AE3"/>
    <w:rsid w:val="00BA47CF"/>
    <w:rsid w:val="00BA4EA8"/>
    <w:rsid w:val="00BA4FD5"/>
    <w:rsid w:val="00BA68A0"/>
    <w:rsid w:val="00BB1142"/>
    <w:rsid w:val="00BB1607"/>
    <w:rsid w:val="00BB1DCC"/>
    <w:rsid w:val="00BB38AC"/>
    <w:rsid w:val="00BC4B62"/>
    <w:rsid w:val="00BD34AD"/>
    <w:rsid w:val="00BD7178"/>
    <w:rsid w:val="00BD770C"/>
    <w:rsid w:val="00BE05DB"/>
    <w:rsid w:val="00BE3D2B"/>
    <w:rsid w:val="00BE3E80"/>
    <w:rsid w:val="00BE5F2C"/>
    <w:rsid w:val="00BF0A40"/>
    <w:rsid w:val="00BF45D1"/>
    <w:rsid w:val="00BF50C0"/>
    <w:rsid w:val="00BF676B"/>
    <w:rsid w:val="00C0154F"/>
    <w:rsid w:val="00C01787"/>
    <w:rsid w:val="00C20A06"/>
    <w:rsid w:val="00C21F8C"/>
    <w:rsid w:val="00C2469B"/>
    <w:rsid w:val="00C254E8"/>
    <w:rsid w:val="00C302E3"/>
    <w:rsid w:val="00C30BA1"/>
    <w:rsid w:val="00C31FA5"/>
    <w:rsid w:val="00C40D43"/>
    <w:rsid w:val="00C422A3"/>
    <w:rsid w:val="00C4379C"/>
    <w:rsid w:val="00C4488C"/>
    <w:rsid w:val="00C44C6D"/>
    <w:rsid w:val="00C45F7D"/>
    <w:rsid w:val="00C47DFD"/>
    <w:rsid w:val="00C537BD"/>
    <w:rsid w:val="00C53DF1"/>
    <w:rsid w:val="00C633B7"/>
    <w:rsid w:val="00C640B6"/>
    <w:rsid w:val="00C66A59"/>
    <w:rsid w:val="00C67268"/>
    <w:rsid w:val="00C6793A"/>
    <w:rsid w:val="00C733EB"/>
    <w:rsid w:val="00C77BE8"/>
    <w:rsid w:val="00C8734A"/>
    <w:rsid w:val="00C930F7"/>
    <w:rsid w:val="00CA0400"/>
    <w:rsid w:val="00CB3B08"/>
    <w:rsid w:val="00CB67B6"/>
    <w:rsid w:val="00CC152D"/>
    <w:rsid w:val="00CC397B"/>
    <w:rsid w:val="00CC4B7B"/>
    <w:rsid w:val="00CD0091"/>
    <w:rsid w:val="00CD53E6"/>
    <w:rsid w:val="00CE09FB"/>
    <w:rsid w:val="00CE0F4B"/>
    <w:rsid w:val="00CE22C3"/>
    <w:rsid w:val="00CE44EF"/>
    <w:rsid w:val="00CE5508"/>
    <w:rsid w:val="00CE795C"/>
    <w:rsid w:val="00CE7C63"/>
    <w:rsid w:val="00CF63D1"/>
    <w:rsid w:val="00CF75D4"/>
    <w:rsid w:val="00D01081"/>
    <w:rsid w:val="00D0381D"/>
    <w:rsid w:val="00D042A4"/>
    <w:rsid w:val="00D05D1F"/>
    <w:rsid w:val="00D13910"/>
    <w:rsid w:val="00D13CFB"/>
    <w:rsid w:val="00D16703"/>
    <w:rsid w:val="00D36F76"/>
    <w:rsid w:val="00D47BD3"/>
    <w:rsid w:val="00D62906"/>
    <w:rsid w:val="00D63606"/>
    <w:rsid w:val="00D679B5"/>
    <w:rsid w:val="00D67C2F"/>
    <w:rsid w:val="00D705EF"/>
    <w:rsid w:val="00D71E4D"/>
    <w:rsid w:val="00D751A5"/>
    <w:rsid w:val="00D80C86"/>
    <w:rsid w:val="00D85720"/>
    <w:rsid w:val="00D86CAA"/>
    <w:rsid w:val="00D94020"/>
    <w:rsid w:val="00D97C35"/>
    <w:rsid w:val="00DA04DF"/>
    <w:rsid w:val="00DA0BED"/>
    <w:rsid w:val="00DA2A01"/>
    <w:rsid w:val="00DA6FAC"/>
    <w:rsid w:val="00DA77B7"/>
    <w:rsid w:val="00DB3AD2"/>
    <w:rsid w:val="00DB4576"/>
    <w:rsid w:val="00DC153B"/>
    <w:rsid w:val="00DC3839"/>
    <w:rsid w:val="00DC5E7D"/>
    <w:rsid w:val="00DC7BA1"/>
    <w:rsid w:val="00DD1874"/>
    <w:rsid w:val="00DE0B74"/>
    <w:rsid w:val="00DE4C4F"/>
    <w:rsid w:val="00DF1B76"/>
    <w:rsid w:val="00E04357"/>
    <w:rsid w:val="00E05E1A"/>
    <w:rsid w:val="00E06000"/>
    <w:rsid w:val="00E0606E"/>
    <w:rsid w:val="00E06478"/>
    <w:rsid w:val="00E077C6"/>
    <w:rsid w:val="00E07F9D"/>
    <w:rsid w:val="00E11BD3"/>
    <w:rsid w:val="00E1313A"/>
    <w:rsid w:val="00E2286B"/>
    <w:rsid w:val="00E238F1"/>
    <w:rsid w:val="00E26FE1"/>
    <w:rsid w:val="00E33D19"/>
    <w:rsid w:val="00E3636D"/>
    <w:rsid w:val="00E372E8"/>
    <w:rsid w:val="00E3791B"/>
    <w:rsid w:val="00E37946"/>
    <w:rsid w:val="00E40E66"/>
    <w:rsid w:val="00E4488F"/>
    <w:rsid w:val="00E476F0"/>
    <w:rsid w:val="00E63870"/>
    <w:rsid w:val="00E649D6"/>
    <w:rsid w:val="00E658A0"/>
    <w:rsid w:val="00E7743F"/>
    <w:rsid w:val="00E8025B"/>
    <w:rsid w:val="00E84E20"/>
    <w:rsid w:val="00E91B81"/>
    <w:rsid w:val="00EA79C3"/>
    <w:rsid w:val="00EB0247"/>
    <w:rsid w:val="00EB2C66"/>
    <w:rsid w:val="00EC01A5"/>
    <w:rsid w:val="00ED2803"/>
    <w:rsid w:val="00EE3411"/>
    <w:rsid w:val="00EE3FEB"/>
    <w:rsid w:val="00EE6007"/>
    <w:rsid w:val="00EE682C"/>
    <w:rsid w:val="00EE7F1C"/>
    <w:rsid w:val="00EF38FC"/>
    <w:rsid w:val="00EF6BB9"/>
    <w:rsid w:val="00F02450"/>
    <w:rsid w:val="00F03A61"/>
    <w:rsid w:val="00F04C0D"/>
    <w:rsid w:val="00F05591"/>
    <w:rsid w:val="00F152F2"/>
    <w:rsid w:val="00F155E8"/>
    <w:rsid w:val="00F379E4"/>
    <w:rsid w:val="00F42BEF"/>
    <w:rsid w:val="00F46F3C"/>
    <w:rsid w:val="00F46FD2"/>
    <w:rsid w:val="00F57660"/>
    <w:rsid w:val="00F60611"/>
    <w:rsid w:val="00F60ABE"/>
    <w:rsid w:val="00F6387D"/>
    <w:rsid w:val="00F63B01"/>
    <w:rsid w:val="00F66171"/>
    <w:rsid w:val="00F66726"/>
    <w:rsid w:val="00F73BD5"/>
    <w:rsid w:val="00F76FF4"/>
    <w:rsid w:val="00F84B5F"/>
    <w:rsid w:val="00F95B0A"/>
    <w:rsid w:val="00FA26E8"/>
    <w:rsid w:val="00FA51E8"/>
    <w:rsid w:val="00FA7CDE"/>
    <w:rsid w:val="00FB16C3"/>
    <w:rsid w:val="00FB1853"/>
    <w:rsid w:val="00FB21CD"/>
    <w:rsid w:val="00FB4D43"/>
    <w:rsid w:val="00FB5561"/>
    <w:rsid w:val="00FC18E8"/>
    <w:rsid w:val="00FC704B"/>
    <w:rsid w:val="00FD0707"/>
    <w:rsid w:val="00FD2273"/>
    <w:rsid w:val="00FD257D"/>
    <w:rsid w:val="00FD438A"/>
    <w:rsid w:val="00FD50B1"/>
    <w:rsid w:val="00FD51FF"/>
    <w:rsid w:val="00FE54A7"/>
    <w:rsid w:val="00FF2473"/>
    <w:rsid w:val="00FF4322"/>
    <w:rsid w:val="00FF5A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9"/>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5652">
      <w:bodyDiv w:val="1"/>
      <w:marLeft w:val="0"/>
      <w:marRight w:val="0"/>
      <w:marTop w:val="0"/>
      <w:marBottom w:val="0"/>
      <w:divBdr>
        <w:top w:val="none" w:sz="0" w:space="0" w:color="auto"/>
        <w:left w:val="none" w:sz="0" w:space="0" w:color="auto"/>
        <w:bottom w:val="none" w:sz="0" w:space="0" w:color="auto"/>
        <w:right w:val="none" w:sz="0" w:space="0" w:color="auto"/>
      </w:divBdr>
    </w:div>
    <w:div w:id="10569345">
      <w:bodyDiv w:val="1"/>
      <w:marLeft w:val="0"/>
      <w:marRight w:val="0"/>
      <w:marTop w:val="0"/>
      <w:marBottom w:val="0"/>
      <w:divBdr>
        <w:top w:val="none" w:sz="0" w:space="0" w:color="auto"/>
        <w:left w:val="none" w:sz="0" w:space="0" w:color="auto"/>
        <w:bottom w:val="none" w:sz="0" w:space="0" w:color="auto"/>
        <w:right w:val="none" w:sz="0" w:space="0" w:color="auto"/>
      </w:divBdr>
    </w:div>
    <w:div w:id="41754091">
      <w:bodyDiv w:val="1"/>
      <w:marLeft w:val="0"/>
      <w:marRight w:val="0"/>
      <w:marTop w:val="0"/>
      <w:marBottom w:val="0"/>
      <w:divBdr>
        <w:top w:val="none" w:sz="0" w:space="0" w:color="auto"/>
        <w:left w:val="none" w:sz="0" w:space="0" w:color="auto"/>
        <w:bottom w:val="none" w:sz="0" w:space="0" w:color="auto"/>
        <w:right w:val="none" w:sz="0" w:space="0" w:color="auto"/>
      </w:divBdr>
    </w:div>
    <w:div w:id="49691180">
      <w:bodyDiv w:val="1"/>
      <w:marLeft w:val="0"/>
      <w:marRight w:val="0"/>
      <w:marTop w:val="0"/>
      <w:marBottom w:val="0"/>
      <w:divBdr>
        <w:top w:val="none" w:sz="0" w:space="0" w:color="auto"/>
        <w:left w:val="none" w:sz="0" w:space="0" w:color="auto"/>
        <w:bottom w:val="none" w:sz="0" w:space="0" w:color="auto"/>
        <w:right w:val="none" w:sz="0" w:space="0" w:color="auto"/>
      </w:divBdr>
    </w:div>
    <w:div w:id="53312109">
      <w:bodyDiv w:val="1"/>
      <w:marLeft w:val="0"/>
      <w:marRight w:val="0"/>
      <w:marTop w:val="0"/>
      <w:marBottom w:val="0"/>
      <w:divBdr>
        <w:top w:val="none" w:sz="0" w:space="0" w:color="auto"/>
        <w:left w:val="none" w:sz="0" w:space="0" w:color="auto"/>
        <w:bottom w:val="none" w:sz="0" w:space="0" w:color="auto"/>
        <w:right w:val="none" w:sz="0" w:space="0" w:color="auto"/>
      </w:divBdr>
    </w:div>
    <w:div w:id="59525248">
      <w:bodyDiv w:val="1"/>
      <w:marLeft w:val="0"/>
      <w:marRight w:val="0"/>
      <w:marTop w:val="0"/>
      <w:marBottom w:val="0"/>
      <w:divBdr>
        <w:top w:val="none" w:sz="0" w:space="0" w:color="auto"/>
        <w:left w:val="none" w:sz="0" w:space="0" w:color="auto"/>
        <w:bottom w:val="none" w:sz="0" w:space="0" w:color="auto"/>
        <w:right w:val="none" w:sz="0" w:space="0" w:color="auto"/>
      </w:divBdr>
    </w:div>
    <w:div w:id="76483158">
      <w:bodyDiv w:val="1"/>
      <w:marLeft w:val="0"/>
      <w:marRight w:val="0"/>
      <w:marTop w:val="0"/>
      <w:marBottom w:val="0"/>
      <w:divBdr>
        <w:top w:val="none" w:sz="0" w:space="0" w:color="auto"/>
        <w:left w:val="none" w:sz="0" w:space="0" w:color="auto"/>
        <w:bottom w:val="none" w:sz="0" w:space="0" w:color="auto"/>
        <w:right w:val="none" w:sz="0" w:space="0" w:color="auto"/>
      </w:divBdr>
    </w:div>
    <w:div w:id="85345767">
      <w:bodyDiv w:val="1"/>
      <w:marLeft w:val="0"/>
      <w:marRight w:val="0"/>
      <w:marTop w:val="0"/>
      <w:marBottom w:val="0"/>
      <w:divBdr>
        <w:top w:val="none" w:sz="0" w:space="0" w:color="auto"/>
        <w:left w:val="none" w:sz="0" w:space="0" w:color="auto"/>
        <w:bottom w:val="none" w:sz="0" w:space="0" w:color="auto"/>
        <w:right w:val="none" w:sz="0" w:space="0" w:color="auto"/>
      </w:divBdr>
    </w:div>
    <w:div w:id="108280680">
      <w:bodyDiv w:val="1"/>
      <w:marLeft w:val="0"/>
      <w:marRight w:val="0"/>
      <w:marTop w:val="0"/>
      <w:marBottom w:val="0"/>
      <w:divBdr>
        <w:top w:val="none" w:sz="0" w:space="0" w:color="auto"/>
        <w:left w:val="none" w:sz="0" w:space="0" w:color="auto"/>
        <w:bottom w:val="none" w:sz="0" w:space="0" w:color="auto"/>
        <w:right w:val="none" w:sz="0" w:space="0" w:color="auto"/>
      </w:divBdr>
    </w:div>
    <w:div w:id="109865922">
      <w:bodyDiv w:val="1"/>
      <w:marLeft w:val="0"/>
      <w:marRight w:val="0"/>
      <w:marTop w:val="0"/>
      <w:marBottom w:val="0"/>
      <w:divBdr>
        <w:top w:val="none" w:sz="0" w:space="0" w:color="auto"/>
        <w:left w:val="none" w:sz="0" w:space="0" w:color="auto"/>
        <w:bottom w:val="none" w:sz="0" w:space="0" w:color="auto"/>
        <w:right w:val="none" w:sz="0" w:space="0" w:color="auto"/>
      </w:divBdr>
    </w:div>
    <w:div w:id="110905985">
      <w:bodyDiv w:val="1"/>
      <w:marLeft w:val="0"/>
      <w:marRight w:val="0"/>
      <w:marTop w:val="0"/>
      <w:marBottom w:val="0"/>
      <w:divBdr>
        <w:top w:val="none" w:sz="0" w:space="0" w:color="auto"/>
        <w:left w:val="none" w:sz="0" w:space="0" w:color="auto"/>
        <w:bottom w:val="none" w:sz="0" w:space="0" w:color="auto"/>
        <w:right w:val="none" w:sz="0" w:space="0" w:color="auto"/>
      </w:divBdr>
    </w:div>
    <w:div w:id="115683599">
      <w:bodyDiv w:val="1"/>
      <w:marLeft w:val="0"/>
      <w:marRight w:val="0"/>
      <w:marTop w:val="0"/>
      <w:marBottom w:val="0"/>
      <w:divBdr>
        <w:top w:val="none" w:sz="0" w:space="0" w:color="auto"/>
        <w:left w:val="none" w:sz="0" w:space="0" w:color="auto"/>
        <w:bottom w:val="none" w:sz="0" w:space="0" w:color="auto"/>
        <w:right w:val="none" w:sz="0" w:space="0" w:color="auto"/>
      </w:divBdr>
    </w:div>
    <w:div w:id="124467849">
      <w:bodyDiv w:val="1"/>
      <w:marLeft w:val="0"/>
      <w:marRight w:val="0"/>
      <w:marTop w:val="0"/>
      <w:marBottom w:val="0"/>
      <w:divBdr>
        <w:top w:val="none" w:sz="0" w:space="0" w:color="auto"/>
        <w:left w:val="none" w:sz="0" w:space="0" w:color="auto"/>
        <w:bottom w:val="none" w:sz="0" w:space="0" w:color="auto"/>
        <w:right w:val="none" w:sz="0" w:space="0" w:color="auto"/>
      </w:divBdr>
    </w:div>
    <w:div w:id="143668634">
      <w:bodyDiv w:val="1"/>
      <w:marLeft w:val="0"/>
      <w:marRight w:val="0"/>
      <w:marTop w:val="0"/>
      <w:marBottom w:val="0"/>
      <w:divBdr>
        <w:top w:val="none" w:sz="0" w:space="0" w:color="auto"/>
        <w:left w:val="none" w:sz="0" w:space="0" w:color="auto"/>
        <w:bottom w:val="none" w:sz="0" w:space="0" w:color="auto"/>
        <w:right w:val="none" w:sz="0" w:space="0" w:color="auto"/>
      </w:divBdr>
    </w:div>
    <w:div w:id="157501201">
      <w:bodyDiv w:val="1"/>
      <w:marLeft w:val="0"/>
      <w:marRight w:val="0"/>
      <w:marTop w:val="0"/>
      <w:marBottom w:val="0"/>
      <w:divBdr>
        <w:top w:val="none" w:sz="0" w:space="0" w:color="auto"/>
        <w:left w:val="none" w:sz="0" w:space="0" w:color="auto"/>
        <w:bottom w:val="none" w:sz="0" w:space="0" w:color="auto"/>
        <w:right w:val="none" w:sz="0" w:space="0" w:color="auto"/>
      </w:divBdr>
    </w:div>
    <w:div w:id="193463649">
      <w:bodyDiv w:val="1"/>
      <w:marLeft w:val="0"/>
      <w:marRight w:val="0"/>
      <w:marTop w:val="0"/>
      <w:marBottom w:val="0"/>
      <w:divBdr>
        <w:top w:val="none" w:sz="0" w:space="0" w:color="auto"/>
        <w:left w:val="none" w:sz="0" w:space="0" w:color="auto"/>
        <w:bottom w:val="none" w:sz="0" w:space="0" w:color="auto"/>
        <w:right w:val="none" w:sz="0" w:space="0" w:color="auto"/>
      </w:divBdr>
    </w:div>
    <w:div w:id="206987239">
      <w:bodyDiv w:val="1"/>
      <w:marLeft w:val="0"/>
      <w:marRight w:val="0"/>
      <w:marTop w:val="0"/>
      <w:marBottom w:val="0"/>
      <w:divBdr>
        <w:top w:val="none" w:sz="0" w:space="0" w:color="auto"/>
        <w:left w:val="none" w:sz="0" w:space="0" w:color="auto"/>
        <w:bottom w:val="none" w:sz="0" w:space="0" w:color="auto"/>
        <w:right w:val="none" w:sz="0" w:space="0" w:color="auto"/>
      </w:divBdr>
    </w:div>
    <w:div w:id="207377052">
      <w:bodyDiv w:val="1"/>
      <w:marLeft w:val="0"/>
      <w:marRight w:val="0"/>
      <w:marTop w:val="0"/>
      <w:marBottom w:val="0"/>
      <w:divBdr>
        <w:top w:val="none" w:sz="0" w:space="0" w:color="auto"/>
        <w:left w:val="none" w:sz="0" w:space="0" w:color="auto"/>
        <w:bottom w:val="none" w:sz="0" w:space="0" w:color="auto"/>
        <w:right w:val="none" w:sz="0" w:space="0" w:color="auto"/>
      </w:divBdr>
    </w:div>
    <w:div w:id="232156495">
      <w:bodyDiv w:val="1"/>
      <w:marLeft w:val="0"/>
      <w:marRight w:val="0"/>
      <w:marTop w:val="0"/>
      <w:marBottom w:val="0"/>
      <w:divBdr>
        <w:top w:val="none" w:sz="0" w:space="0" w:color="auto"/>
        <w:left w:val="none" w:sz="0" w:space="0" w:color="auto"/>
        <w:bottom w:val="none" w:sz="0" w:space="0" w:color="auto"/>
        <w:right w:val="none" w:sz="0" w:space="0" w:color="auto"/>
      </w:divBdr>
    </w:div>
    <w:div w:id="242105931">
      <w:bodyDiv w:val="1"/>
      <w:marLeft w:val="0"/>
      <w:marRight w:val="0"/>
      <w:marTop w:val="0"/>
      <w:marBottom w:val="0"/>
      <w:divBdr>
        <w:top w:val="none" w:sz="0" w:space="0" w:color="auto"/>
        <w:left w:val="none" w:sz="0" w:space="0" w:color="auto"/>
        <w:bottom w:val="none" w:sz="0" w:space="0" w:color="auto"/>
        <w:right w:val="none" w:sz="0" w:space="0" w:color="auto"/>
      </w:divBdr>
    </w:div>
    <w:div w:id="264966803">
      <w:bodyDiv w:val="1"/>
      <w:marLeft w:val="0"/>
      <w:marRight w:val="0"/>
      <w:marTop w:val="0"/>
      <w:marBottom w:val="0"/>
      <w:divBdr>
        <w:top w:val="none" w:sz="0" w:space="0" w:color="auto"/>
        <w:left w:val="none" w:sz="0" w:space="0" w:color="auto"/>
        <w:bottom w:val="none" w:sz="0" w:space="0" w:color="auto"/>
        <w:right w:val="none" w:sz="0" w:space="0" w:color="auto"/>
      </w:divBdr>
    </w:div>
    <w:div w:id="271935079">
      <w:bodyDiv w:val="1"/>
      <w:marLeft w:val="0"/>
      <w:marRight w:val="0"/>
      <w:marTop w:val="0"/>
      <w:marBottom w:val="0"/>
      <w:divBdr>
        <w:top w:val="none" w:sz="0" w:space="0" w:color="auto"/>
        <w:left w:val="none" w:sz="0" w:space="0" w:color="auto"/>
        <w:bottom w:val="none" w:sz="0" w:space="0" w:color="auto"/>
        <w:right w:val="none" w:sz="0" w:space="0" w:color="auto"/>
      </w:divBdr>
    </w:div>
    <w:div w:id="273368418">
      <w:bodyDiv w:val="1"/>
      <w:marLeft w:val="0"/>
      <w:marRight w:val="0"/>
      <w:marTop w:val="0"/>
      <w:marBottom w:val="0"/>
      <w:divBdr>
        <w:top w:val="none" w:sz="0" w:space="0" w:color="auto"/>
        <w:left w:val="none" w:sz="0" w:space="0" w:color="auto"/>
        <w:bottom w:val="none" w:sz="0" w:space="0" w:color="auto"/>
        <w:right w:val="none" w:sz="0" w:space="0" w:color="auto"/>
      </w:divBdr>
    </w:div>
    <w:div w:id="285897490">
      <w:bodyDiv w:val="1"/>
      <w:marLeft w:val="0"/>
      <w:marRight w:val="0"/>
      <w:marTop w:val="0"/>
      <w:marBottom w:val="0"/>
      <w:divBdr>
        <w:top w:val="none" w:sz="0" w:space="0" w:color="auto"/>
        <w:left w:val="none" w:sz="0" w:space="0" w:color="auto"/>
        <w:bottom w:val="none" w:sz="0" w:space="0" w:color="auto"/>
        <w:right w:val="none" w:sz="0" w:space="0" w:color="auto"/>
      </w:divBdr>
    </w:div>
    <w:div w:id="287399686">
      <w:bodyDiv w:val="1"/>
      <w:marLeft w:val="0"/>
      <w:marRight w:val="0"/>
      <w:marTop w:val="0"/>
      <w:marBottom w:val="0"/>
      <w:divBdr>
        <w:top w:val="none" w:sz="0" w:space="0" w:color="auto"/>
        <w:left w:val="none" w:sz="0" w:space="0" w:color="auto"/>
        <w:bottom w:val="none" w:sz="0" w:space="0" w:color="auto"/>
        <w:right w:val="none" w:sz="0" w:space="0" w:color="auto"/>
      </w:divBdr>
    </w:div>
    <w:div w:id="296957127">
      <w:bodyDiv w:val="1"/>
      <w:marLeft w:val="0"/>
      <w:marRight w:val="0"/>
      <w:marTop w:val="0"/>
      <w:marBottom w:val="0"/>
      <w:divBdr>
        <w:top w:val="none" w:sz="0" w:space="0" w:color="auto"/>
        <w:left w:val="none" w:sz="0" w:space="0" w:color="auto"/>
        <w:bottom w:val="none" w:sz="0" w:space="0" w:color="auto"/>
        <w:right w:val="none" w:sz="0" w:space="0" w:color="auto"/>
      </w:divBdr>
    </w:div>
    <w:div w:id="302464308">
      <w:bodyDiv w:val="1"/>
      <w:marLeft w:val="0"/>
      <w:marRight w:val="0"/>
      <w:marTop w:val="0"/>
      <w:marBottom w:val="0"/>
      <w:divBdr>
        <w:top w:val="none" w:sz="0" w:space="0" w:color="auto"/>
        <w:left w:val="none" w:sz="0" w:space="0" w:color="auto"/>
        <w:bottom w:val="none" w:sz="0" w:space="0" w:color="auto"/>
        <w:right w:val="none" w:sz="0" w:space="0" w:color="auto"/>
      </w:divBdr>
    </w:div>
    <w:div w:id="310528163">
      <w:bodyDiv w:val="1"/>
      <w:marLeft w:val="0"/>
      <w:marRight w:val="0"/>
      <w:marTop w:val="0"/>
      <w:marBottom w:val="0"/>
      <w:divBdr>
        <w:top w:val="none" w:sz="0" w:space="0" w:color="auto"/>
        <w:left w:val="none" w:sz="0" w:space="0" w:color="auto"/>
        <w:bottom w:val="none" w:sz="0" w:space="0" w:color="auto"/>
        <w:right w:val="none" w:sz="0" w:space="0" w:color="auto"/>
      </w:divBdr>
    </w:div>
    <w:div w:id="315573156">
      <w:bodyDiv w:val="1"/>
      <w:marLeft w:val="0"/>
      <w:marRight w:val="0"/>
      <w:marTop w:val="0"/>
      <w:marBottom w:val="0"/>
      <w:divBdr>
        <w:top w:val="none" w:sz="0" w:space="0" w:color="auto"/>
        <w:left w:val="none" w:sz="0" w:space="0" w:color="auto"/>
        <w:bottom w:val="none" w:sz="0" w:space="0" w:color="auto"/>
        <w:right w:val="none" w:sz="0" w:space="0" w:color="auto"/>
      </w:divBdr>
    </w:div>
    <w:div w:id="321860940">
      <w:bodyDiv w:val="1"/>
      <w:marLeft w:val="0"/>
      <w:marRight w:val="0"/>
      <w:marTop w:val="0"/>
      <w:marBottom w:val="0"/>
      <w:divBdr>
        <w:top w:val="none" w:sz="0" w:space="0" w:color="auto"/>
        <w:left w:val="none" w:sz="0" w:space="0" w:color="auto"/>
        <w:bottom w:val="none" w:sz="0" w:space="0" w:color="auto"/>
        <w:right w:val="none" w:sz="0" w:space="0" w:color="auto"/>
      </w:divBdr>
    </w:div>
    <w:div w:id="326713076">
      <w:bodyDiv w:val="1"/>
      <w:marLeft w:val="0"/>
      <w:marRight w:val="0"/>
      <w:marTop w:val="0"/>
      <w:marBottom w:val="0"/>
      <w:divBdr>
        <w:top w:val="none" w:sz="0" w:space="0" w:color="auto"/>
        <w:left w:val="none" w:sz="0" w:space="0" w:color="auto"/>
        <w:bottom w:val="none" w:sz="0" w:space="0" w:color="auto"/>
        <w:right w:val="none" w:sz="0" w:space="0" w:color="auto"/>
      </w:divBdr>
    </w:div>
    <w:div w:id="343291145">
      <w:bodyDiv w:val="1"/>
      <w:marLeft w:val="0"/>
      <w:marRight w:val="0"/>
      <w:marTop w:val="0"/>
      <w:marBottom w:val="0"/>
      <w:divBdr>
        <w:top w:val="none" w:sz="0" w:space="0" w:color="auto"/>
        <w:left w:val="none" w:sz="0" w:space="0" w:color="auto"/>
        <w:bottom w:val="none" w:sz="0" w:space="0" w:color="auto"/>
        <w:right w:val="none" w:sz="0" w:space="0" w:color="auto"/>
      </w:divBdr>
    </w:div>
    <w:div w:id="348607022">
      <w:bodyDiv w:val="1"/>
      <w:marLeft w:val="0"/>
      <w:marRight w:val="0"/>
      <w:marTop w:val="0"/>
      <w:marBottom w:val="0"/>
      <w:divBdr>
        <w:top w:val="none" w:sz="0" w:space="0" w:color="auto"/>
        <w:left w:val="none" w:sz="0" w:space="0" w:color="auto"/>
        <w:bottom w:val="none" w:sz="0" w:space="0" w:color="auto"/>
        <w:right w:val="none" w:sz="0" w:space="0" w:color="auto"/>
      </w:divBdr>
    </w:div>
    <w:div w:id="354891660">
      <w:bodyDiv w:val="1"/>
      <w:marLeft w:val="0"/>
      <w:marRight w:val="0"/>
      <w:marTop w:val="0"/>
      <w:marBottom w:val="0"/>
      <w:divBdr>
        <w:top w:val="none" w:sz="0" w:space="0" w:color="auto"/>
        <w:left w:val="none" w:sz="0" w:space="0" w:color="auto"/>
        <w:bottom w:val="none" w:sz="0" w:space="0" w:color="auto"/>
        <w:right w:val="none" w:sz="0" w:space="0" w:color="auto"/>
      </w:divBdr>
    </w:div>
    <w:div w:id="365298184">
      <w:bodyDiv w:val="1"/>
      <w:marLeft w:val="0"/>
      <w:marRight w:val="0"/>
      <w:marTop w:val="0"/>
      <w:marBottom w:val="0"/>
      <w:divBdr>
        <w:top w:val="none" w:sz="0" w:space="0" w:color="auto"/>
        <w:left w:val="none" w:sz="0" w:space="0" w:color="auto"/>
        <w:bottom w:val="none" w:sz="0" w:space="0" w:color="auto"/>
        <w:right w:val="none" w:sz="0" w:space="0" w:color="auto"/>
      </w:divBdr>
    </w:div>
    <w:div w:id="368147461">
      <w:bodyDiv w:val="1"/>
      <w:marLeft w:val="0"/>
      <w:marRight w:val="0"/>
      <w:marTop w:val="0"/>
      <w:marBottom w:val="0"/>
      <w:divBdr>
        <w:top w:val="none" w:sz="0" w:space="0" w:color="auto"/>
        <w:left w:val="none" w:sz="0" w:space="0" w:color="auto"/>
        <w:bottom w:val="none" w:sz="0" w:space="0" w:color="auto"/>
        <w:right w:val="none" w:sz="0" w:space="0" w:color="auto"/>
      </w:divBdr>
    </w:div>
    <w:div w:id="373506695">
      <w:bodyDiv w:val="1"/>
      <w:marLeft w:val="0"/>
      <w:marRight w:val="0"/>
      <w:marTop w:val="0"/>
      <w:marBottom w:val="0"/>
      <w:divBdr>
        <w:top w:val="none" w:sz="0" w:space="0" w:color="auto"/>
        <w:left w:val="none" w:sz="0" w:space="0" w:color="auto"/>
        <w:bottom w:val="none" w:sz="0" w:space="0" w:color="auto"/>
        <w:right w:val="none" w:sz="0" w:space="0" w:color="auto"/>
      </w:divBdr>
    </w:div>
    <w:div w:id="416874539">
      <w:bodyDiv w:val="1"/>
      <w:marLeft w:val="0"/>
      <w:marRight w:val="0"/>
      <w:marTop w:val="0"/>
      <w:marBottom w:val="0"/>
      <w:divBdr>
        <w:top w:val="none" w:sz="0" w:space="0" w:color="auto"/>
        <w:left w:val="none" w:sz="0" w:space="0" w:color="auto"/>
        <w:bottom w:val="none" w:sz="0" w:space="0" w:color="auto"/>
        <w:right w:val="none" w:sz="0" w:space="0" w:color="auto"/>
      </w:divBdr>
    </w:div>
    <w:div w:id="424153083">
      <w:bodyDiv w:val="1"/>
      <w:marLeft w:val="0"/>
      <w:marRight w:val="0"/>
      <w:marTop w:val="0"/>
      <w:marBottom w:val="0"/>
      <w:divBdr>
        <w:top w:val="none" w:sz="0" w:space="0" w:color="auto"/>
        <w:left w:val="none" w:sz="0" w:space="0" w:color="auto"/>
        <w:bottom w:val="none" w:sz="0" w:space="0" w:color="auto"/>
        <w:right w:val="none" w:sz="0" w:space="0" w:color="auto"/>
      </w:divBdr>
    </w:div>
    <w:div w:id="432669593">
      <w:bodyDiv w:val="1"/>
      <w:marLeft w:val="0"/>
      <w:marRight w:val="0"/>
      <w:marTop w:val="0"/>
      <w:marBottom w:val="0"/>
      <w:divBdr>
        <w:top w:val="none" w:sz="0" w:space="0" w:color="auto"/>
        <w:left w:val="none" w:sz="0" w:space="0" w:color="auto"/>
        <w:bottom w:val="none" w:sz="0" w:space="0" w:color="auto"/>
        <w:right w:val="none" w:sz="0" w:space="0" w:color="auto"/>
      </w:divBdr>
    </w:div>
    <w:div w:id="454717754">
      <w:bodyDiv w:val="1"/>
      <w:marLeft w:val="0"/>
      <w:marRight w:val="0"/>
      <w:marTop w:val="0"/>
      <w:marBottom w:val="0"/>
      <w:divBdr>
        <w:top w:val="none" w:sz="0" w:space="0" w:color="auto"/>
        <w:left w:val="none" w:sz="0" w:space="0" w:color="auto"/>
        <w:bottom w:val="none" w:sz="0" w:space="0" w:color="auto"/>
        <w:right w:val="none" w:sz="0" w:space="0" w:color="auto"/>
      </w:divBdr>
    </w:div>
    <w:div w:id="467628920">
      <w:bodyDiv w:val="1"/>
      <w:marLeft w:val="0"/>
      <w:marRight w:val="0"/>
      <w:marTop w:val="0"/>
      <w:marBottom w:val="0"/>
      <w:divBdr>
        <w:top w:val="none" w:sz="0" w:space="0" w:color="auto"/>
        <w:left w:val="none" w:sz="0" w:space="0" w:color="auto"/>
        <w:bottom w:val="none" w:sz="0" w:space="0" w:color="auto"/>
        <w:right w:val="none" w:sz="0" w:space="0" w:color="auto"/>
      </w:divBdr>
    </w:div>
    <w:div w:id="508375746">
      <w:bodyDiv w:val="1"/>
      <w:marLeft w:val="0"/>
      <w:marRight w:val="0"/>
      <w:marTop w:val="0"/>
      <w:marBottom w:val="0"/>
      <w:divBdr>
        <w:top w:val="none" w:sz="0" w:space="0" w:color="auto"/>
        <w:left w:val="none" w:sz="0" w:space="0" w:color="auto"/>
        <w:bottom w:val="none" w:sz="0" w:space="0" w:color="auto"/>
        <w:right w:val="none" w:sz="0" w:space="0" w:color="auto"/>
      </w:divBdr>
    </w:div>
    <w:div w:id="514341428">
      <w:bodyDiv w:val="1"/>
      <w:marLeft w:val="0"/>
      <w:marRight w:val="0"/>
      <w:marTop w:val="0"/>
      <w:marBottom w:val="0"/>
      <w:divBdr>
        <w:top w:val="none" w:sz="0" w:space="0" w:color="auto"/>
        <w:left w:val="none" w:sz="0" w:space="0" w:color="auto"/>
        <w:bottom w:val="none" w:sz="0" w:space="0" w:color="auto"/>
        <w:right w:val="none" w:sz="0" w:space="0" w:color="auto"/>
      </w:divBdr>
    </w:div>
    <w:div w:id="538736384">
      <w:bodyDiv w:val="1"/>
      <w:marLeft w:val="0"/>
      <w:marRight w:val="0"/>
      <w:marTop w:val="0"/>
      <w:marBottom w:val="0"/>
      <w:divBdr>
        <w:top w:val="none" w:sz="0" w:space="0" w:color="auto"/>
        <w:left w:val="none" w:sz="0" w:space="0" w:color="auto"/>
        <w:bottom w:val="none" w:sz="0" w:space="0" w:color="auto"/>
        <w:right w:val="none" w:sz="0" w:space="0" w:color="auto"/>
      </w:divBdr>
    </w:div>
    <w:div w:id="540241848">
      <w:bodyDiv w:val="1"/>
      <w:marLeft w:val="0"/>
      <w:marRight w:val="0"/>
      <w:marTop w:val="0"/>
      <w:marBottom w:val="0"/>
      <w:divBdr>
        <w:top w:val="none" w:sz="0" w:space="0" w:color="auto"/>
        <w:left w:val="none" w:sz="0" w:space="0" w:color="auto"/>
        <w:bottom w:val="none" w:sz="0" w:space="0" w:color="auto"/>
        <w:right w:val="none" w:sz="0" w:space="0" w:color="auto"/>
      </w:divBdr>
    </w:div>
    <w:div w:id="547257645">
      <w:bodyDiv w:val="1"/>
      <w:marLeft w:val="0"/>
      <w:marRight w:val="0"/>
      <w:marTop w:val="0"/>
      <w:marBottom w:val="0"/>
      <w:divBdr>
        <w:top w:val="none" w:sz="0" w:space="0" w:color="auto"/>
        <w:left w:val="none" w:sz="0" w:space="0" w:color="auto"/>
        <w:bottom w:val="none" w:sz="0" w:space="0" w:color="auto"/>
        <w:right w:val="none" w:sz="0" w:space="0" w:color="auto"/>
      </w:divBdr>
    </w:div>
    <w:div w:id="576283507">
      <w:bodyDiv w:val="1"/>
      <w:marLeft w:val="0"/>
      <w:marRight w:val="0"/>
      <w:marTop w:val="0"/>
      <w:marBottom w:val="0"/>
      <w:divBdr>
        <w:top w:val="none" w:sz="0" w:space="0" w:color="auto"/>
        <w:left w:val="none" w:sz="0" w:space="0" w:color="auto"/>
        <w:bottom w:val="none" w:sz="0" w:space="0" w:color="auto"/>
        <w:right w:val="none" w:sz="0" w:space="0" w:color="auto"/>
      </w:divBdr>
    </w:div>
    <w:div w:id="576328898">
      <w:bodyDiv w:val="1"/>
      <w:marLeft w:val="0"/>
      <w:marRight w:val="0"/>
      <w:marTop w:val="0"/>
      <w:marBottom w:val="0"/>
      <w:divBdr>
        <w:top w:val="none" w:sz="0" w:space="0" w:color="auto"/>
        <w:left w:val="none" w:sz="0" w:space="0" w:color="auto"/>
        <w:bottom w:val="none" w:sz="0" w:space="0" w:color="auto"/>
        <w:right w:val="none" w:sz="0" w:space="0" w:color="auto"/>
      </w:divBdr>
    </w:div>
    <w:div w:id="600145325">
      <w:bodyDiv w:val="1"/>
      <w:marLeft w:val="0"/>
      <w:marRight w:val="0"/>
      <w:marTop w:val="0"/>
      <w:marBottom w:val="0"/>
      <w:divBdr>
        <w:top w:val="none" w:sz="0" w:space="0" w:color="auto"/>
        <w:left w:val="none" w:sz="0" w:space="0" w:color="auto"/>
        <w:bottom w:val="none" w:sz="0" w:space="0" w:color="auto"/>
        <w:right w:val="none" w:sz="0" w:space="0" w:color="auto"/>
      </w:divBdr>
    </w:div>
    <w:div w:id="601185788">
      <w:bodyDiv w:val="1"/>
      <w:marLeft w:val="0"/>
      <w:marRight w:val="0"/>
      <w:marTop w:val="0"/>
      <w:marBottom w:val="0"/>
      <w:divBdr>
        <w:top w:val="none" w:sz="0" w:space="0" w:color="auto"/>
        <w:left w:val="none" w:sz="0" w:space="0" w:color="auto"/>
        <w:bottom w:val="none" w:sz="0" w:space="0" w:color="auto"/>
        <w:right w:val="none" w:sz="0" w:space="0" w:color="auto"/>
      </w:divBdr>
    </w:div>
    <w:div w:id="624434435">
      <w:bodyDiv w:val="1"/>
      <w:marLeft w:val="0"/>
      <w:marRight w:val="0"/>
      <w:marTop w:val="0"/>
      <w:marBottom w:val="0"/>
      <w:divBdr>
        <w:top w:val="none" w:sz="0" w:space="0" w:color="auto"/>
        <w:left w:val="none" w:sz="0" w:space="0" w:color="auto"/>
        <w:bottom w:val="none" w:sz="0" w:space="0" w:color="auto"/>
        <w:right w:val="none" w:sz="0" w:space="0" w:color="auto"/>
      </w:divBdr>
    </w:div>
    <w:div w:id="628126386">
      <w:bodyDiv w:val="1"/>
      <w:marLeft w:val="0"/>
      <w:marRight w:val="0"/>
      <w:marTop w:val="0"/>
      <w:marBottom w:val="0"/>
      <w:divBdr>
        <w:top w:val="none" w:sz="0" w:space="0" w:color="auto"/>
        <w:left w:val="none" w:sz="0" w:space="0" w:color="auto"/>
        <w:bottom w:val="none" w:sz="0" w:space="0" w:color="auto"/>
        <w:right w:val="none" w:sz="0" w:space="0" w:color="auto"/>
      </w:divBdr>
    </w:div>
    <w:div w:id="630019578">
      <w:bodyDiv w:val="1"/>
      <w:marLeft w:val="0"/>
      <w:marRight w:val="0"/>
      <w:marTop w:val="0"/>
      <w:marBottom w:val="0"/>
      <w:divBdr>
        <w:top w:val="none" w:sz="0" w:space="0" w:color="auto"/>
        <w:left w:val="none" w:sz="0" w:space="0" w:color="auto"/>
        <w:bottom w:val="none" w:sz="0" w:space="0" w:color="auto"/>
        <w:right w:val="none" w:sz="0" w:space="0" w:color="auto"/>
      </w:divBdr>
    </w:div>
    <w:div w:id="655189089">
      <w:bodyDiv w:val="1"/>
      <w:marLeft w:val="0"/>
      <w:marRight w:val="0"/>
      <w:marTop w:val="0"/>
      <w:marBottom w:val="0"/>
      <w:divBdr>
        <w:top w:val="none" w:sz="0" w:space="0" w:color="auto"/>
        <w:left w:val="none" w:sz="0" w:space="0" w:color="auto"/>
        <w:bottom w:val="none" w:sz="0" w:space="0" w:color="auto"/>
        <w:right w:val="none" w:sz="0" w:space="0" w:color="auto"/>
      </w:divBdr>
    </w:div>
    <w:div w:id="665934004">
      <w:bodyDiv w:val="1"/>
      <w:marLeft w:val="0"/>
      <w:marRight w:val="0"/>
      <w:marTop w:val="0"/>
      <w:marBottom w:val="0"/>
      <w:divBdr>
        <w:top w:val="none" w:sz="0" w:space="0" w:color="auto"/>
        <w:left w:val="none" w:sz="0" w:space="0" w:color="auto"/>
        <w:bottom w:val="none" w:sz="0" w:space="0" w:color="auto"/>
        <w:right w:val="none" w:sz="0" w:space="0" w:color="auto"/>
      </w:divBdr>
    </w:div>
    <w:div w:id="677390382">
      <w:bodyDiv w:val="1"/>
      <w:marLeft w:val="0"/>
      <w:marRight w:val="0"/>
      <w:marTop w:val="0"/>
      <w:marBottom w:val="0"/>
      <w:divBdr>
        <w:top w:val="none" w:sz="0" w:space="0" w:color="auto"/>
        <w:left w:val="none" w:sz="0" w:space="0" w:color="auto"/>
        <w:bottom w:val="none" w:sz="0" w:space="0" w:color="auto"/>
        <w:right w:val="none" w:sz="0" w:space="0" w:color="auto"/>
      </w:divBdr>
    </w:div>
    <w:div w:id="682056329">
      <w:bodyDiv w:val="1"/>
      <w:marLeft w:val="0"/>
      <w:marRight w:val="0"/>
      <w:marTop w:val="0"/>
      <w:marBottom w:val="0"/>
      <w:divBdr>
        <w:top w:val="none" w:sz="0" w:space="0" w:color="auto"/>
        <w:left w:val="none" w:sz="0" w:space="0" w:color="auto"/>
        <w:bottom w:val="none" w:sz="0" w:space="0" w:color="auto"/>
        <w:right w:val="none" w:sz="0" w:space="0" w:color="auto"/>
      </w:divBdr>
    </w:div>
    <w:div w:id="685905409">
      <w:bodyDiv w:val="1"/>
      <w:marLeft w:val="0"/>
      <w:marRight w:val="0"/>
      <w:marTop w:val="0"/>
      <w:marBottom w:val="0"/>
      <w:divBdr>
        <w:top w:val="none" w:sz="0" w:space="0" w:color="auto"/>
        <w:left w:val="none" w:sz="0" w:space="0" w:color="auto"/>
        <w:bottom w:val="none" w:sz="0" w:space="0" w:color="auto"/>
        <w:right w:val="none" w:sz="0" w:space="0" w:color="auto"/>
      </w:divBdr>
    </w:div>
    <w:div w:id="690843026">
      <w:bodyDiv w:val="1"/>
      <w:marLeft w:val="0"/>
      <w:marRight w:val="0"/>
      <w:marTop w:val="0"/>
      <w:marBottom w:val="0"/>
      <w:divBdr>
        <w:top w:val="none" w:sz="0" w:space="0" w:color="auto"/>
        <w:left w:val="none" w:sz="0" w:space="0" w:color="auto"/>
        <w:bottom w:val="none" w:sz="0" w:space="0" w:color="auto"/>
        <w:right w:val="none" w:sz="0" w:space="0" w:color="auto"/>
      </w:divBdr>
    </w:div>
    <w:div w:id="701396759">
      <w:bodyDiv w:val="1"/>
      <w:marLeft w:val="0"/>
      <w:marRight w:val="0"/>
      <w:marTop w:val="0"/>
      <w:marBottom w:val="0"/>
      <w:divBdr>
        <w:top w:val="none" w:sz="0" w:space="0" w:color="auto"/>
        <w:left w:val="none" w:sz="0" w:space="0" w:color="auto"/>
        <w:bottom w:val="none" w:sz="0" w:space="0" w:color="auto"/>
        <w:right w:val="none" w:sz="0" w:space="0" w:color="auto"/>
      </w:divBdr>
    </w:div>
    <w:div w:id="744842626">
      <w:bodyDiv w:val="1"/>
      <w:marLeft w:val="0"/>
      <w:marRight w:val="0"/>
      <w:marTop w:val="0"/>
      <w:marBottom w:val="0"/>
      <w:divBdr>
        <w:top w:val="none" w:sz="0" w:space="0" w:color="auto"/>
        <w:left w:val="none" w:sz="0" w:space="0" w:color="auto"/>
        <w:bottom w:val="none" w:sz="0" w:space="0" w:color="auto"/>
        <w:right w:val="none" w:sz="0" w:space="0" w:color="auto"/>
      </w:divBdr>
    </w:div>
    <w:div w:id="747460932">
      <w:bodyDiv w:val="1"/>
      <w:marLeft w:val="0"/>
      <w:marRight w:val="0"/>
      <w:marTop w:val="0"/>
      <w:marBottom w:val="0"/>
      <w:divBdr>
        <w:top w:val="none" w:sz="0" w:space="0" w:color="auto"/>
        <w:left w:val="none" w:sz="0" w:space="0" w:color="auto"/>
        <w:bottom w:val="none" w:sz="0" w:space="0" w:color="auto"/>
        <w:right w:val="none" w:sz="0" w:space="0" w:color="auto"/>
      </w:divBdr>
    </w:div>
    <w:div w:id="747967036">
      <w:bodyDiv w:val="1"/>
      <w:marLeft w:val="0"/>
      <w:marRight w:val="0"/>
      <w:marTop w:val="0"/>
      <w:marBottom w:val="0"/>
      <w:divBdr>
        <w:top w:val="none" w:sz="0" w:space="0" w:color="auto"/>
        <w:left w:val="none" w:sz="0" w:space="0" w:color="auto"/>
        <w:bottom w:val="none" w:sz="0" w:space="0" w:color="auto"/>
        <w:right w:val="none" w:sz="0" w:space="0" w:color="auto"/>
      </w:divBdr>
    </w:div>
    <w:div w:id="756025023">
      <w:bodyDiv w:val="1"/>
      <w:marLeft w:val="0"/>
      <w:marRight w:val="0"/>
      <w:marTop w:val="0"/>
      <w:marBottom w:val="0"/>
      <w:divBdr>
        <w:top w:val="none" w:sz="0" w:space="0" w:color="auto"/>
        <w:left w:val="none" w:sz="0" w:space="0" w:color="auto"/>
        <w:bottom w:val="none" w:sz="0" w:space="0" w:color="auto"/>
        <w:right w:val="none" w:sz="0" w:space="0" w:color="auto"/>
      </w:divBdr>
    </w:div>
    <w:div w:id="772089174">
      <w:bodyDiv w:val="1"/>
      <w:marLeft w:val="0"/>
      <w:marRight w:val="0"/>
      <w:marTop w:val="0"/>
      <w:marBottom w:val="0"/>
      <w:divBdr>
        <w:top w:val="none" w:sz="0" w:space="0" w:color="auto"/>
        <w:left w:val="none" w:sz="0" w:space="0" w:color="auto"/>
        <w:bottom w:val="none" w:sz="0" w:space="0" w:color="auto"/>
        <w:right w:val="none" w:sz="0" w:space="0" w:color="auto"/>
      </w:divBdr>
    </w:div>
    <w:div w:id="800221706">
      <w:bodyDiv w:val="1"/>
      <w:marLeft w:val="0"/>
      <w:marRight w:val="0"/>
      <w:marTop w:val="0"/>
      <w:marBottom w:val="0"/>
      <w:divBdr>
        <w:top w:val="none" w:sz="0" w:space="0" w:color="auto"/>
        <w:left w:val="none" w:sz="0" w:space="0" w:color="auto"/>
        <w:bottom w:val="none" w:sz="0" w:space="0" w:color="auto"/>
        <w:right w:val="none" w:sz="0" w:space="0" w:color="auto"/>
      </w:divBdr>
    </w:div>
    <w:div w:id="854733597">
      <w:bodyDiv w:val="1"/>
      <w:marLeft w:val="0"/>
      <w:marRight w:val="0"/>
      <w:marTop w:val="0"/>
      <w:marBottom w:val="0"/>
      <w:divBdr>
        <w:top w:val="none" w:sz="0" w:space="0" w:color="auto"/>
        <w:left w:val="none" w:sz="0" w:space="0" w:color="auto"/>
        <w:bottom w:val="none" w:sz="0" w:space="0" w:color="auto"/>
        <w:right w:val="none" w:sz="0" w:space="0" w:color="auto"/>
      </w:divBdr>
    </w:div>
    <w:div w:id="856580794">
      <w:bodyDiv w:val="1"/>
      <w:marLeft w:val="0"/>
      <w:marRight w:val="0"/>
      <w:marTop w:val="0"/>
      <w:marBottom w:val="0"/>
      <w:divBdr>
        <w:top w:val="none" w:sz="0" w:space="0" w:color="auto"/>
        <w:left w:val="none" w:sz="0" w:space="0" w:color="auto"/>
        <w:bottom w:val="none" w:sz="0" w:space="0" w:color="auto"/>
        <w:right w:val="none" w:sz="0" w:space="0" w:color="auto"/>
      </w:divBdr>
    </w:div>
    <w:div w:id="860750399">
      <w:bodyDiv w:val="1"/>
      <w:marLeft w:val="0"/>
      <w:marRight w:val="0"/>
      <w:marTop w:val="0"/>
      <w:marBottom w:val="0"/>
      <w:divBdr>
        <w:top w:val="none" w:sz="0" w:space="0" w:color="auto"/>
        <w:left w:val="none" w:sz="0" w:space="0" w:color="auto"/>
        <w:bottom w:val="none" w:sz="0" w:space="0" w:color="auto"/>
        <w:right w:val="none" w:sz="0" w:space="0" w:color="auto"/>
      </w:divBdr>
    </w:div>
    <w:div w:id="868420520">
      <w:bodyDiv w:val="1"/>
      <w:marLeft w:val="0"/>
      <w:marRight w:val="0"/>
      <w:marTop w:val="0"/>
      <w:marBottom w:val="0"/>
      <w:divBdr>
        <w:top w:val="none" w:sz="0" w:space="0" w:color="auto"/>
        <w:left w:val="none" w:sz="0" w:space="0" w:color="auto"/>
        <w:bottom w:val="none" w:sz="0" w:space="0" w:color="auto"/>
        <w:right w:val="none" w:sz="0" w:space="0" w:color="auto"/>
      </w:divBdr>
    </w:div>
    <w:div w:id="882209239">
      <w:bodyDiv w:val="1"/>
      <w:marLeft w:val="0"/>
      <w:marRight w:val="0"/>
      <w:marTop w:val="0"/>
      <w:marBottom w:val="0"/>
      <w:divBdr>
        <w:top w:val="none" w:sz="0" w:space="0" w:color="auto"/>
        <w:left w:val="none" w:sz="0" w:space="0" w:color="auto"/>
        <w:bottom w:val="none" w:sz="0" w:space="0" w:color="auto"/>
        <w:right w:val="none" w:sz="0" w:space="0" w:color="auto"/>
      </w:divBdr>
    </w:div>
    <w:div w:id="883176263">
      <w:bodyDiv w:val="1"/>
      <w:marLeft w:val="0"/>
      <w:marRight w:val="0"/>
      <w:marTop w:val="0"/>
      <w:marBottom w:val="0"/>
      <w:divBdr>
        <w:top w:val="none" w:sz="0" w:space="0" w:color="auto"/>
        <w:left w:val="none" w:sz="0" w:space="0" w:color="auto"/>
        <w:bottom w:val="none" w:sz="0" w:space="0" w:color="auto"/>
        <w:right w:val="none" w:sz="0" w:space="0" w:color="auto"/>
      </w:divBdr>
    </w:div>
    <w:div w:id="894781235">
      <w:bodyDiv w:val="1"/>
      <w:marLeft w:val="0"/>
      <w:marRight w:val="0"/>
      <w:marTop w:val="0"/>
      <w:marBottom w:val="0"/>
      <w:divBdr>
        <w:top w:val="none" w:sz="0" w:space="0" w:color="auto"/>
        <w:left w:val="none" w:sz="0" w:space="0" w:color="auto"/>
        <w:bottom w:val="none" w:sz="0" w:space="0" w:color="auto"/>
        <w:right w:val="none" w:sz="0" w:space="0" w:color="auto"/>
      </w:divBdr>
    </w:div>
    <w:div w:id="907804987">
      <w:bodyDiv w:val="1"/>
      <w:marLeft w:val="0"/>
      <w:marRight w:val="0"/>
      <w:marTop w:val="0"/>
      <w:marBottom w:val="0"/>
      <w:divBdr>
        <w:top w:val="none" w:sz="0" w:space="0" w:color="auto"/>
        <w:left w:val="none" w:sz="0" w:space="0" w:color="auto"/>
        <w:bottom w:val="none" w:sz="0" w:space="0" w:color="auto"/>
        <w:right w:val="none" w:sz="0" w:space="0" w:color="auto"/>
      </w:divBdr>
    </w:div>
    <w:div w:id="919173435">
      <w:bodyDiv w:val="1"/>
      <w:marLeft w:val="0"/>
      <w:marRight w:val="0"/>
      <w:marTop w:val="0"/>
      <w:marBottom w:val="0"/>
      <w:divBdr>
        <w:top w:val="none" w:sz="0" w:space="0" w:color="auto"/>
        <w:left w:val="none" w:sz="0" w:space="0" w:color="auto"/>
        <w:bottom w:val="none" w:sz="0" w:space="0" w:color="auto"/>
        <w:right w:val="none" w:sz="0" w:space="0" w:color="auto"/>
      </w:divBdr>
    </w:div>
    <w:div w:id="938681576">
      <w:bodyDiv w:val="1"/>
      <w:marLeft w:val="0"/>
      <w:marRight w:val="0"/>
      <w:marTop w:val="0"/>
      <w:marBottom w:val="0"/>
      <w:divBdr>
        <w:top w:val="none" w:sz="0" w:space="0" w:color="auto"/>
        <w:left w:val="none" w:sz="0" w:space="0" w:color="auto"/>
        <w:bottom w:val="none" w:sz="0" w:space="0" w:color="auto"/>
        <w:right w:val="none" w:sz="0" w:space="0" w:color="auto"/>
      </w:divBdr>
    </w:div>
    <w:div w:id="948199739">
      <w:bodyDiv w:val="1"/>
      <w:marLeft w:val="0"/>
      <w:marRight w:val="0"/>
      <w:marTop w:val="0"/>
      <w:marBottom w:val="0"/>
      <w:divBdr>
        <w:top w:val="none" w:sz="0" w:space="0" w:color="auto"/>
        <w:left w:val="none" w:sz="0" w:space="0" w:color="auto"/>
        <w:bottom w:val="none" w:sz="0" w:space="0" w:color="auto"/>
        <w:right w:val="none" w:sz="0" w:space="0" w:color="auto"/>
      </w:divBdr>
    </w:div>
    <w:div w:id="979190983">
      <w:bodyDiv w:val="1"/>
      <w:marLeft w:val="0"/>
      <w:marRight w:val="0"/>
      <w:marTop w:val="0"/>
      <w:marBottom w:val="0"/>
      <w:divBdr>
        <w:top w:val="none" w:sz="0" w:space="0" w:color="auto"/>
        <w:left w:val="none" w:sz="0" w:space="0" w:color="auto"/>
        <w:bottom w:val="none" w:sz="0" w:space="0" w:color="auto"/>
        <w:right w:val="none" w:sz="0" w:space="0" w:color="auto"/>
      </w:divBdr>
    </w:div>
    <w:div w:id="981542123">
      <w:bodyDiv w:val="1"/>
      <w:marLeft w:val="0"/>
      <w:marRight w:val="0"/>
      <w:marTop w:val="0"/>
      <w:marBottom w:val="0"/>
      <w:divBdr>
        <w:top w:val="none" w:sz="0" w:space="0" w:color="auto"/>
        <w:left w:val="none" w:sz="0" w:space="0" w:color="auto"/>
        <w:bottom w:val="none" w:sz="0" w:space="0" w:color="auto"/>
        <w:right w:val="none" w:sz="0" w:space="0" w:color="auto"/>
      </w:divBdr>
    </w:div>
    <w:div w:id="1009330456">
      <w:bodyDiv w:val="1"/>
      <w:marLeft w:val="0"/>
      <w:marRight w:val="0"/>
      <w:marTop w:val="0"/>
      <w:marBottom w:val="0"/>
      <w:divBdr>
        <w:top w:val="none" w:sz="0" w:space="0" w:color="auto"/>
        <w:left w:val="none" w:sz="0" w:space="0" w:color="auto"/>
        <w:bottom w:val="none" w:sz="0" w:space="0" w:color="auto"/>
        <w:right w:val="none" w:sz="0" w:space="0" w:color="auto"/>
      </w:divBdr>
    </w:div>
    <w:div w:id="1016154485">
      <w:bodyDiv w:val="1"/>
      <w:marLeft w:val="0"/>
      <w:marRight w:val="0"/>
      <w:marTop w:val="0"/>
      <w:marBottom w:val="0"/>
      <w:divBdr>
        <w:top w:val="none" w:sz="0" w:space="0" w:color="auto"/>
        <w:left w:val="none" w:sz="0" w:space="0" w:color="auto"/>
        <w:bottom w:val="none" w:sz="0" w:space="0" w:color="auto"/>
        <w:right w:val="none" w:sz="0" w:space="0" w:color="auto"/>
      </w:divBdr>
    </w:div>
    <w:div w:id="1059672513">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87964156">
      <w:bodyDiv w:val="1"/>
      <w:marLeft w:val="0"/>
      <w:marRight w:val="0"/>
      <w:marTop w:val="0"/>
      <w:marBottom w:val="0"/>
      <w:divBdr>
        <w:top w:val="none" w:sz="0" w:space="0" w:color="auto"/>
        <w:left w:val="none" w:sz="0" w:space="0" w:color="auto"/>
        <w:bottom w:val="none" w:sz="0" w:space="0" w:color="auto"/>
        <w:right w:val="none" w:sz="0" w:space="0" w:color="auto"/>
      </w:divBdr>
    </w:div>
    <w:div w:id="1091849091">
      <w:bodyDiv w:val="1"/>
      <w:marLeft w:val="0"/>
      <w:marRight w:val="0"/>
      <w:marTop w:val="0"/>
      <w:marBottom w:val="0"/>
      <w:divBdr>
        <w:top w:val="none" w:sz="0" w:space="0" w:color="auto"/>
        <w:left w:val="none" w:sz="0" w:space="0" w:color="auto"/>
        <w:bottom w:val="none" w:sz="0" w:space="0" w:color="auto"/>
        <w:right w:val="none" w:sz="0" w:space="0" w:color="auto"/>
      </w:divBdr>
    </w:div>
    <w:div w:id="1096512648">
      <w:bodyDiv w:val="1"/>
      <w:marLeft w:val="0"/>
      <w:marRight w:val="0"/>
      <w:marTop w:val="0"/>
      <w:marBottom w:val="0"/>
      <w:divBdr>
        <w:top w:val="none" w:sz="0" w:space="0" w:color="auto"/>
        <w:left w:val="none" w:sz="0" w:space="0" w:color="auto"/>
        <w:bottom w:val="none" w:sz="0" w:space="0" w:color="auto"/>
        <w:right w:val="none" w:sz="0" w:space="0" w:color="auto"/>
      </w:divBdr>
    </w:div>
    <w:div w:id="1097941885">
      <w:bodyDiv w:val="1"/>
      <w:marLeft w:val="0"/>
      <w:marRight w:val="0"/>
      <w:marTop w:val="0"/>
      <w:marBottom w:val="0"/>
      <w:divBdr>
        <w:top w:val="none" w:sz="0" w:space="0" w:color="auto"/>
        <w:left w:val="none" w:sz="0" w:space="0" w:color="auto"/>
        <w:bottom w:val="none" w:sz="0" w:space="0" w:color="auto"/>
        <w:right w:val="none" w:sz="0" w:space="0" w:color="auto"/>
      </w:divBdr>
    </w:div>
    <w:div w:id="1107577484">
      <w:bodyDiv w:val="1"/>
      <w:marLeft w:val="0"/>
      <w:marRight w:val="0"/>
      <w:marTop w:val="0"/>
      <w:marBottom w:val="0"/>
      <w:divBdr>
        <w:top w:val="none" w:sz="0" w:space="0" w:color="auto"/>
        <w:left w:val="none" w:sz="0" w:space="0" w:color="auto"/>
        <w:bottom w:val="none" w:sz="0" w:space="0" w:color="auto"/>
        <w:right w:val="none" w:sz="0" w:space="0" w:color="auto"/>
      </w:divBdr>
    </w:div>
    <w:div w:id="1112213117">
      <w:bodyDiv w:val="1"/>
      <w:marLeft w:val="0"/>
      <w:marRight w:val="0"/>
      <w:marTop w:val="0"/>
      <w:marBottom w:val="0"/>
      <w:divBdr>
        <w:top w:val="none" w:sz="0" w:space="0" w:color="auto"/>
        <w:left w:val="none" w:sz="0" w:space="0" w:color="auto"/>
        <w:bottom w:val="none" w:sz="0" w:space="0" w:color="auto"/>
        <w:right w:val="none" w:sz="0" w:space="0" w:color="auto"/>
      </w:divBdr>
    </w:div>
    <w:div w:id="1145312576">
      <w:bodyDiv w:val="1"/>
      <w:marLeft w:val="0"/>
      <w:marRight w:val="0"/>
      <w:marTop w:val="0"/>
      <w:marBottom w:val="0"/>
      <w:divBdr>
        <w:top w:val="none" w:sz="0" w:space="0" w:color="auto"/>
        <w:left w:val="none" w:sz="0" w:space="0" w:color="auto"/>
        <w:bottom w:val="none" w:sz="0" w:space="0" w:color="auto"/>
        <w:right w:val="none" w:sz="0" w:space="0" w:color="auto"/>
      </w:divBdr>
    </w:div>
    <w:div w:id="1188372260">
      <w:bodyDiv w:val="1"/>
      <w:marLeft w:val="0"/>
      <w:marRight w:val="0"/>
      <w:marTop w:val="0"/>
      <w:marBottom w:val="0"/>
      <w:divBdr>
        <w:top w:val="none" w:sz="0" w:space="0" w:color="auto"/>
        <w:left w:val="none" w:sz="0" w:space="0" w:color="auto"/>
        <w:bottom w:val="none" w:sz="0" w:space="0" w:color="auto"/>
        <w:right w:val="none" w:sz="0" w:space="0" w:color="auto"/>
      </w:divBdr>
    </w:div>
    <w:div w:id="1192181552">
      <w:bodyDiv w:val="1"/>
      <w:marLeft w:val="0"/>
      <w:marRight w:val="0"/>
      <w:marTop w:val="0"/>
      <w:marBottom w:val="0"/>
      <w:divBdr>
        <w:top w:val="none" w:sz="0" w:space="0" w:color="auto"/>
        <w:left w:val="none" w:sz="0" w:space="0" w:color="auto"/>
        <w:bottom w:val="none" w:sz="0" w:space="0" w:color="auto"/>
        <w:right w:val="none" w:sz="0" w:space="0" w:color="auto"/>
      </w:divBdr>
    </w:div>
    <w:div w:id="1205875021">
      <w:bodyDiv w:val="1"/>
      <w:marLeft w:val="0"/>
      <w:marRight w:val="0"/>
      <w:marTop w:val="0"/>
      <w:marBottom w:val="0"/>
      <w:divBdr>
        <w:top w:val="none" w:sz="0" w:space="0" w:color="auto"/>
        <w:left w:val="none" w:sz="0" w:space="0" w:color="auto"/>
        <w:bottom w:val="none" w:sz="0" w:space="0" w:color="auto"/>
        <w:right w:val="none" w:sz="0" w:space="0" w:color="auto"/>
      </w:divBdr>
    </w:div>
    <w:div w:id="1209562974">
      <w:bodyDiv w:val="1"/>
      <w:marLeft w:val="0"/>
      <w:marRight w:val="0"/>
      <w:marTop w:val="0"/>
      <w:marBottom w:val="0"/>
      <w:divBdr>
        <w:top w:val="none" w:sz="0" w:space="0" w:color="auto"/>
        <w:left w:val="none" w:sz="0" w:space="0" w:color="auto"/>
        <w:bottom w:val="none" w:sz="0" w:space="0" w:color="auto"/>
        <w:right w:val="none" w:sz="0" w:space="0" w:color="auto"/>
      </w:divBdr>
    </w:div>
    <w:div w:id="1210460490">
      <w:bodyDiv w:val="1"/>
      <w:marLeft w:val="0"/>
      <w:marRight w:val="0"/>
      <w:marTop w:val="0"/>
      <w:marBottom w:val="0"/>
      <w:divBdr>
        <w:top w:val="none" w:sz="0" w:space="0" w:color="auto"/>
        <w:left w:val="none" w:sz="0" w:space="0" w:color="auto"/>
        <w:bottom w:val="none" w:sz="0" w:space="0" w:color="auto"/>
        <w:right w:val="none" w:sz="0" w:space="0" w:color="auto"/>
      </w:divBdr>
    </w:div>
    <w:div w:id="1217936967">
      <w:bodyDiv w:val="1"/>
      <w:marLeft w:val="0"/>
      <w:marRight w:val="0"/>
      <w:marTop w:val="0"/>
      <w:marBottom w:val="0"/>
      <w:divBdr>
        <w:top w:val="none" w:sz="0" w:space="0" w:color="auto"/>
        <w:left w:val="none" w:sz="0" w:space="0" w:color="auto"/>
        <w:bottom w:val="none" w:sz="0" w:space="0" w:color="auto"/>
        <w:right w:val="none" w:sz="0" w:space="0" w:color="auto"/>
      </w:divBdr>
    </w:div>
    <w:div w:id="1219510341">
      <w:bodyDiv w:val="1"/>
      <w:marLeft w:val="0"/>
      <w:marRight w:val="0"/>
      <w:marTop w:val="0"/>
      <w:marBottom w:val="0"/>
      <w:divBdr>
        <w:top w:val="none" w:sz="0" w:space="0" w:color="auto"/>
        <w:left w:val="none" w:sz="0" w:space="0" w:color="auto"/>
        <w:bottom w:val="none" w:sz="0" w:space="0" w:color="auto"/>
        <w:right w:val="none" w:sz="0" w:space="0" w:color="auto"/>
      </w:divBdr>
    </w:div>
    <w:div w:id="1227568893">
      <w:bodyDiv w:val="1"/>
      <w:marLeft w:val="0"/>
      <w:marRight w:val="0"/>
      <w:marTop w:val="0"/>
      <w:marBottom w:val="0"/>
      <w:divBdr>
        <w:top w:val="none" w:sz="0" w:space="0" w:color="auto"/>
        <w:left w:val="none" w:sz="0" w:space="0" w:color="auto"/>
        <w:bottom w:val="none" w:sz="0" w:space="0" w:color="auto"/>
        <w:right w:val="none" w:sz="0" w:space="0" w:color="auto"/>
      </w:divBdr>
    </w:div>
    <w:div w:id="1229730170">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44803131">
      <w:bodyDiv w:val="1"/>
      <w:marLeft w:val="0"/>
      <w:marRight w:val="0"/>
      <w:marTop w:val="0"/>
      <w:marBottom w:val="0"/>
      <w:divBdr>
        <w:top w:val="none" w:sz="0" w:space="0" w:color="auto"/>
        <w:left w:val="none" w:sz="0" w:space="0" w:color="auto"/>
        <w:bottom w:val="none" w:sz="0" w:space="0" w:color="auto"/>
        <w:right w:val="none" w:sz="0" w:space="0" w:color="auto"/>
      </w:divBdr>
    </w:div>
    <w:div w:id="1248419170">
      <w:bodyDiv w:val="1"/>
      <w:marLeft w:val="0"/>
      <w:marRight w:val="0"/>
      <w:marTop w:val="0"/>
      <w:marBottom w:val="0"/>
      <w:divBdr>
        <w:top w:val="none" w:sz="0" w:space="0" w:color="auto"/>
        <w:left w:val="none" w:sz="0" w:space="0" w:color="auto"/>
        <w:bottom w:val="none" w:sz="0" w:space="0" w:color="auto"/>
        <w:right w:val="none" w:sz="0" w:space="0" w:color="auto"/>
      </w:divBdr>
    </w:div>
    <w:div w:id="1259632760">
      <w:bodyDiv w:val="1"/>
      <w:marLeft w:val="0"/>
      <w:marRight w:val="0"/>
      <w:marTop w:val="0"/>
      <w:marBottom w:val="0"/>
      <w:divBdr>
        <w:top w:val="none" w:sz="0" w:space="0" w:color="auto"/>
        <w:left w:val="none" w:sz="0" w:space="0" w:color="auto"/>
        <w:bottom w:val="none" w:sz="0" w:space="0" w:color="auto"/>
        <w:right w:val="none" w:sz="0" w:space="0" w:color="auto"/>
      </w:divBdr>
    </w:div>
    <w:div w:id="1265067205">
      <w:bodyDiv w:val="1"/>
      <w:marLeft w:val="0"/>
      <w:marRight w:val="0"/>
      <w:marTop w:val="0"/>
      <w:marBottom w:val="0"/>
      <w:divBdr>
        <w:top w:val="none" w:sz="0" w:space="0" w:color="auto"/>
        <w:left w:val="none" w:sz="0" w:space="0" w:color="auto"/>
        <w:bottom w:val="none" w:sz="0" w:space="0" w:color="auto"/>
        <w:right w:val="none" w:sz="0" w:space="0" w:color="auto"/>
      </w:divBdr>
    </w:div>
    <w:div w:id="1281185632">
      <w:bodyDiv w:val="1"/>
      <w:marLeft w:val="0"/>
      <w:marRight w:val="0"/>
      <w:marTop w:val="0"/>
      <w:marBottom w:val="0"/>
      <w:divBdr>
        <w:top w:val="none" w:sz="0" w:space="0" w:color="auto"/>
        <w:left w:val="none" w:sz="0" w:space="0" w:color="auto"/>
        <w:bottom w:val="none" w:sz="0" w:space="0" w:color="auto"/>
        <w:right w:val="none" w:sz="0" w:space="0" w:color="auto"/>
      </w:divBdr>
    </w:div>
    <w:div w:id="1288705991">
      <w:bodyDiv w:val="1"/>
      <w:marLeft w:val="0"/>
      <w:marRight w:val="0"/>
      <w:marTop w:val="0"/>
      <w:marBottom w:val="0"/>
      <w:divBdr>
        <w:top w:val="none" w:sz="0" w:space="0" w:color="auto"/>
        <w:left w:val="none" w:sz="0" w:space="0" w:color="auto"/>
        <w:bottom w:val="none" w:sz="0" w:space="0" w:color="auto"/>
        <w:right w:val="none" w:sz="0" w:space="0" w:color="auto"/>
      </w:divBdr>
    </w:div>
    <w:div w:id="1293176427">
      <w:bodyDiv w:val="1"/>
      <w:marLeft w:val="0"/>
      <w:marRight w:val="0"/>
      <w:marTop w:val="0"/>
      <w:marBottom w:val="0"/>
      <w:divBdr>
        <w:top w:val="none" w:sz="0" w:space="0" w:color="auto"/>
        <w:left w:val="none" w:sz="0" w:space="0" w:color="auto"/>
        <w:bottom w:val="none" w:sz="0" w:space="0" w:color="auto"/>
        <w:right w:val="none" w:sz="0" w:space="0" w:color="auto"/>
      </w:divBdr>
    </w:div>
    <w:div w:id="1312293641">
      <w:bodyDiv w:val="1"/>
      <w:marLeft w:val="0"/>
      <w:marRight w:val="0"/>
      <w:marTop w:val="0"/>
      <w:marBottom w:val="0"/>
      <w:divBdr>
        <w:top w:val="none" w:sz="0" w:space="0" w:color="auto"/>
        <w:left w:val="none" w:sz="0" w:space="0" w:color="auto"/>
        <w:bottom w:val="none" w:sz="0" w:space="0" w:color="auto"/>
        <w:right w:val="none" w:sz="0" w:space="0" w:color="auto"/>
      </w:divBdr>
    </w:div>
    <w:div w:id="1325624640">
      <w:bodyDiv w:val="1"/>
      <w:marLeft w:val="0"/>
      <w:marRight w:val="0"/>
      <w:marTop w:val="0"/>
      <w:marBottom w:val="0"/>
      <w:divBdr>
        <w:top w:val="none" w:sz="0" w:space="0" w:color="auto"/>
        <w:left w:val="none" w:sz="0" w:space="0" w:color="auto"/>
        <w:bottom w:val="none" w:sz="0" w:space="0" w:color="auto"/>
        <w:right w:val="none" w:sz="0" w:space="0" w:color="auto"/>
      </w:divBdr>
    </w:div>
    <w:div w:id="1330250354">
      <w:bodyDiv w:val="1"/>
      <w:marLeft w:val="0"/>
      <w:marRight w:val="0"/>
      <w:marTop w:val="0"/>
      <w:marBottom w:val="0"/>
      <w:divBdr>
        <w:top w:val="none" w:sz="0" w:space="0" w:color="auto"/>
        <w:left w:val="none" w:sz="0" w:space="0" w:color="auto"/>
        <w:bottom w:val="none" w:sz="0" w:space="0" w:color="auto"/>
        <w:right w:val="none" w:sz="0" w:space="0" w:color="auto"/>
      </w:divBdr>
    </w:div>
    <w:div w:id="1334262253">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1013053">
      <w:bodyDiv w:val="1"/>
      <w:marLeft w:val="0"/>
      <w:marRight w:val="0"/>
      <w:marTop w:val="0"/>
      <w:marBottom w:val="0"/>
      <w:divBdr>
        <w:top w:val="none" w:sz="0" w:space="0" w:color="auto"/>
        <w:left w:val="none" w:sz="0" w:space="0" w:color="auto"/>
        <w:bottom w:val="none" w:sz="0" w:space="0" w:color="auto"/>
        <w:right w:val="none" w:sz="0" w:space="0" w:color="auto"/>
      </w:divBdr>
    </w:div>
    <w:div w:id="1362322234">
      <w:bodyDiv w:val="1"/>
      <w:marLeft w:val="0"/>
      <w:marRight w:val="0"/>
      <w:marTop w:val="0"/>
      <w:marBottom w:val="0"/>
      <w:divBdr>
        <w:top w:val="none" w:sz="0" w:space="0" w:color="auto"/>
        <w:left w:val="none" w:sz="0" w:space="0" w:color="auto"/>
        <w:bottom w:val="none" w:sz="0" w:space="0" w:color="auto"/>
        <w:right w:val="none" w:sz="0" w:space="0" w:color="auto"/>
      </w:divBdr>
    </w:div>
    <w:div w:id="1388335938">
      <w:bodyDiv w:val="1"/>
      <w:marLeft w:val="0"/>
      <w:marRight w:val="0"/>
      <w:marTop w:val="0"/>
      <w:marBottom w:val="0"/>
      <w:divBdr>
        <w:top w:val="none" w:sz="0" w:space="0" w:color="auto"/>
        <w:left w:val="none" w:sz="0" w:space="0" w:color="auto"/>
        <w:bottom w:val="none" w:sz="0" w:space="0" w:color="auto"/>
        <w:right w:val="none" w:sz="0" w:space="0" w:color="auto"/>
      </w:divBdr>
    </w:div>
    <w:div w:id="1389916934">
      <w:bodyDiv w:val="1"/>
      <w:marLeft w:val="0"/>
      <w:marRight w:val="0"/>
      <w:marTop w:val="0"/>
      <w:marBottom w:val="0"/>
      <w:divBdr>
        <w:top w:val="none" w:sz="0" w:space="0" w:color="auto"/>
        <w:left w:val="none" w:sz="0" w:space="0" w:color="auto"/>
        <w:bottom w:val="none" w:sz="0" w:space="0" w:color="auto"/>
        <w:right w:val="none" w:sz="0" w:space="0" w:color="auto"/>
      </w:divBdr>
    </w:div>
    <w:div w:id="1392579011">
      <w:bodyDiv w:val="1"/>
      <w:marLeft w:val="0"/>
      <w:marRight w:val="0"/>
      <w:marTop w:val="0"/>
      <w:marBottom w:val="0"/>
      <w:divBdr>
        <w:top w:val="none" w:sz="0" w:space="0" w:color="auto"/>
        <w:left w:val="none" w:sz="0" w:space="0" w:color="auto"/>
        <w:bottom w:val="none" w:sz="0" w:space="0" w:color="auto"/>
        <w:right w:val="none" w:sz="0" w:space="0" w:color="auto"/>
      </w:divBdr>
    </w:div>
    <w:div w:id="1407806383">
      <w:bodyDiv w:val="1"/>
      <w:marLeft w:val="0"/>
      <w:marRight w:val="0"/>
      <w:marTop w:val="0"/>
      <w:marBottom w:val="0"/>
      <w:divBdr>
        <w:top w:val="none" w:sz="0" w:space="0" w:color="auto"/>
        <w:left w:val="none" w:sz="0" w:space="0" w:color="auto"/>
        <w:bottom w:val="none" w:sz="0" w:space="0" w:color="auto"/>
        <w:right w:val="none" w:sz="0" w:space="0" w:color="auto"/>
      </w:divBdr>
    </w:div>
    <w:div w:id="1445151151">
      <w:bodyDiv w:val="1"/>
      <w:marLeft w:val="0"/>
      <w:marRight w:val="0"/>
      <w:marTop w:val="0"/>
      <w:marBottom w:val="0"/>
      <w:divBdr>
        <w:top w:val="none" w:sz="0" w:space="0" w:color="auto"/>
        <w:left w:val="none" w:sz="0" w:space="0" w:color="auto"/>
        <w:bottom w:val="none" w:sz="0" w:space="0" w:color="auto"/>
        <w:right w:val="none" w:sz="0" w:space="0" w:color="auto"/>
      </w:divBdr>
    </w:div>
    <w:div w:id="1458647210">
      <w:bodyDiv w:val="1"/>
      <w:marLeft w:val="0"/>
      <w:marRight w:val="0"/>
      <w:marTop w:val="0"/>
      <w:marBottom w:val="0"/>
      <w:divBdr>
        <w:top w:val="none" w:sz="0" w:space="0" w:color="auto"/>
        <w:left w:val="none" w:sz="0" w:space="0" w:color="auto"/>
        <w:bottom w:val="none" w:sz="0" w:space="0" w:color="auto"/>
        <w:right w:val="none" w:sz="0" w:space="0" w:color="auto"/>
      </w:divBdr>
    </w:div>
    <w:div w:id="1467043272">
      <w:bodyDiv w:val="1"/>
      <w:marLeft w:val="0"/>
      <w:marRight w:val="0"/>
      <w:marTop w:val="0"/>
      <w:marBottom w:val="0"/>
      <w:divBdr>
        <w:top w:val="none" w:sz="0" w:space="0" w:color="auto"/>
        <w:left w:val="none" w:sz="0" w:space="0" w:color="auto"/>
        <w:bottom w:val="none" w:sz="0" w:space="0" w:color="auto"/>
        <w:right w:val="none" w:sz="0" w:space="0" w:color="auto"/>
      </w:divBdr>
    </w:div>
    <w:div w:id="1470055082">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9951143">
      <w:bodyDiv w:val="1"/>
      <w:marLeft w:val="0"/>
      <w:marRight w:val="0"/>
      <w:marTop w:val="0"/>
      <w:marBottom w:val="0"/>
      <w:divBdr>
        <w:top w:val="none" w:sz="0" w:space="0" w:color="auto"/>
        <w:left w:val="none" w:sz="0" w:space="0" w:color="auto"/>
        <w:bottom w:val="none" w:sz="0" w:space="0" w:color="auto"/>
        <w:right w:val="none" w:sz="0" w:space="0" w:color="auto"/>
      </w:divBdr>
    </w:div>
    <w:div w:id="1514760302">
      <w:bodyDiv w:val="1"/>
      <w:marLeft w:val="0"/>
      <w:marRight w:val="0"/>
      <w:marTop w:val="0"/>
      <w:marBottom w:val="0"/>
      <w:divBdr>
        <w:top w:val="none" w:sz="0" w:space="0" w:color="auto"/>
        <w:left w:val="none" w:sz="0" w:space="0" w:color="auto"/>
        <w:bottom w:val="none" w:sz="0" w:space="0" w:color="auto"/>
        <w:right w:val="none" w:sz="0" w:space="0" w:color="auto"/>
      </w:divBdr>
    </w:div>
    <w:div w:id="1519543336">
      <w:bodyDiv w:val="1"/>
      <w:marLeft w:val="0"/>
      <w:marRight w:val="0"/>
      <w:marTop w:val="0"/>
      <w:marBottom w:val="0"/>
      <w:divBdr>
        <w:top w:val="none" w:sz="0" w:space="0" w:color="auto"/>
        <w:left w:val="none" w:sz="0" w:space="0" w:color="auto"/>
        <w:bottom w:val="none" w:sz="0" w:space="0" w:color="auto"/>
        <w:right w:val="none" w:sz="0" w:space="0" w:color="auto"/>
      </w:divBdr>
    </w:div>
    <w:div w:id="1525170913">
      <w:bodyDiv w:val="1"/>
      <w:marLeft w:val="0"/>
      <w:marRight w:val="0"/>
      <w:marTop w:val="0"/>
      <w:marBottom w:val="0"/>
      <w:divBdr>
        <w:top w:val="none" w:sz="0" w:space="0" w:color="auto"/>
        <w:left w:val="none" w:sz="0" w:space="0" w:color="auto"/>
        <w:bottom w:val="none" w:sz="0" w:space="0" w:color="auto"/>
        <w:right w:val="none" w:sz="0" w:space="0" w:color="auto"/>
      </w:divBdr>
    </w:div>
    <w:div w:id="1534686861">
      <w:bodyDiv w:val="1"/>
      <w:marLeft w:val="0"/>
      <w:marRight w:val="0"/>
      <w:marTop w:val="0"/>
      <w:marBottom w:val="0"/>
      <w:divBdr>
        <w:top w:val="none" w:sz="0" w:space="0" w:color="auto"/>
        <w:left w:val="none" w:sz="0" w:space="0" w:color="auto"/>
        <w:bottom w:val="none" w:sz="0" w:space="0" w:color="auto"/>
        <w:right w:val="none" w:sz="0" w:space="0" w:color="auto"/>
      </w:divBdr>
    </w:div>
    <w:div w:id="1554005636">
      <w:bodyDiv w:val="1"/>
      <w:marLeft w:val="0"/>
      <w:marRight w:val="0"/>
      <w:marTop w:val="0"/>
      <w:marBottom w:val="0"/>
      <w:divBdr>
        <w:top w:val="none" w:sz="0" w:space="0" w:color="auto"/>
        <w:left w:val="none" w:sz="0" w:space="0" w:color="auto"/>
        <w:bottom w:val="none" w:sz="0" w:space="0" w:color="auto"/>
        <w:right w:val="none" w:sz="0" w:space="0" w:color="auto"/>
      </w:divBdr>
    </w:div>
    <w:div w:id="1581214634">
      <w:bodyDiv w:val="1"/>
      <w:marLeft w:val="0"/>
      <w:marRight w:val="0"/>
      <w:marTop w:val="0"/>
      <w:marBottom w:val="0"/>
      <w:divBdr>
        <w:top w:val="none" w:sz="0" w:space="0" w:color="auto"/>
        <w:left w:val="none" w:sz="0" w:space="0" w:color="auto"/>
        <w:bottom w:val="none" w:sz="0" w:space="0" w:color="auto"/>
        <w:right w:val="none" w:sz="0" w:space="0" w:color="auto"/>
      </w:divBdr>
    </w:div>
    <w:div w:id="1584339080">
      <w:bodyDiv w:val="1"/>
      <w:marLeft w:val="0"/>
      <w:marRight w:val="0"/>
      <w:marTop w:val="0"/>
      <w:marBottom w:val="0"/>
      <w:divBdr>
        <w:top w:val="none" w:sz="0" w:space="0" w:color="auto"/>
        <w:left w:val="none" w:sz="0" w:space="0" w:color="auto"/>
        <w:bottom w:val="none" w:sz="0" w:space="0" w:color="auto"/>
        <w:right w:val="none" w:sz="0" w:space="0" w:color="auto"/>
      </w:divBdr>
    </w:div>
    <w:div w:id="1585993440">
      <w:bodyDiv w:val="1"/>
      <w:marLeft w:val="0"/>
      <w:marRight w:val="0"/>
      <w:marTop w:val="0"/>
      <w:marBottom w:val="0"/>
      <w:divBdr>
        <w:top w:val="none" w:sz="0" w:space="0" w:color="auto"/>
        <w:left w:val="none" w:sz="0" w:space="0" w:color="auto"/>
        <w:bottom w:val="none" w:sz="0" w:space="0" w:color="auto"/>
        <w:right w:val="none" w:sz="0" w:space="0" w:color="auto"/>
      </w:divBdr>
    </w:div>
    <w:div w:id="1587424055">
      <w:bodyDiv w:val="1"/>
      <w:marLeft w:val="0"/>
      <w:marRight w:val="0"/>
      <w:marTop w:val="0"/>
      <w:marBottom w:val="0"/>
      <w:divBdr>
        <w:top w:val="none" w:sz="0" w:space="0" w:color="auto"/>
        <w:left w:val="none" w:sz="0" w:space="0" w:color="auto"/>
        <w:bottom w:val="none" w:sz="0" w:space="0" w:color="auto"/>
        <w:right w:val="none" w:sz="0" w:space="0" w:color="auto"/>
      </w:divBdr>
    </w:div>
    <w:div w:id="1619067218">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8873355">
      <w:bodyDiv w:val="1"/>
      <w:marLeft w:val="0"/>
      <w:marRight w:val="0"/>
      <w:marTop w:val="0"/>
      <w:marBottom w:val="0"/>
      <w:divBdr>
        <w:top w:val="none" w:sz="0" w:space="0" w:color="auto"/>
        <w:left w:val="none" w:sz="0" w:space="0" w:color="auto"/>
        <w:bottom w:val="none" w:sz="0" w:space="0" w:color="auto"/>
        <w:right w:val="none" w:sz="0" w:space="0" w:color="auto"/>
      </w:divBdr>
    </w:div>
    <w:div w:id="1642612821">
      <w:bodyDiv w:val="1"/>
      <w:marLeft w:val="0"/>
      <w:marRight w:val="0"/>
      <w:marTop w:val="0"/>
      <w:marBottom w:val="0"/>
      <w:divBdr>
        <w:top w:val="none" w:sz="0" w:space="0" w:color="auto"/>
        <w:left w:val="none" w:sz="0" w:space="0" w:color="auto"/>
        <w:bottom w:val="none" w:sz="0" w:space="0" w:color="auto"/>
        <w:right w:val="none" w:sz="0" w:space="0" w:color="auto"/>
      </w:divBdr>
    </w:div>
    <w:div w:id="1651518817">
      <w:bodyDiv w:val="1"/>
      <w:marLeft w:val="0"/>
      <w:marRight w:val="0"/>
      <w:marTop w:val="0"/>
      <w:marBottom w:val="0"/>
      <w:divBdr>
        <w:top w:val="none" w:sz="0" w:space="0" w:color="auto"/>
        <w:left w:val="none" w:sz="0" w:space="0" w:color="auto"/>
        <w:bottom w:val="none" w:sz="0" w:space="0" w:color="auto"/>
        <w:right w:val="none" w:sz="0" w:space="0" w:color="auto"/>
      </w:divBdr>
    </w:div>
    <w:div w:id="1651905423">
      <w:bodyDiv w:val="1"/>
      <w:marLeft w:val="0"/>
      <w:marRight w:val="0"/>
      <w:marTop w:val="0"/>
      <w:marBottom w:val="0"/>
      <w:divBdr>
        <w:top w:val="none" w:sz="0" w:space="0" w:color="auto"/>
        <w:left w:val="none" w:sz="0" w:space="0" w:color="auto"/>
        <w:bottom w:val="none" w:sz="0" w:space="0" w:color="auto"/>
        <w:right w:val="none" w:sz="0" w:space="0" w:color="auto"/>
      </w:divBdr>
    </w:div>
    <w:div w:id="1683782817">
      <w:bodyDiv w:val="1"/>
      <w:marLeft w:val="0"/>
      <w:marRight w:val="0"/>
      <w:marTop w:val="0"/>
      <w:marBottom w:val="0"/>
      <w:divBdr>
        <w:top w:val="none" w:sz="0" w:space="0" w:color="auto"/>
        <w:left w:val="none" w:sz="0" w:space="0" w:color="auto"/>
        <w:bottom w:val="none" w:sz="0" w:space="0" w:color="auto"/>
        <w:right w:val="none" w:sz="0" w:space="0" w:color="auto"/>
      </w:divBdr>
    </w:div>
    <w:div w:id="1695227729">
      <w:bodyDiv w:val="1"/>
      <w:marLeft w:val="0"/>
      <w:marRight w:val="0"/>
      <w:marTop w:val="0"/>
      <w:marBottom w:val="0"/>
      <w:divBdr>
        <w:top w:val="none" w:sz="0" w:space="0" w:color="auto"/>
        <w:left w:val="none" w:sz="0" w:space="0" w:color="auto"/>
        <w:bottom w:val="none" w:sz="0" w:space="0" w:color="auto"/>
        <w:right w:val="none" w:sz="0" w:space="0" w:color="auto"/>
      </w:divBdr>
    </w:div>
    <w:div w:id="1702824886">
      <w:bodyDiv w:val="1"/>
      <w:marLeft w:val="0"/>
      <w:marRight w:val="0"/>
      <w:marTop w:val="0"/>
      <w:marBottom w:val="0"/>
      <w:divBdr>
        <w:top w:val="none" w:sz="0" w:space="0" w:color="auto"/>
        <w:left w:val="none" w:sz="0" w:space="0" w:color="auto"/>
        <w:bottom w:val="none" w:sz="0" w:space="0" w:color="auto"/>
        <w:right w:val="none" w:sz="0" w:space="0" w:color="auto"/>
      </w:divBdr>
    </w:div>
    <w:div w:id="1710957314">
      <w:bodyDiv w:val="1"/>
      <w:marLeft w:val="0"/>
      <w:marRight w:val="0"/>
      <w:marTop w:val="0"/>
      <w:marBottom w:val="0"/>
      <w:divBdr>
        <w:top w:val="none" w:sz="0" w:space="0" w:color="auto"/>
        <w:left w:val="none" w:sz="0" w:space="0" w:color="auto"/>
        <w:bottom w:val="none" w:sz="0" w:space="0" w:color="auto"/>
        <w:right w:val="none" w:sz="0" w:space="0" w:color="auto"/>
      </w:divBdr>
    </w:div>
    <w:div w:id="1711690605">
      <w:bodyDiv w:val="1"/>
      <w:marLeft w:val="0"/>
      <w:marRight w:val="0"/>
      <w:marTop w:val="0"/>
      <w:marBottom w:val="0"/>
      <w:divBdr>
        <w:top w:val="none" w:sz="0" w:space="0" w:color="auto"/>
        <w:left w:val="none" w:sz="0" w:space="0" w:color="auto"/>
        <w:bottom w:val="none" w:sz="0" w:space="0" w:color="auto"/>
        <w:right w:val="none" w:sz="0" w:space="0" w:color="auto"/>
      </w:divBdr>
    </w:div>
    <w:div w:id="1718236500">
      <w:bodyDiv w:val="1"/>
      <w:marLeft w:val="0"/>
      <w:marRight w:val="0"/>
      <w:marTop w:val="0"/>
      <w:marBottom w:val="0"/>
      <w:divBdr>
        <w:top w:val="none" w:sz="0" w:space="0" w:color="auto"/>
        <w:left w:val="none" w:sz="0" w:space="0" w:color="auto"/>
        <w:bottom w:val="none" w:sz="0" w:space="0" w:color="auto"/>
        <w:right w:val="none" w:sz="0" w:space="0" w:color="auto"/>
      </w:divBdr>
    </w:div>
    <w:div w:id="1718622358">
      <w:bodyDiv w:val="1"/>
      <w:marLeft w:val="0"/>
      <w:marRight w:val="0"/>
      <w:marTop w:val="0"/>
      <w:marBottom w:val="0"/>
      <w:divBdr>
        <w:top w:val="none" w:sz="0" w:space="0" w:color="auto"/>
        <w:left w:val="none" w:sz="0" w:space="0" w:color="auto"/>
        <w:bottom w:val="none" w:sz="0" w:space="0" w:color="auto"/>
        <w:right w:val="none" w:sz="0" w:space="0" w:color="auto"/>
      </w:divBdr>
    </w:div>
    <w:div w:id="1754162644">
      <w:bodyDiv w:val="1"/>
      <w:marLeft w:val="0"/>
      <w:marRight w:val="0"/>
      <w:marTop w:val="0"/>
      <w:marBottom w:val="0"/>
      <w:divBdr>
        <w:top w:val="none" w:sz="0" w:space="0" w:color="auto"/>
        <w:left w:val="none" w:sz="0" w:space="0" w:color="auto"/>
        <w:bottom w:val="none" w:sz="0" w:space="0" w:color="auto"/>
        <w:right w:val="none" w:sz="0" w:space="0" w:color="auto"/>
      </w:divBdr>
    </w:div>
    <w:div w:id="1755973304">
      <w:bodyDiv w:val="1"/>
      <w:marLeft w:val="0"/>
      <w:marRight w:val="0"/>
      <w:marTop w:val="0"/>
      <w:marBottom w:val="0"/>
      <w:divBdr>
        <w:top w:val="none" w:sz="0" w:space="0" w:color="auto"/>
        <w:left w:val="none" w:sz="0" w:space="0" w:color="auto"/>
        <w:bottom w:val="none" w:sz="0" w:space="0" w:color="auto"/>
        <w:right w:val="none" w:sz="0" w:space="0" w:color="auto"/>
      </w:divBdr>
    </w:div>
    <w:div w:id="1763454776">
      <w:bodyDiv w:val="1"/>
      <w:marLeft w:val="0"/>
      <w:marRight w:val="0"/>
      <w:marTop w:val="0"/>
      <w:marBottom w:val="0"/>
      <w:divBdr>
        <w:top w:val="none" w:sz="0" w:space="0" w:color="auto"/>
        <w:left w:val="none" w:sz="0" w:space="0" w:color="auto"/>
        <w:bottom w:val="none" w:sz="0" w:space="0" w:color="auto"/>
        <w:right w:val="none" w:sz="0" w:space="0" w:color="auto"/>
      </w:divBdr>
    </w:div>
    <w:div w:id="1768766980">
      <w:bodyDiv w:val="1"/>
      <w:marLeft w:val="0"/>
      <w:marRight w:val="0"/>
      <w:marTop w:val="0"/>
      <w:marBottom w:val="0"/>
      <w:divBdr>
        <w:top w:val="none" w:sz="0" w:space="0" w:color="auto"/>
        <w:left w:val="none" w:sz="0" w:space="0" w:color="auto"/>
        <w:bottom w:val="none" w:sz="0" w:space="0" w:color="auto"/>
        <w:right w:val="none" w:sz="0" w:space="0" w:color="auto"/>
      </w:divBdr>
    </w:div>
    <w:div w:id="1768891036">
      <w:bodyDiv w:val="1"/>
      <w:marLeft w:val="0"/>
      <w:marRight w:val="0"/>
      <w:marTop w:val="0"/>
      <w:marBottom w:val="0"/>
      <w:divBdr>
        <w:top w:val="none" w:sz="0" w:space="0" w:color="auto"/>
        <w:left w:val="none" w:sz="0" w:space="0" w:color="auto"/>
        <w:bottom w:val="none" w:sz="0" w:space="0" w:color="auto"/>
        <w:right w:val="none" w:sz="0" w:space="0" w:color="auto"/>
      </w:divBdr>
    </w:div>
    <w:div w:id="1784882407">
      <w:bodyDiv w:val="1"/>
      <w:marLeft w:val="0"/>
      <w:marRight w:val="0"/>
      <w:marTop w:val="0"/>
      <w:marBottom w:val="0"/>
      <w:divBdr>
        <w:top w:val="none" w:sz="0" w:space="0" w:color="auto"/>
        <w:left w:val="none" w:sz="0" w:space="0" w:color="auto"/>
        <w:bottom w:val="none" w:sz="0" w:space="0" w:color="auto"/>
        <w:right w:val="none" w:sz="0" w:space="0" w:color="auto"/>
      </w:divBdr>
    </w:div>
    <w:div w:id="1808205678">
      <w:bodyDiv w:val="1"/>
      <w:marLeft w:val="0"/>
      <w:marRight w:val="0"/>
      <w:marTop w:val="0"/>
      <w:marBottom w:val="0"/>
      <w:divBdr>
        <w:top w:val="none" w:sz="0" w:space="0" w:color="auto"/>
        <w:left w:val="none" w:sz="0" w:space="0" w:color="auto"/>
        <w:bottom w:val="none" w:sz="0" w:space="0" w:color="auto"/>
        <w:right w:val="none" w:sz="0" w:space="0" w:color="auto"/>
      </w:divBdr>
    </w:div>
    <w:div w:id="1808552144">
      <w:bodyDiv w:val="1"/>
      <w:marLeft w:val="0"/>
      <w:marRight w:val="0"/>
      <w:marTop w:val="0"/>
      <w:marBottom w:val="0"/>
      <w:divBdr>
        <w:top w:val="none" w:sz="0" w:space="0" w:color="auto"/>
        <w:left w:val="none" w:sz="0" w:space="0" w:color="auto"/>
        <w:bottom w:val="none" w:sz="0" w:space="0" w:color="auto"/>
        <w:right w:val="none" w:sz="0" w:space="0" w:color="auto"/>
      </w:divBdr>
    </w:div>
    <w:div w:id="1810508860">
      <w:bodyDiv w:val="1"/>
      <w:marLeft w:val="0"/>
      <w:marRight w:val="0"/>
      <w:marTop w:val="0"/>
      <w:marBottom w:val="0"/>
      <w:divBdr>
        <w:top w:val="none" w:sz="0" w:space="0" w:color="auto"/>
        <w:left w:val="none" w:sz="0" w:space="0" w:color="auto"/>
        <w:bottom w:val="none" w:sz="0" w:space="0" w:color="auto"/>
        <w:right w:val="none" w:sz="0" w:space="0" w:color="auto"/>
      </w:divBdr>
    </w:div>
    <w:div w:id="1810516636">
      <w:bodyDiv w:val="1"/>
      <w:marLeft w:val="0"/>
      <w:marRight w:val="0"/>
      <w:marTop w:val="0"/>
      <w:marBottom w:val="0"/>
      <w:divBdr>
        <w:top w:val="none" w:sz="0" w:space="0" w:color="auto"/>
        <w:left w:val="none" w:sz="0" w:space="0" w:color="auto"/>
        <w:bottom w:val="none" w:sz="0" w:space="0" w:color="auto"/>
        <w:right w:val="none" w:sz="0" w:space="0" w:color="auto"/>
      </w:divBdr>
    </w:div>
    <w:div w:id="1812674773">
      <w:bodyDiv w:val="1"/>
      <w:marLeft w:val="0"/>
      <w:marRight w:val="0"/>
      <w:marTop w:val="0"/>
      <w:marBottom w:val="0"/>
      <w:divBdr>
        <w:top w:val="none" w:sz="0" w:space="0" w:color="auto"/>
        <w:left w:val="none" w:sz="0" w:space="0" w:color="auto"/>
        <w:bottom w:val="none" w:sz="0" w:space="0" w:color="auto"/>
        <w:right w:val="none" w:sz="0" w:space="0" w:color="auto"/>
      </w:divBdr>
    </w:div>
    <w:div w:id="1839150083">
      <w:bodyDiv w:val="1"/>
      <w:marLeft w:val="0"/>
      <w:marRight w:val="0"/>
      <w:marTop w:val="0"/>
      <w:marBottom w:val="0"/>
      <w:divBdr>
        <w:top w:val="none" w:sz="0" w:space="0" w:color="auto"/>
        <w:left w:val="none" w:sz="0" w:space="0" w:color="auto"/>
        <w:bottom w:val="none" w:sz="0" w:space="0" w:color="auto"/>
        <w:right w:val="none" w:sz="0" w:space="0" w:color="auto"/>
      </w:divBdr>
    </w:div>
    <w:div w:id="1841383284">
      <w:bodyDiv w:val="1"/>
      <w:marLeft w:val="0"/>
      <w:marRight w:val="0"/>
      <w:marTop w:val="0"/>
      <w:marBottom w:val="0"/>
      <w:divBdr>
        <w:top w:val="none" w:sz="0" w:space="0" w:color="auto"/>
        <w:left w:val="none" w:sz="0" w:space="0" w:color="auto"/>
        <w:bottom w:val="none" w:sz="0" w:space="0" w:color="auto"/>
        <w:right w:val="none" w:sz="0" w:space="0" w:color="auto"/>
      </w:divBdr>
    </w:div>
    <w:div w:id="1842507632">
      <w:bodyDiv w:val="1"/>
      <w:marLeft w:val="0"/>
      <w:marRight w:val="0"/>
      <w:marTop w:val="0"/>
      <w:marBottom w:val="0"/>
      <w:divBdr>
        <w:top w:val="none" w:sz="0" w:space="0" w:color="auto"/>
        <w:left w:val="none" w:sz="0" w:space="0" w:color="auto"/>
        <w:bottom w:val="none" w:sz="0" w:space="0" w:color="auto"/>
        <w:right w:val="none" w:sz="0" w:space="0" w:color="auto"/>
      </w:divBdr>
    </w:div>
    <w:div w:id="1874688822">
      <w:bodyDiv w:val="1"/>
      <w:marLeft w:val="0"/>
      <w:marRight w:val="0"/>
      <w:marTop w:val="0"/>
      <w:marBottom w:val="0"/>
      <w:divBdr>
        <w:top w:val="none" w:sz="0" w:space="0" w:color="auto"/>
        <w:left w:val="none" w:sz="0" w:space="0" w:color="auto"/>
        <w:bottom w:val="none" w:sz="0" w:space="0" w:color="auto"/>
        <w:right w:val="none" w:sz="0" w:space="0" w:color="auto"/>
      </w:divBdr>
    </w:div>
    <w:div w:id="1880822761">
      <w:bodyDiv w:val="1"/>
      <w:marLeft w:val="0"/>
      <w:marRight w:val="0"/>
      <w:marTop w:val="0"/>
      <w:marBottom w:val="0"/>
      <w:divBdr>
        <w:top w:val="none" w:sz="0" w:space="0" w:color="auto"/>
        <w:left w:val="none" w:sz="0" w:space="0" w:color="auto"/>
        <w:bottom w:val="none" w:sz="0" w:space="0" w:color="auto"/>
        <w:right w:val="none" w:sz="0" w:space="0" w:color="auto"/>
      </w:divBdr>
    </w:div>
    <w:div w:id="1889757609">
      <w:bodyDiv w:val="1"/>
      <w:marLeft w:val="0"/>
      <w:marRight w:val="0"/>
      <w:marTop w:val="0"/>
      <w:marBottom w:val="0"/>
      <w:divBdr>
        <w:top w:val="none" w:sz="0" w:space="0" w:color="auto"/>
        <w:left w:val="none" w:sz="0" w:space="0" w:color="auto"/>
        <w:bottom w:val="none" w:sz="0" w:space="0" w:color="auto"/>
        <w:right w:val="none" w:sz="0" w:space="0" w:color="auto"/>
      </w:divBdr>
    </w:div>
    <w:div w:id="1922371887">
      <w:bodyDiv w:val="1"/>
      <w:marLeft w:val="0"/>
      <w:marRight w:val="0"/>
      <w:marTop w:val="0"/>
      <w:marBottom w:val="0"/>
      <w:divBdr>
        <w:top w:val="none" w:sz="0" w:space="0" w:color="auto"/>
        <w:left w:val="none" w:sz="0" w:space="0" w:color="auto"/>
        <w:bottom w:val="none" w:sz="0" w:space="0" w:color="auto"/>
        <w:right w:val="none" w:sz="0" w:space="0" w:color="auto"/>
      </w:divBdr>
    </w:div>
    <w:div w:id="1954750440">
      <w:bodyDiv w:val="1"/>
      <w:marLeft w:val="0"/>
      <w:marRight w:val="0"/>
      <w:marTop w:val="0"/>
      <w:marBottom w:val="0"/>
      <w:divBdr>
        <w:top w:val="none" w:sz="0" w:space="0" w:color="auto"/>
        <w:left w:val="none" w:sz="0" w:space="0" w:color="auto"/>
        <w:bottom w:val="none" w:sz="0" w:space="0" w:color="auto"/>
        <w:right w:val="none" w:sz="0" w:space="0" w:color="auto"/>
      </w:divBdr>
    </w:div>
    <w:div w:id="1957102973">
      <w:bodyDiv w:val="1"/>
      <w:marLeft w:val="0"/>
      <w:marRight w:val="0"/>
      <w:marTop w:val="0"/>
      <w:marBottom w:val="0"/>
      <w:divBdr>
        <w:top w:val="none" w:sz="0" w:space="0" w:color="auto"/>
        <w:left w:val="none" w:sz="0" w:space="0" w:color="auto"/>
        <w:bottom w:val="none" w:sz="0" w:space="0" w:color="auto"/>
        <w:right w:val="none" w:sz="0" w:space="0" w:color="auto"/>
      </w:divBdr>
    </w:div>
    <w:div w:id="1963804536">
      <w:bodyDiv w:val="1"/>
      <w:marLeft w:val="0"/>
      <w:marRight w:val="0"/>
      <w:marTop w:val="0"/>
      <w:marBottom w:val="0"/>
      <w:divBdr>
        <w:top w:val="none" w:sz="0" w:space="0" w:color="auto"/>
        <w:left w:val="none" w:sz="0" w:space="0" w:color="auto"/>
        <w:bottom w:val="none" w:sz="0" w:space="0" w:color="auto"/>
        <w:right w:val="none" w:sz="0" w:space="0" w:color="auto"/>
      </w:divBdr>
    </w:div>
    <w:div w:id="1996520318">
      <w:bodyDiv w:val="1"/>
      <w:marLeft w:val="0"/>
      <w:marRight w:val="0"/>
      <w:marTop w:val="0"/>
      <w:marBottom w:val="0"/>
      <w:divBdr>
        <w:top w:val="none" w:sz="0" w:space="0" w:color="auto"/>
        <w:left w:val="none" w:sz="0" w:space="0" w:color="auto"/>
        <w:bottom w:val="none" w:sz="0" w:space="0" w:color="auto"/>
        <w:right w:val="none" w:sz="0" w:space="0" w:color="auto"/>
      </w:divBdr>
    </w:div>
    <w:div w:id="2013413792">
      <w:bodyDiv w:val="1"/>
      <w:marLeft w:val="0"/>
      <w:marRight w:val="0"/>
      <w:marTop w:val="0"/>
      <w:marBottom w:val="0"/>
      <w:divBdr>
        <w:top w:val="none" w:sz="0" w:space="0" w:color="auto"/>
        <w:left w:val="none" w:sz="0" w:space="0" w:color="auto"/>
        <w:bottom w:val="none" w:sz="0" w:space="0" w:color="auto"/>
        <w:right w:val="none" w:sz="0" w:space="0" w:color="auto"/>
      </w:divBdr>
    </w:div>
    <w:div w:id="2041739432">
      <w:bodyDiv w:val="1"/>
      <w:marLeft w:val="0"/>
      <w:marRight w:val="0"/>
      <w:marTop w:val="0"/>
      <w:marBottom w:val="0"/>
      <w:divBdr>
        <w:top w:val="none" w:sz="0" w:space="0" w:color="auto"/>
        <w:left w:val="none" w:sz="0" w:space="0" w:color="auto"/>
        <w:bottom w:val="none" w:sz="0" w:space="0" w:color="auto"/>
        <w:right w:val="none" w:sz="0" w:space="0" w:color="auto"/>
      </w:divBdr>
    </w:div>
    <w:div w:id="2064791003">
      <w:bodyDiv w:val="1"/>
      <w:marLeft w:val="0"/>
      <w:marRight w:val="0"/>
      <w:marTop w:val="0"/>
      <w:marBottom w:val="0"/>
      <w:divBdr>
        <w:top w:val="none" w:sz="0" w:space="0" w:color="auto"/>
        <w:left w:val="none" w:sz="0" w:space="0" w:color="auto"/>
        <w:bottom w:val="none" w:sz="0" w:space="0" w:color="auto"/>
        <w:right w:val="none" w:sz="0" w:space="0" w:color="auto"/>
      </w:divBdr>
    </w:div>
    <w:div w:id="2070570369">
      <w:bodyDiv w:val="1"/>
      <w:marLeft w:val="0"/>
      <w:marRight w:val="0"/>
      <w:marTop w:val="0"/>
      <w:marBottom w:val="0"/>
      <w:divBdr>
        <w:top w:val="none" w:sz="0" w:space="0" w:color="auto"/>
        <w:left w:val="none" w:sz="0" w:space="0" w:color="auto"/>
        <w:bottom w:val="none" w:sz="0" w:space="0" w:color="auto"/>
        <w:right w:val="none" w:sz="0" w:space="0" w:color="auto"/>
      </w:divBdr>
    </w:div>
    <w:div w:id="2073191250">
      <w:bodyDiv w:val="1"/>
      <w:marLeft w:val="0"/>
      <w:marRight w:val="0"/>
      <w:marTop w:val="0"/>
      <w:marBottom w:val="0"/>
      <w:divBdr>
        <w:top w:val="none" w:sz="0" w:space="0" w:color="auto"/>
        <w:left w:val="none" w:sz="0" w:space="0" w:color="auto"/>
        <w:bottom w:val="none" w:sz="0" w:space="0" w:color="auto"/>
        <w:right w:val="none" w:sz="0" w:space="0" w:color="auto"/>
      </w:divBdr>
    </w:div>
    <w:div w:id="2085763536">
      <w:bodyDiv w:val="1"/>
      <w:marLeft w:val="0"/>
      <w:marRight w:val="0"/>
      <w:marTop w:val="0"/>
      <w:marBottom w:val="0"/>
      <w:divBdr>
        <w:top w:val="none" w:sz="0" w:space="0" w:color="auto"/>
        <w:left w:val="none" w:sz="0" w:space="0" w:color="auto"/>
        <w:bottom w:val="none" w:sz="0" w:space="0" w:color="auto"/>
        <w:right w:val="none" w:sz="0" w:space="0" w:color="auto"/>
      </w:divBdr>
    </w:div>
    <w:div w:id="2106731447">
      <w:bodyDiv w:val="1"/>
      <w:marLeft w:val="0"/>
      <w:marRight w:val="0"/>
      <w:marTop w:val="0"/>
      <w:marBottom w:val="0"/>
      <w:divBdr>
        <w:top w:val="none" w:sz="0" w:space="0" w:color="auto"/>
        <w:left w:val="none" w:sz="0" w:space="0" w:color="auto"/>
        <w:bottom w:val="none" w:sz="0" w:space="0" w:color="auto"/>
        <w:right w:val="none" w:sz="0" w:space="0" w:color="auto"/>
      </w:divBdr>
    </w:div>
    <w:div w:id="2110422397">
      <w:bodyDiv w:val="1"/>
      <w:marLeft w:val="0"/>
      <w:marRight w:val="0"/>
      <w:marTop w:val="0"/>
      <w:marBottom w:val="0"/>
      <w:divBdr>
        <w:top w:val="none" w:sz="0" w:space="0" w:color="auto"/>
        <w:left w:val="none" w:sz="0" w:space="0" w:color="auto"/>
        <w:bottom w:val="none" w:sz="0" w:space="0" w:color="auto"/>
        <w:right w:val="none" w:sz="0" w:space="0" w:color="auto"/>
      </w:divBdr>
    </w:div>
    <w:div w:id="2112777502">
      <w:bodyDiv w:val="1"/>
      <w:marLeft w:val="0"/>
      <w:marRight w:val="0"/>
      <w:marTop w:val="0"/>
      <w:marBottom w:val="0"/>
      <w:divBdr>
        <w:top w:val="none" w:sz="0" w:space="0" w:color="auto"/>
        <w:left w:val="none" w:sz="0" w:space="0" w:color="auto"/>
        <w:bottom w:val="none" w:sz="0" w:space="0" w:color="auto"/>
        <w:right w:val="none" w:sz="0" w:space="0" w:color="auto"/>
      </w:divBdr>
    </w:div>
    <w:div w:id="2129274748">
      <w:bodyDiv w:val="1"/>
      <w:marLeft w:val="0"/>
      <w:marRight w:val="0"/>
      <w:marTop w:val="0"/>
      <w:marBottom w:val="0"/>
      <w:divBdr>
        <w:top w:val="none" w:sz="0" w:space="0" w:color="auto"/>
        <w:left w:val="none" w:sz="0" w:space="0" w:color="auto"/>
        <w:bottom w:val="none" w:sz="0" w:space="0" w:color="auto"/>
        <w:right w:val="none" w:sz="0" w:space="0" w:color="auto"/>
      </w:divBdr>
    </w:div>
    <w:div w:id="2130514377">
      <w:bodyDiv w:val="1"/>
      <w:marLeft w:val="0"/>
      <w:marRight w:val="0"/>
      <w:marTop w:val="0"/>
      <w:marBottom w:val="0"/>
      <w:divBdr>
        <w:top w:val="none" w:sz="0" w:space="0" w:color="auto"/>
        <w:left w:val="none" w:sz="0" w:space="0" w:color="auto"/>
        <w:bottom w:val="none" w:sz="0" w:space="0" w:color="auto"/>
        <w:right w:val="none" w:sz="0" w:space="0" w:color="auto"/>
      </w:divBdr>
    </w:div>
    <w:div w:id="2139297153">
      <w:bodyDiv w:val="1"/>
      <w:marLeft w:val="0"/>
      <w:marRight w:val="0"/>
      <w:marTop w:val="0"/>
      <w:marBottom w:val="0"/>
      <w:divBdr>
        <w:top w:val="none" w:sz="0" w:space="0" w:color="auto"/>
        <w:left w:val="none" w:sz="0" w:space="0" w:color="auto"/>
        <w:bottom w:val="none" w:sz="0" w:space="0" w:color="auto"/>
        <w:right w:val="none" w:sz="0" w:space="0" w:color="auto"/>
      </w:divBdr>
    </w:div>
    <w:div w:id="214600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San261</b:Tag>
    <b:SourceType>JournalArticle</b:SourceType>
    <b:Guid>{39986115-482E-4939-A2D4-698197062750}</b:Guid>
    <b:Author>
      <b:Author>
        <b:NameList>
          <b:Person>
            <b:Last>Santistevan</b:Last>
            <b:First>S.</b:First>
          </b:Person>
        </b:NameList>
      </b:Author>
    </b:Author>
    <b:Title>Análisis jurídico del control de legalidad en la función notarial</b:Title>
    <b:JournalName>Polo del conocimiento</b:JournalName>
    <b:Year>2026</b:Year>
    <b:Pages>358-367</b:Pages>
    <b:Volume>11</b:Volume>
    <b:Issue>5</b:Issue>
    <b:URL>https://doi.org/10.23857/pc.v11i5.11592</b:URL>
    <b:RefOrder>1</b:RefOrder>
  </b:Source>
  <b:Source>
    <b:Tag>Isl09</b:Tag>
    <b:SourceType>JournalArticle</b:SourceType>
    <b:Guid>{B201E0B2-4DCC-44BE-A937-A93EDF10224A}</b:Guid>
    <b:Author>
      <b:Author>
        <b:NameList>
          <b:Person>
            <b:Last>Islas</b:Last>
            <b:First>R.</b:First>
          </b:Person>
        </b:NameList>
      </b:Author>
    </b:Author>
    <b:Title>Sobre el principio de legalidad</b:Title>
    <b:JournalName>Anuario de Derecho Constitucional Latinoamericano</b:JournalName>
    <b:Year>2009</b:Year>
    <b:Pages>97-108</b:Pages>
    <b:Volume>15</b:Volume>
    <b:URL>https://www.corteidh.or.cr/tablas/r23516.pdf</b:URL>
    <b:RefOrder>2</b:RefOrder>
  </b:Source>
  <b:Source>
    <b:Tag>May19</b:Tag>
    <b:SourceType>Book</b:SourceType>
    <b:Guid>{83DBDA49-4264-4DBB-9405-C890FFF396A3}</b:Guid>
    <b:Title>Aplicabilidad y vigencia del principio de legalidad en el régimen jurídico administrativo dentro del marco del Estado constitucional de derechos y de justicia [Maestría Profesional en Derecho Administrativo]</b:Title>
    <b:Year>2019</b:Year>
    <b:Author>
      <b:Author>
        <b:NameList>
          <b:Person>
            <b:Last>Mayorga</b:Last>
            <b:First>R.</b:First>
          </b:Person>
        </b:NameList>
      </b:Author>
    </b:Author>
    <b:Publisher>Universidad Andina Simón Bolívar. Sede Ecuador. Área de Derecho.</b:Publisher>
    <b:URL>https://repositorio.uasb.edu.ec/bitstream/10644/6856/1/T2936-MDA-Mayorga-Aplicabilidad.pdf</b:URL>
    <b:RefOrder>3</b:RefOrder>
  </b:Source>
  <b:Source>
    <b:Tag>Gua01</b:Tag>
    <b:SourceType>BookSection</b:SourceType>
    <b:Guid>{2C0CD64C-EF26-4F4E-B190-C695E454F183}</b:Guid>
    <b:Title>El principio de legalidad</b:Title>
    <b:Year>2001</b:Year>
    <b:Pages>117-129</b:Pages>
    <b:Author>
      <b:Author>
        <b:NameList>
          <b:Person>
            <b:Last>Guastini</b:Last>
            <b:First>R.</b:First>
          </b:Person>
        </b:NameList>
      </b:Author>
      <b:BookAuthor>
        <b:NameList>
          <b:Person>
            <b:Last>Guastini</b:Last>
            <b:First>R.</b:First>
          </b:Person>
        </b:NameList>
      </b:BookAuthor>
      <b:Translator>
        <b:NameList>
          <b:Person>
            <b:Last>Carbonell</b:Last>
            <b:First>Miguel</b:First>
          </b:Person>
          <b:Person>
            <b:Last>Peréz</b:Last>
            <b:First>Karla</b:First>
          </b:Person>
        </b:NameList>
      </b:Translator>
    </b:Author>
    <b:BookTitle>Estudios de teoría constitucional</b:BookTitle>
    <b:Publisher>Universidad Nacional Autónoma de México</b:Publisher>
    <b:RefOrder>5</b:RefOrder>
  </b:Source>
  <b:Source>
    <b:Tag>Apo22</b:Tag>
    <b:SourceType>JournalArticle</b:SourceType>
    <b:Guid>{E03FB451-97DE-4FEC-96F5-FA630B78790D}</b:Guid>
    <b:Title>Crisis del principio de legalidad: discusión recurrente pero necesaria en América Latina</b:Title>
    <b:Year>2022</b:Year>
    <b:Author>
      <b:Author>
        <b:NameList>
          <b:Person>
            <b:Last>Aponte</b:Last>
            <b:First>J.</b:First>
          </b:Person>
        </b:NameList>
      </b:Author>
    </b:Author>
    <b:JournalName>Estado &amp; Comunes, Revista de políticas y problemas públicos. Instituto de Altos Estudios Nacionales (IAEN)</b:JournalName>
    <b:Pages>95-111</b:Pages>
    <b:Volume>14</b:Volume>
    <b:Issue>1</b:Issue>
    <b:DOI>https://doi.org/ 10.37228/estado_comunes.v1.n14.2022.243</b:DOI>
    <b:RefOrder>4</b:RefOrder>
  </b:Source>
  <b:Source>
    <b:Tag>Luc23</b:Tag>
    <b:SourceType>JournalArticle</b:SourceType>
    <b:Guid>{97C90C7D-CA6B-479C-9943-8D2EFD018329}</b:Guid>
    <b:Title>Principios notariales, justicia preventiva y seguridad jurídica</b:Title>
    <b:Year>2023</b:Year>
    <b:Pages>21-39</b:Pages>
    <b:Author>
      <b:Author>
        <b:NameList>
          <b:Person>
            <b:Last>Lucas</b:Last>
            <b:First>S</b:First>
          </b:Person>
          <b:Person>
            <b:Last>Albert</b:Last>
            <b:First>J.</b:First>
          </b:Person>
        </b:NameList>
      </b:Author>
    </b:Author>
    <b:JournalName>Revista de Asociación de Escribanos del Uruguay</b:JournalName>
    <b:Volume>109</b:Volume>
    <b:RefOrder>6</b:RefOrder>
  </b:Source>
  <b:Source>
    <b:Tag>Pra93</b:Tag>
    <b:SourceType>JournalArticle</b:SourceType>
    <b:Guid>{79F86086-80EA-4F18-B67B-F5BA3422A56B}</b:Guid>
    <b:Author>
      <b:Author>
        <b:NameList>
          <b:Person>
            <b:Last>Prada</b:Last>
            <b:First>J.</b:First>
          </b:Person>
        </b:NameList>
      </b:Author>
    </b:Author>
    <b:Title>Lección segunda. Distintas clases de notariado: sus diferencias</b:Title>
    <b:JournalName>Podium Notarial. Revista del Colegio de Notarios del Estado de Jalisco</b:JournalName>
    <b:Year>1993</b:Year>
    <b:Pages>43-58</b:Pages>
    <b:Issue>8</b:Issue>
    <b:URL>http://historico.juridicas.unam.mx/publica/librev/rev/podium/cont/8/cnt/cnt3.pdf</b:URL>
    <b:RefOrder>7</b:RefOrder>
  </b:Source>
  <b:Source>
    <b:Tag>Día25</b:Tag>
    <b:SourceType>JournalArticle</b:SourceType>
    <b:Guid>{BD76910F-37F6-4479-AE89-37CA6917FCFD}</b:Guid>
    <b:Author>
      <b:Author>
        <b:NameList>
          <b:Person>
            <b:Last>Díaz</b:Last>
            <b:First>J</b:First>
          </b:Person>
          <b:Person>
            <b:Last>Chacón</b:Last>
            <b:First>N</b:First>
          </b:Person>
          <b:Person>
            <b:Last>Castro</b:Last>
            <b:First>F.</b:First>
          </b:Person>
        </b:NameList>
      </b:Author>
    </b:Author>
    <b:Title>Limitantes en la actuación notarial en la constatación de actos y hechos a petición de parte, en Ecuador</b:Title>
    <b:JournalName>Noesis. Revista Electrónica de Investigación</b:JournalName>
    <b:Year>2025</b:Year>
    <b:Pages>1876-1892</b:Pages>
    <b:Volume>7</b:Volume>
    <b:Issue>1</b:Issue>
    <b:DOI>DOI 10.35381/noesisin.v7i1.539</b:DOI>
    <b:RefOrder>8</b:RefOrder>
  </b:Source>
  <b:Source>
    <b:Tag>Rem25</b:Tag>
    <b:SourceType>JournalArticle</b:SourceType>
    <b:Guid>{FD827BD9-80CE-411D-B063-3453AA6D5ABE}</b:Guid>
    <b:Author>
      <b:Author>
        <b:NameList>
          <b:Person>
            <b:Last>Remeseiro</b:Last>
            <b:First>R.</b:First>
          </b:Person>
        </b:NameList>
      </b:Author>
    </b:Author>
    <b:Title>La función notarial de control de legalidad en Chile</b:Title>
    <b:JournalName>Revista Chilena de Derecho Privado</b:JournalName>
    <b:Year>2025</b:Year>
    <b:Pages>115-159</b:Pages>
    <b:Issue>45</b:Issue>
    <b:DOI>doi.org/10.32995/S0718-80722025974</b:DOI>
    <b:RefOrder>9</b:RefOrder>
  </b:Source>
  <b:Source>
    <b:Tag>Mez89</b:Tag>
    <b:SourceType>Book</b:SourceType>
    <b:Guid>{A32B5655-BE90-42ED-ADD4-9177270438FD}</b:Guid>
    <b:Title>Seguridad jurídica y sistema cautelar. Tomo I. Sistema español de Derecho Cautelar</b:Title>
    <b:Year>1989</b:Year>
    <b:Author>
      <b:Author>
        <b:NameList>
          <b:Person>
            <b:Last>Mezquita del Cacho</b:Last>
            <b:First>J.</b:First>
          </b:Person>
        </b:NameList>
      </b:Author>
    </b:Author>
    <b:Publisher>Editorial Bosch</b:Publisher>
    <b:RefOrder>10</b:RefOrder>
  </b:Source>
  <b:Source>
    <b:Tag>Bel26</b:Tag>
    <b:SourceType>JournalArticle</b:SourceType>
    <b:Guid>{D8A0FCE2-942A-4CA6-B344-3D71C3E26961}</b:Guid>
    <b:Author>
      <b:Author>
        <b:NameList>
          <b:Person>
            <b:Last>Belalcazar</b:Last>
            <b:First>P.</b:First>
          </b:Person>
        </b:NameList>
      </b:Author>
    </b:Author>
    <b:Title>La función notarial frente a la digitalización de los actos jurídicos: límites, garantías y riesgos en el notariado electrónico</b:Title>
    <b:JournalName>Revista Científica Dominio de las Ciencias</b:JournalName>
    <b:Year>2026</b:Year>
    <b:Pages>338-353</b:Pages>
    <b:Volume>12</b:Volume>
    <b:Issue>1</b:Issue>
    <b:DOI>https://doi.org/10.23857/dc.v12i1.4674</b:DOI>
    <b:RefOrder>12</b:RefOrder>
  </b:Source>
  <b:Source>
    <b:Tag>Seg25</b:Tag>
    <b:SourceType>Book</b:SourceType>
    <b:Guid>{A0DFB6F5-31DC-411C-9520-E13D84376701}</b:Guid>
    <b:Title>Impacto de la digitalización en los servicios notariales en el cantón Pujilí, provincia de Cotopaxi [Maestría en Derecho con Mención en Derecho Notarial y Registral]</b:Title>
    <b:Year>2025</b:Year>
    <b:Author>
      <b:Author>
        <b:NameList>
          <b:Person>
            <b:Last>Segovia</b:Last>
            <b:First>L.</b:First>
          </b:Person>
        </b:NameList>
      </b:Author>
    </b:Author>
    <b:Publisher>Instituto de Altos Estudios Nacionales</b:Publisher>
    <b:URL>https://repositorio.iaen.edu.ec/xmlui/bitstream/handle/24000/6770/SEGOVIA%20CARDENAS_LUIS%20ALFONSO.pdf?sequence=1&amp;isAllowed=y</b:URL>
    <b:RefOrder>13</b:RefOrder>
  </b:Source>
  <b:Source>
    <b:Tag>Cas253</b:Tag>
    <b:SourceType>JournalArticle</b:SourceType>
    <b:Guid>{90E9E165-30F0-4C2C-BB1A-E180AFBC1F56}</b:Guid>
    <b:Title>La hermenéutica notarial inmobiliario-mercantil y su eficacia registral en la legislación ecuatoriana</b:Title>
    <b:Year>2025</b:Year>
    <b:Author>
      <b:Author>
        <b:NameList>
          <b:Person>
            <b:Last>Castillo</b:Last>
            <b:First>S</b:First>
          </b:Person>
          <b:Person>
            <b:Last>Chacón</b:Last>
            <b:First>N</b:First>
          </b:Person>
          <b:Person>
            <b:Last>Castro</b:Last>
            <b:First>F.</b:First>
          </b:Person>
        </b:NameList>
      </b:Author>
    </b:Author>
    <b:JournalName>Noesis</b:JournalName>
    <b:Pages>1793-1808</b:Pages>
    <b:Volume>7</b:Volume>
    <b:Issue>(esp 1)</b:Issue>
    <b:DOI>https://doi.org/10.35381/noesisin.v7i1.534</b:DOI>
    <b:RefOrder>14</b:RefOrder>
  </b:Source>
  <b:Source>
    <b:Tag>Ley205</b:Tag>
    <b:SourceType>Book</b:SourceType>
    <b:Guid>{648AEC62-ABAA-48BE-B9CA-E9B3C285166A}</b:Guid>
    <b:Author>
      <b:Author>
        <b:Corporate>Ley Notarial</b:Corporate>
      </b:Author>
    </b:Author>
    <b:Title>Decreto Supremo 1404</b:Title>
    <b:Year>1966, actualizado 08 de diciembre de 2020</b:Year>
    <b:Publisher>Registro Oficial 158 de 11 de noviembre de 1966</b:Publisher>
    <b:URL>https://www.fen.com.ec/website/Documentos/normas/LEY-NOTARIAL.pdf?_gl=1*fju7rb*_ga*ODc2NDg3ODEyLjE3Njk2MzA5Njk.*_ga_P28FZYZ3P7*czE3NzkzODk5OTIkbzEwJGcwJHQxNzc5Mzg5OTkyJGo2MCRsMCRoMA..</b:URL>
    <b:RefOrder>16</b:RefOrder>
  </b:Source>
  <b:Source>
    <b:Tag>Res213</b:Tag>
    <b:SourceType>Book</b:SourceType>
    <b:Guid>{45D6ED86-810E-43E9-BD48-276DF98A00DC}</b:Guid>
    <b:Author>
      <b:Author>
        <b:Corporate>Resolución 001-2021 del Consejo de la Judicatura</b:Corporate>
      </b:Author>
    </b:Author>
    <b:Title>Protocolo y regulaciones que permitan a notarías y notarios utilizar otras plataformas y herramientas tecnológicas</b:Title>
    <b:Year>2021</b:Year>
    <b:Publisher>Pleno del Consejo de la Judicatura</b:Publisher>
    <b:RefOrder>28</b:RefOrder>
  </b:Source>
  <b:Source>
    <b:Tag>Res22</b:Tag>
    <b:SourceType>Book</b:SourceType>
    <b:Guid>{036379B9-31E5-4C33-AD84-6BCD6BA1D359}</b:Guid>
    <b:Author>
      <b:Author>
        <b:Corporate>Resolución 305-2022 del Consejo de la Judicatura</b:Corporate>
      </b:Author>
    </b:Author>
    <b:Title>Protocolo uso de plataformas y herramientas para la prestación del servicio notarial telemático</b:Title>
    <b:Year>2022</b:Year>
    <b:Publisher>Pleno del Consejo de la Judicatura</b:Publisher>
    <b:RefOrder>29</b:RefOrder>
  </b:Source>
  <b:Source>
    <b:Tag>Var231</b:Tag>
    <b:SourceType>JournalArticle</b:SourceType>
    <b:Guid>{031A766F-E08A-4E92-8C8D-059896E88895}</b:Guid>
    <b:Title>Seguridad jurídica como fin del derecho</b:Title>
    <b:Year>2023</b:Year>
    <b:Author>
      <b:Author>
        <b:NameList>
          <b:Person>
            <b:Last>Vargas</b:Last>
            <b:First>R.</b:First>
          </b:Person>
        </b:NameList>
      </b:Author>
    </b:Author>
    <b:JournalName>Revista de Derecho</b:JournalName>
    <b:Pages>1-16</b:Pages>
    <b:Issue>27</b:Issue>
    <b:DOI>DOI: 10.22235/rd27.3075</b:DOI>
    <b:RefOrder>17</b:RefOrder>
  </b:Source>
  <b:Source>
    <b:Tag>Sen122</b:Tag>
    <b:SourceType>Case</b:SourceType>
    <b:Guid>{096DC412-0DD1-4BC5-A307-1D3B61F85D04}</b:Guid>
    <b:Title>Sentencia N° 127-12-SEP-CC</b:Title>
    <b:Year>2012</b:Year>
    <b:CaseNumber>Caso N° 0555-10-EP</b:CaseNumber>
    <b:Court>Corte Constitucional del Ecuador</b:Court>
    <b:Month>Abril</b:Month>
    <b:Day>10</b:Day>
    <b:URL>https://esacc.corteconstitucional.gob.ec/storage/api/v1/10_DWL_FL/e2NhcnBldGE6J2FsZnJlc2NvJywgdXVpZDonNTQ1YTM4NjYtYzUzNi00ZDBkLWEwNTAtZGU1YjZiYzBkMGM5LnBkZid9</b:URL>
    <b:RefOrder>18</b:RefOrder>
  </b:Source>
  <b:Source>
    <b:Tag>Sol18</b:Tag>
    <b:SourceType>Book</b:SourceType>
    <b:Guid>{A10E1C14-85C7-4198-9DE5-6FA215548770}</b:Guid>
    <b:Title>Las palabras de la ley</b:Title>
    <b:Year>2018</b:Year>
    <b:Author>
      <b:Author>
        <b:NameList>
          <b:Person>
            <b:Last>Soler</b:Last>
            <b:First>S.</b:First>
          </b:Person>
        </b:NameList>
      </b:Author>
    </b:Author>
    <b:Publisher>Ediciones Olejnik</b:Publisher>
    <b:RefOrder>19</b:RefOrder>
  </b:Source>
  <b:Source>
    <b:Tag>Are232</b:Tag>
    <b:SourceType>JournalArticle</b:SourceType>
    <b:Guid>{39965D38-3B0C-46C3-8203-09A758BD28F3}</b:Guid>
    <b:Title>Servicio público notarial y seguridad jurídica en la contratación por medios telemáticos en Ecuador</b:Title>
    <b:Year>2023</b:Year>
    <b:Author>
      <b:Author>
        <b:NameList>
          <b:Person>
            <b:Last>Arellano</b:Last>
            <b:First>P.</b:First>
          </b:Person>
        </b:NameList>
      </b:Author>
    </b:Author>
    <b:JournalName>Polo del Conocimiento</b:JournalName>
    <b:Pages>719-731</b:Pages>
    <b:Volume>8</b:Volume>
    <b:Issue>6</b:Issue>
    <b:DOI>DOI: 10.23857/pc.v8i6</b:DOI>
    <b:RefOrder>24</b:RefOrder>
  </b:Source>
  <b:Source>
    <b:Tag>Gal96</b:Tag>
    <b:SourceType>JournalArticle</b:SourceType>
    <b:Guid>{1F186416-7F8F-4B4B-84B0-4EFDA0B4AD82}</b:Guid>
    <b:Author>
      <b:Author>
        <b:NameList>
          <b:Person>
            <b:Last>Gallino</b:Last>
            <b:First>E.</b:First>
          </b:Person>
        </b:NameList>
      </b:Author>
    </b:Author>
    <b:Title>Notariado y seguridad jurídica</b:Title>
    <b:JournalName>Revista Notarial Colegio de Escribanos de la Provincia de Córdoba</b:JournalName>
    <b:Year>1996</b:Year>
    <b:Pages>1-15</b:Pages>
    <b:Issue>72</b:Issue>
    <b:URL>https://escribanos.org.ar/rnotarial/wp-content/uploads/2015/07/RNCba-72-1996-02-Doctrina.pdf</b:URL>
    <b:RefOrder>20</b:RefOrder>
  </b:Source>
  <b:Source>
    <b:Tag>Mar25</b:Tag>
    <b:SourceType>JournalArticle</b:SourceType>
    <b:Guid>{09862322-372A-4DFE-B8C3-7DEA7D40540F}</b:Guid>
    <b:Author>
      <b:Author>
        <b:NameList>
          <b:Person>
            <b:Last>Marcillo</b:Last>
            <b:First>M</b:First>
          </b:Person>
          <b:Person>
            <b:Last>Delgado</b:Last>
            <b:First>C.</b:First>
          </b:Person>
        </b:NameList>
      </b:Author>
    </b:Author>
    <b:Title>La seguridad jurídica en los actos notariales: Análisis desde la posesión efectiva en Ecuador</b:Title>
    <b:JournalName>Polo del Conocimiento</b:JournalName>
    <b:Year>2025</b:Year>
    <b:Pages>3269-3283</b:Pages>
    <b:Volume>10</b:Volume>
    <b:Issue>12</b:Issue>
    <b:DOI>DOI: 10.23857/pc.v10i12.11070</b:DOI>
    <b:RefOrder>21</b:RefOrder>
  </b:Source>
  <b:Source>
    <b:Tag>Lóp224</b:Tag>
    <b:SourceType>JournalArticle</b:SourceType>
    <b:Guid>{8D620E13-802E-48DA-B55A-4FB749E0C52C}</b:Guid>
    <b:Author>
      <b:Author>
        <b:NameList>
          <b:Person>
            <b:Last>López</b:Last>
            <b:First>A</b:First>
          </b:Person>
          <b:Person>
            <b:Last>Calle</b:Last>
            <b:First>J.</b:First>
          </b:Person>
        </b:NameList>
      </b:Author>
    </b:Author>
    <b:Title>Reflexiones sobre el régimen notarial en Ecuador</b:Title>
    <b:JournalName>Multiverso journal</b:JournalName>
    <b:Year>2022</b:Year>
    <b:Pages>57-66</b:Pages>
    <b:Volume>2</b:Volume>
    <b:Issue>3</b:Issue>
    <b:DOI>https://doi.org/10.46502/issn.2792-3681/2022.3.5</b:DOI>
    <b:RefOrder>22</b:RefOrder>
  </b:Source>
  <b:Source>
    <b:Tag>Gon242</b:Tag>
    <b:SourceType>JournalArticle</b:SourceType>
    <b:Guid>{EF10CCF9-3922-4FF3-8103-4467B2803A6D}</b:Guid>
    <b:Author>
      <b:Author>
        <b:NameList>
          <b:Person>
            <b:Last>González</b:Last>
            <b:First>S.</b:First>
          </b:Person>
        </b:NameList>
      </b:Author>
    </b:Author>
    <b:Title>La seguridad jurídica en Paraguay: rol notarial</b:Title>
    <b:JournalName>Notariados de América</b:JournalName>
    <b:Year>2024</b:Year>
    <b:Pages>142-149</b:Pages>
    <b:Issue>2</b:Issue>
    <b:URL>https://uinl.org/wp-content/uploads/2025/02/Notariados_de_America_volumen-2_septiembre_2024.pdf</b:URL>
    <b:RefOrder>23</b:RefOrder>
  </b:Source>
  <b:Source>
    <b:Tag>Sal23</b:Tag>
    <b:SourceType>JournalArticle</b:SourceType>
    <b:Guid>{5878FFE2-0D2C-4ABB-A786-CD93C1578F2B}</b:Guid>
    <b:Author>
      <b:Author>
        <b:NameList>
          <b:Person>
            <b:Last>Salazar</b:Last>
            <b:First>E</b:First>
          </b:Person>
          <b:Person>
            <b:Last>Rojas</b:Last>
            <b:First>V</b:First>
          </b:Person>
          <b:Person>
            <b:Last>Recalde</b:Last>
            <b:First>A</b:First>
          </b:Person>
          <b:Person>
            <b:Last>Yache</b:Last>
            <b:First>E.</b:First>
          </b:Person>
        </b:NameList>
      </b:Author>
    </b:Author>
    <b:Title>Digitalización en compra-venta de bienes muebles y calidad del servicio notarial</b:Title>
    <b:JournalName>Iustitia  Socialis.  Revista Arbitrada de Ciencias Jurídicas y Criminalísticas</b:JournalName>
    <b:Year>2023</b:Year>
    <b:Pages>207-220</b:Pages>
    <b:Volume>8</b:Volume>
    <b:Issue>2</b:Issue>
    <b:DOI>https://doi.org/10.35381/racji.v8i2.2910</b:DOI>
    <b:RefOrder>25</b:RefOrder>
  </b:Source>
  <b:Source>
    <b:Tag>Cód262</b:Tag>
    <b:SourceType>Book</b:SourceType>
    <b:Guid>{B7AE4AE5-9815-4652-A0DA-2CF5D49080A4}</b:Guid>
    <b:Title>Asamblea Nacional de la República del Ecuador</b:Title>
    <b:Year>2009, actualizado en el Registro Oficial 189 de 26 de marzo de 2026</b:Year>
    <b:Author>
      <b:Author>
        <b:Corporate>Código Orgánico de la Función Judicial</b:Corporate>
      </b:Author>
    </b:Author>
    <b:Publisher>Suplemento del Registro Oficial N° 544 de 09 de marzo de 2009</b:Publisher>
    <b:URL>https://biblioteca.defensoria.gob.ec/bitstream/37000/3818/3/C%c3%93DIGO%20ORG%c3%81NICO%20DE%20LA%20FUNCI%c3%93N%20JUDICIAL.%20Actualizado.pdf</b:URL>
    <b:RefOrder>26</b:RefOrder>
  </b:Source>
  <b:Source>
    <b:Tag>Vás231</b:Tag>
    <b:SourceType>JournalArticle</b:SourceType>
    <b:Guid>{101BAE5E-8F0D-4D8C-8960-491D424EC3AD}</b:Guid>
    <b:Title>Las atribuciones del notario en los actos notariales de manera telemática</b:Title>
    <b:Year>2023</b:Year>
    <b:Author>
      <b:Author>
        <b:NameList>
          <b:Person>
            <b:Last>Vásquez</b:Last>
            <b:First>C</b:First>
          </b:Person>
          <b:Person>
            <b:Last>Jaramillo</b:Last>
            <b:First>A.</b:First>
          </b:Person>
        </b:NameList>
      </b:Author>
    </b:Author>
    <b:JournalName>Imaginario Social</b:JournalName>
    <b:Pages>69-92</b:Pages>
    <b:Volume>6</b:Volume>
    <b:Issue>1</b:Issue>
    <b:RefOrder>30</b:RefOrder>
  </b:Source>
  <b:Source>
    <b:Tag>Vil213</b:Tag>
    <b:SourceType>JournalArticle</b:SourceType>
    <b:Guid>{1135319C-DB5B-4857-9730-8626FC629014}</b:Guid>
    <b:Author>
      <b:Author>
        <b:NameList>
          <b:Person>
            <b:Last>Villacres</b:Last>
            <b:First>J</b:First>
          </b:Person>
          <b:Person>
            <b:Last>Pazmay</b:Last>
            <b:First>S.</b:First>
          </b:Person>
        </b:NameList>
      </b:Author>
    </b:Author>
    <b:Title>Derecho constitucional de la seguridad jurídica de los ciudadanos en el Ecuador</b:Title>
    <b:JournalName>Polo del Conocimiento</b:JournalName>
    <b:Year>2021</b:Year>
    <b:Pages>1222-1233</b:Pages>
    <b:Volume>6</b:Volume>
    <b:Issue>5</b:Issue>
    <b:DOI>DOI: 10.23857/pc.v6i5.2751</b:DOI>
    <b:RefOrder>27</b:RefOrder>
  </b:Source>
  <b:Source>
    <b:Tag>Mon261</b:Tag>
    <b:SourceType>JournalArticle</b:SourceType>
    <b:Guid>{28BE7181-8557-4B83-9681-53F5CF033584}</b:Guid>
    <b:Title>El impacto de la digitalización en el ejercicio notarial en Ecuador: Un análisis con estudio de caso práctico</b:Title>
    <b:Year>2026</b:Year>
    <b:Author>
      <b:Author>
        <b:NameList>
          <b:Person>
            <b:Last>Moncayo</b:Last>
            <b:First>A</b:First>
          </b:Person>
          <b:Person>
            <b:Last>Delgado</b:Last>
            <b:First>C.</b:First>
          </b:Person>
        </b:NameList>
      </b:Author>
    </b:Author>
    <b:JournalName>Polo del Conocimiento</b:JournalName>
    <b:Pages>1269-1287</b:Pages>
    <b:Volume>11</b:Volume>
    <b:Issue>1</b:Issue>
    <b:DOI>DOI: 10.23857/pc.v11i1.11071</b:DOI>
    <b:RefOrder>11</b:RefOrder>
  </b:Source>
  <b:Source>
    <b:Tag>Con2446</b:Tag>
    <b:SourceType>Book</b:SourceType>
    <b:Guid>{990CEF27-6833-4794-A782-684AFE77F6E2}</b:Guid>
    <b:Title>Asamblea Nacional Constituyente de la República del Ecuador</b:Title>
    <b:Year>2008, actualizada en el Tercer Suplemento del Registro Oficial 568, de 30 de mayo de 2024</b:Year>
    <b:Author>
      <b:Author>
        <b:Corporate>Constitución de la República del Ecuador</b:Corporate>
      </b:Author>
    </b:Author>
    <b:Publisher>Registro Oficial N° 449 de 20 de octubre de 2008</b:Publisher>
    <b:URL>https://biblioteca.defensoria.gob.ec/bitstream/37000/4083/1/Constituci%c3%b3n%20de%20la%20Rep%c3%bablica%20del%20Ecuador.%20Actualizada.pdf</b:URL>
    <b:RefOrder>15</b:RefOrder>
  </b:Source>
</b:Sources>
</file>

<file path=customXml/itemProps1.xml><?xml version="1.0" encoding="utf-8"?>
<ds:datastoreItem xmlns:ds="http://schemas.openxmlformats.org/officeDocument/2006/customXml" ds:itemID="{AF0730AF-9D09-4DD1-BB59-F0CE571A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plantilla3.dotx</Template>
  <TotalTime>1185</TotalTime>
  <Pages>19</Pages>
  <Words>6327</Words>
  <Characters>34803</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41048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ANDRÉS ROOSBELT TUTIVÉN GARCÍA</cp:lastModifiedBy>
  <cp:revision>524</cp:revision>
  <dcterms:created xsi:type="dcterms:W3CDTF">2026-02-28T05:26:00Z</dcterms:created>
  <dcterms:modified xsi:type="dcterms:W3CDTF">2026-08-26T16:30:00Z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65e694fd-f50b-455c-81c5-3aed0caac36f</vt:lpwstr>
  </property>
</Properties>
</file>