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062" w:rsidRDefault="00FE6660">
      <w:pPr>
        <w:pStyle w:val="Ttulo1"/>
      </w:pPr>
      <w:r>
        <w:t>Machine Learning Applications in Electric Power Systems Reliability: A Comprehensive Review and Research Roadmap</w:t>
      </w:r>
    </w:p>
    <w:p w:rsidR="009C6062" w:rsidRPr="005E69D5" w:rsidRDefault="00FE6660">
      <w:pPr>
        <w:pBdr>
          <w:top w:val="nil"/>
          <w:left w:val="nil"/>
          <w:bottom w:val="nil"/>
          <w:right w:val="nil"/>
          <w:between w:val="nil"/>
        </w:pBdr>
        <w:spacing w:after="90"/>
        <w:jc w:val="center"/>
        <w:rPr>
          <w:b/>
          <w:bCs/>
          <w:sz w:val="20"/>
          <w:szCs w:val="20"/>
          <w:vertAlign w:val="superscript"/>
          <w:lang w:val="es-EC"/>
        </w:rPr>
      </w:pPr>
      <w:r w:rsidRPr="005E69D5">
        <w:rPr>
          <w:b/>
          <w:bCs/>
          <w:sz w:val="20"/>
          <w:szCs w:val="20"/>
          <w:lang w:val="es-EC"/>
        </w:rPr>
        <w:t>Mario Célleri-Mujica</w:t>
      </w:r>
      <w:r w:rsidR="005E69D5">
        <w:rPr>
          <w:b/>
          <w:bCs/>
          <w:sz w:val="20"/>
          <w:szCs w:val="20"/>
          <w:vertAlign w:val="superscript"/>
          <w:lang w:val="es-EC"/>
        </w:rPr>
        <w:t>1</w:t>
      </w:r>
    </w:p>
    <w:p w:rsidR="005E69D5" w:rsidRDefault="00FE6660">
      <w:pPr>
        <w:pBdr>
          <w:top w:val="nil"/>
          <w:left w:val="nil"/>
          <w:bottom w:val="nil"/>
          <w:right w:val="nil"/>
          <w:between w:val="nil"/>
        </w:pBdr>
        <w:jc w:val="center"/>
        <w:rPr>
          <w:i/>
          <w:iCs/>
          <w:sz w:val="18"/>
          <w:szCs w:val="18"/>
          <w:lang w:val="es-EC"/>
        </w:rPr>
      </w:pPr>
      <w:r w:rsidRPr="005E69D5">
        <w:rPr>
          <w:i/>
          <w:iCs/>
          <w:sz w:val="18"/>
          <w:szCs w:val="18"/>
          <w:vertAlign w:val="superscript"/>
          <w:lang w:val="es-EC"/>
        </w:rPr>
        <w:t>1</w:t>
      </w:r>
      <w:r w:rsidR="005E69D5">
        <w:rPr>
          <w:i/>
          <w:iCs/>
          <w:sz w:val="18"/>
          <w:szCs w:val="18"/>
          <w:lang w:val="es-EC"/>
        </w:rPr>
        <w:t xml:space="preserve">Faculty of </w:t>
      </w:r>
      <w:proofErr w:type="spellStart"/>
      <w:r w:rsidR="005E69D5">
        <w:rPr>
          <w:i/>
          <w:iCs/>
          <w:sz w:val="18"/>
          <w:szCs w:val="18"/>
          <w:lang w:val="es-EC"/>
        </w:rPr>
        <w:t>Engineering</w:t>
      </w:r>
      <w:proofErr w:type="spellEnd"/>
      <w:r w:rsidR="005E69D5">
        <w:rPr>
          <w:i/>
          <w:iCs/>
          <w:sz w:val="18"/>
          <w:szCs w:val="18"/>
          <w:lang w:val="es-EC"/>
        </w:rPr>
        <w:t xml:space="preserve">, Universidad Católica de Santiago de Guayaquil, Guayaquil, Ecuador </w:t>
      </w:r>
    </w:p>
    <w:p w:rsidR="009C6062" w:rsidRPr="004A3075" w:rsidRDefault="00FE6660">
      <w:pPr>
        <w:pBdr>
          <w:top w:val="nil"/>
          <w:left w:val="nil"/>
          <w:bottom w:val="nil"/>
          <w:right w:val="nil"/>
          <w:between w:val="nil"/>
        </w:pBdr>
        <w:spacing w:after="270"/>
        <w:jc w:val="center"/>
        <w:rPr>
          <w:i/>
          <w:iCs/>
          <w:sz w:val="18"/>
          <w:szCs w:val="18"/>
        </w:rPr>
      </w:pPr>
      <w:r w:rsidRPr="004A3075">
        <w:rPr>
          <w:i/>
          <w:iCs/>
          <w:sz w:val="18"/>
          <w:szCs w:val="18"/>
          <w:vertAlign w:val="superscript"/>
        </w:rPr>
        <w:t>*</w:t>
      </w:r>
      <w:r w:rsidRPr="004A3075">
        <w:rPr>
          <w:i/>
          <w:iCs/>
          <w:sz w:val="18"/>
          <w:szCs w:val="18"/>
        </w:rPr>
        <w:t>Cor</w:t>
      </w:r>
      <w:r w:rsidR="00187F1D" w:rsidRPr="004A3075">
        <w:rPr>
          <w:i/>
          <w:iCs/>
          <w:sz w:val="18"/>
          <w:szCs w:val="18"/>
        </w:rPr>
        <w:t>responding Author Email: colon.celleri</w:t>
      </w:r>
      <w:r w:rsidRPr="004A3075">
        <w:rPr>
          <w:i/>
          <w:iCs/>
          <w:sz w:val="18"/>
          <w:szCs w:val="18"/>
        </w:rPr>
        <w:t>@</w:t>
      </w:r>
      <w:r w:rsidR="00187F1D" w:rsidRPr="004A3075">
        <w:rPr>
          <w:i/>
          <w:iCs/>
          <w:sz w:val="18"/>
          <w:szCs w:val="18"/>
        </w:rPr>
        <w:t>cu.ucsg.</w:t>
      </w:r>
      <w:r w:rsidRPr="004A3075">
        <w:rPr>
          <w:i/>
          <w:iCs/>
          <w:sz w:val="18"/>
          <w:szCs w:val="18"/>
        </w:rPr>
        <w:t>edu.ec</w:t>
      </w:r>
    </w:p>
    <w:p w:rsidR="009C6062" w:rsidRDefault="00FE6660">
      <w:pPr>
        <w:pBdr>
          <w:top w:val="nil"/>
          <w:left w:val="nil"/>
          <w:bottom w:val="nil"/>
          <w:right w:val="nil"/>
          <w:between w:val="nil"/>
        </w:pBdr>
        <w:spacing w:after="150"/>
        <w:ind w:left="180" w:right="180"/>
        <w:jc w:val="both"/>
        <w:rPr>
          <w:sz w:val="20"/>
          <w:szCs w:val="20"/>
          <w:shd w:val="clear" w:color="auto" w:fill="F9F9F9"/>
        </w:rPr>
      </w:pPr>
      <w:bookmarkStart w:id="0" w:name="_GoBack"/>
      <w:bookmarkEnd w:id="0"/>
      <w:r>
        <w:rPr>
          <w:b/>
          <w:bCs/>
          <w:color w:val="1F4E79"/>
          <w:sz w:val="20"/>
          <w:szCs w:val="20"/>
          <w:shd w:val="clear" w:color="auto" w:fill="F9F9F9"/>
        </w:rPr>
        <w:t>Abstract —</w:t>
      </w:r>
      <w:r>
        <w:rPr>
          <w:sz w:val="20"/>
          <w:szCs w:val="20"/>
          <w:shd w:val="clear" w:color="auto" w:fill="F9F9F9"/>
        </w:rPr>
        <w:t xml:space="preserve"> Modern electric power energy systems are undergoing a structural paradigm shift driven by the intensive integration of variable renewable energy sources, the aging of conventional generation fleets, and the increasing electrification of global demand. These operational dynamics render traditional deterministic criteria and classical stochastic Monte Carlo simulations computationally prohibitive or insufficient for real-time risk assessment. This article presents a rigorous comprehensive review evaluating the role of Machine Learning (ML) paradigms—specifically supervised learning, unsupervised learning, and reinforcement learning—in advancing electric power adequacy and security assessment. A systematic taxonomy of recent literature </w:t>
      </w:r>
      <w:proofErr w:type="gramStart"/>
      <w:r>
        <w:rPr>
          <w:sz w:val="20"/>
          <w:szCs w:val="20"/>
          <w:shd w:val="clear" w:color="auto" w:fill="F9F9F9"/>
        </w:rPr>
        <w:t>is synthesized</w:t>
      </w:r>
      <w:proofErr w:type="gramEnd"/>
      <w:r>
        <w:rPr>
          <w:sz w:val="20"/>
          <w:szCs w:val="20"/>
          <w:shd w:val="clear" w:color="auto" w:fill="F9F9F9"/>
        </w:rPr>
        <w:t xml:space="preserve">, detailing </w:t>
      </w:r>
      <w:r w:rsidR="00952FCF">
        <w:rPr>
          <w:sz w:val="20"/>
          <w:szCs w:val="20"/>
          <w:shd w:val="clear" w:color="auto" w:fill="F9F9F9"/>
        </w:rPr>
        <w:t>surrogate-modeling</w:t>
      </w:r>
      <w:r>
        <w:rPr>
          <w:sz w:val="20"/>
          <w:szCs w:val="20"/>
          <w:shd w:val="clear" w:color="auto" w:fill="F9F9F9"/>
        </w:rPr>
        <w:t xml:space="preserve"> techniques for Loss of Load Expectation (LOLE) and Expected Energy Not Supplied (EENS) estimation, along with condition-based predictive maintenance integration. Furthermore, methodological gaps concerning model interpretability, off-distribution generalization, and operational control alignment </w:t>
      </w:r>
      <w:proofErr w:type="gramStart"/>
      <w:r>
        <w:rPr>
          <w:sz w:val="20"/>
          <w:szCs w:val="20"/>
          <w:shd w:val="clear" w:color="auto" w:fill="F9F9F9"/>
        </w:rPr>
        <w:t>are critically discussed</w:t>
      </w:r>
      <w:proofErr w:type="gramEnd"/>
      <w:r>
        <w:rPr>
          <w:sz w:val="20"/>
          <w:szCs w:val="20"/>
          <w:shd w:val="clear" w:color="auto" w:fill="F9F9F9"/>
        </w:rPr>
        <w:t xml:space="preserve">. Finally, a forward-looking research roadmap </w:t>
      </w:r>
      <w:proofErr w:type="gramStart"/>
      <w:r>
        <w:rPr>
          <w:sz w:val="20"/>
          <w:szCs w:val="20"/>
          <w:shd w:val="clear" w:color="auto" w:fill="F9F9F9"/>
        </w:rPr>
        <w:t>is proposed</w:t>
      </w:r>
      <w:proofErr w:type="gramEnd"/>
      <w:r>
        <w:rPr>
          <w:sz w:val="20"/>
          <w:szCs w:val="20"/>
          <w:shd w:val="clear" w:color="auto" w:fill="F9F9F9"/>
        </w:rPr>
        <w:t>, detailing the implementation of sequential Monte Carlo surrogate architectures and Explainable AI (XAI) frameworks tailored for modern power system operations.</w:t>
      </w:r>
    </w:p>
    <w:p w:rsidR="009C6062" w:rsidRDefault="00FE6660">
      <w:pPr>
        <w:pStyle w:val="Ttulo2"/>
        <w:spacing w:before="0"/>
      </w:pPr>
      <w:r>
        <w:t>1. Introduction</w:t>
      </w:r>
    </w:p>
    <w:p w:rsidR="009C6062" w:rsidRDefault="004A3075">
      <w:pPr>
        <w:pBdr>
          <w:top w:val="nil"/>
          <w:left w:val="nil"/>
          <w:bottom w:val="nil"/>
          <w:right w:val="nil"/>
          <w:between w:val="nil"/>
        </w:pBdr>
        <w:spacing w:after="150"/>
        <w:jc w:val="both"/>
        <w:rPr>
          <w:sz w:val="20"/>
          <w:szCs w:val="20"/>
        </w:rPr>
      </w:pPr>
      <w:r>
        <w:pict w14:anchorId="7285B345">
          <v:rect id="_x0000_i1025" style="width:0;height:1.5pt" o:hralign="center" o:hrstd="t" o:hr="t" fillcolor="#a0a0a0" stroked="f"/>
        </w:pict>
      </w:r>
      <w:r w:rsidR="00FE6660">
        <w:rPr>
          <w:sz w:val="20"/>
          <w:szCs w:val="20"/>
        </w:rPr>
        <w:t>The operational landscape of modern Electric Power Systems (EPS) is undergoing an unprecedented transformation characterized by the rapid decarbonization, decentralization, and digitalization of power generation networks [1]. The accelerated penetration of Variable Renewable Energy (VRE) resources, primarily wind and solar photovoltaic generation, introduces significant stochastic volatility and complex spatial-temporal correlations on the supply side [2]. Concurrently, traditional thermal generation assets are subject to operational stress and accelerated degradation due to frequent cycling and ramping demands, raising operational risks and failure probabilities [3].</w:t>
      </w:r>
    </w:p>
    <w:p w:rsidR="009C6062" w:rsidRDefault="00FE6660">
      <w:pPr>
        <w:pBdr>
          <w:top w:val="nil"/>
          <w:left w:val="nil"/>
          <w:bottom w:val="nil"/>
          <w:right w:val="nil"/>
          <w:between w:val="nil"/>
        </w:pBdr>
        <w:spacing w:after="150"/>
        <w:jc w:val="both"/>
        <w:rPr>
          <w:sz w:val="20"/>
          <w:szCs w:val="20"/>
        </w:rPr>
      </w:pPr>
      <w:r>
        <w:rPr>
          <w:sz w:val="20"/>
          <w:szCs w:val="20"/>
        </w:rPr>
        <w:t xml:space="preserve">Historically, </w:t>
      </w:r>
      <w:proofErr w:type="gramStart"/>
      <w:r>
        <w:rPr>
          <w:sz w:val="20"/>
          <w:szCs w:val="20"/>
        </w:rPr>
        <w:t>power system reliability evaluation</w:t>
      </w:r>
      <w:proofErr w:type="gramEnd"/>
      <w:r>
        <w:rPr>
          <w:sz w:val="20"/>
          <w:szCs w:val="20"/>
        </w:rPr>
        <w:t xml:space="preserve"> has been partitioned into two fundamental domain pillars: </w:t>
      </w:r>
      <w:r>
        <w:rPr>
          <w:i/>
          <w:iCs/>
          <w:sz w:val="20"/>
          <w:szCs w:val="20"/>
        </w:rPr>
        <w:t>adequacy</w:t>
      </w:r>
      <w:r>
        <w:rPr>
          <w:sz w:val="20"/>
          <w:szCs w:val="20"/>
        </w:rPr>
        <w:t xml:space="preserve"> (the existence of sufficient facilities within the system to satisfy consumer load demand at all times) and </w:t>
      </w:r>
      <w:r>
        <w:rPr>
          <w:i/>
          <w:iCs/>
          <w:sz w:val="20"/>
          <w:szCs w:val="20"/>
        </w:rPr>
        <w:t>security</w:t>
      </w:r>
      <w:r>
        <w:rPr>
          <w:sz w:val="20"/>
          <w:szCs w:val="20"/>
        </w:rPr>
        <w:t xml:space="preserve"> (the ability of the system to withstand sudden disturbances such as short circuits or unanticipated loss of system components) [4]. Conventional evaluation methodologies have evolved across distinct methodological paradigms:</w:t>
      </w:r>
    </w:p>
    <w:p w:rsidR="009C6062" w:rsidRDefault="00FE6660">
      <w:pPr>
        <w:numPr>
          <w:ilvl w:val="0"/>
          <w:numId w:val="1"/>
        </w:numPr>
        <w:pBdr>
          <w:top w:val="nil"/>
          <w:left w:val="nil"/>
          <w:bottom w:val="nil"/>
          <w:right w:val="nil"/>
          <w:between w:val="nil"/>
        </w:pBdr>
        <w:jc w:val="both"/>
      </w:pPr>
      <w:r>
        <w:rPr>
          <w:b/>
          <w:bCs/>
          <w:sz w:val="20"/>
          <w:szCs w:val="20"/>
        </w:rPr>
        <w:t>Deterministic Frameworks (1950s–1990s):</w:t>
      </w:r>
      <w:r>
        <w:rPr>
          <w:sz w:val="20"/>
          <w:szCs w:val="20"/>
        </w:rPr>
        <w:t xml:space="preserve"> Relied heavily on fixed reserve margins and strict N-1 contingency criteria. While computationally straightforward, deterministic methods fail to quantify the operational risk associated with multi-element outages or extreme weather events [2].</w:t>
      </w:r>
    </w:p>
    <w:p w:rsidR="009C6062" w:rsidRDefault="00FE6660">
      <w:pPr>
        <w:numPr>
          <w:ilvl w:val="0"/>
          <w:numId w:val="1"/>
        </w:numPr>
        <w:pBdr>
          <w:top w:val="nil"/>
          <w:left w:val="nil"/>
          <w:bottom w:val="nil"/>
          <w:right w:val="nil"/>
          <w:between w:val="nil"/>
        </w:pBdr>
        <w:spacing w:after="60"/>
        <w:jc w:val="both"/>
      </w:pPr>
      <w:r>
        <w:rPr>
          <w:b/>
          <w:bCs/>
          <w:sz w:val="20"/>
          <w:szCs w:val="20"/>
        </w:rPr>
        <w:lastRenderedPageBreak/>
        <w:t>Probabilistic and Metaheuristic Models (1970s–2010s):</w:t>
      </w:r>
      <w:r>
        <w:rPr>
          <w:sz w:val="20"/>
          <w:szCs w:val="20"/>
        </w:rPr>
        <w:t xml:space="preserve"> Introduced analytical Markov models, non-sequential Monte Carlo Simulation (MCS), and evolutionary algorithms (e.g., Genetic Algorithms, Particle Swarm Optimization) to estimate quantitative risk indices such as Loss of Load Probability (LOLP), Loss of Load Expectation (LOLE, in hours/year), and Expected Energy Not Supplied (EENS, in MWh/year) [4].</w:t>
      </w:r>
    </w:p>
    <w:p w:rsidR="009C6062" w:rsidRDefault="00FE6660">
      <w:pPr>
        <w:pBdr>
          <w:top w:val="nil"/>
          <w:left w:val="nil"/>
          <w:bottom w:val="nil"/>
          <w:right w:val="nil"/>
          <w:between w:val="nil"/>
        </w:pBdr>
        <w:spacing w:before="150" w:after="270"/>
        <w:jc w:val="both"/>
        <w:rPr>
          <w:sz w:val="20"/>
          <w:szCs w:val="20"/>
        </w:rPr>
      </w:pPr>
      <w:r>
        <w:rPr>
          <w:sz w:val="20"/>
          <w:szCs w:val="20"/>
        </w:rPr>
        <w:t xml:space="preserve">Although chronological Sequential Monte Carlo Simulation (SMCS) represents the benchmark for probabilistic accuracy, its execution on large-scale power systems requires simulating hundreds of thousands of hourly state transitions, incurring computational </w:t>
      </w:r>
      <w:r w:rsidR="004673C6">
        <w:rPr>
          <w:sz w:val="20"/>
          <w:szCs w:val="20"/>
        </w:rPr>
        <w:t>periods</w:t>
      </w:r>
      <w:r>
        <w:rPr>
          <w:sz w:val="20"/>
          <w:szCs w:val="20"/>
        </w:rPr>
        <w:t xml:space="preserve"> that are incompatible with short-term operational planning and real-time decision-making [3]. Consequently, Machine Learning (ML) has emerged as a high-performance computational surrogate capable of mapping complex non-linear power system states to reliability indices with minimal latency [5].</w:t>
      </w:r>
    </w:p>
    <w:p w:rsidR="009C6062" w:rsidRDefault="00FE6660">
      <w:pPr>
        <w:pStyle w:val="Ttulo2"/>
        <w:spacing w:before="0"/>
      </w:pPr>
      <w:r>
        <w:t>2. Machine Learning Paradigms in Reliability Assessment</w:t>
      </w:r>
    </w:p>
    <w:p w:rsidR="009C6062" w:rsidRDefault="004A3075">
      <w:pPr>
        <w:pBdr>
          <w:top w:val="nil"/>
          <w:left w:val="nil"/>
          <w:bottom w:val="nil"/>
          <w:right w:val="nil"/>
          <w:between w:val="nil"/>
        </w:pBdr>
        <w:spacing w:after="180"/>
        <w:jc w:val="both"/>
        <w:rPr>
          <w:sz w:val="20"/>
          <w:szCs w:val="20"/>
        </w:rPr>
      </w:pPr>
      <w:r>
        <w:pict w14:anchorId="63E72125">
          <v:rect id="_x0000_i1026" style="width:0;height:1.5pt" o:hralign="center" o:hrstd="t" o:hr="t" fillcolor="#a0a0a0" stroked="f"/>
        </w:pict>
      </w:r>
      <w:r w:rsidR="00FE6660">
        <w:rPr>
          <w:sz w:val="20"/>
          <w:szCs w:val="20"/>
        </w:rPr>
        <w:t>The application of ML in EPS reliability spans three main learning paradigms, each addressing specific operational challenges within power grid analysis.</w:t>
      </w:r>
    </w:p>
    <w:p w:rsidR="009C6062" w:rsidRDefault="00FE6660">
      <w:pPr>
        <w:pStyle w:val="Ttulo3"/>
        <w:spacing w:before="0"/>
      </w:pPr>
      <w:r>
        <w:t>2.1 Supervised Learning for Surrogate Modeling and Diagnostic Classification</w:t>
      </w:r>
    </w:p>
    <w:p w:rsidR="009C6062" w:rsidRDefault="00FE6660">
      <w:pPr>
        <w:pBdr>
          <w:top w:val="nil"/>
          <w:left w:val="nil"/>
          <w:bottom w:val="nil"/>
          <w:right w:val="nil"/>
          <w:between w:val="nil"/>
        </w:pBdr>
        <w:spacing w:after="150"/>
        <w:jc w:val="both"/>
        <w:rPr>
          <w:sz w:val="20"/>
          <w:szCs w:val="20"/>
        </w:rPr>
      </w:pPr>
      <w:r>
        <w:rPr>
          <w:sz w:val="20"/>
          <w:szCs w:val="20"/>
        </w:rPr>
        <w:t xml:space="preserve">Supervised learning represents the dominant approach within the recent reliability literature (2020–2026) [1]. In this framework, algorithms </w:t>
      </w:r>
      <w:proofErr w:type="gramStart"/>
      <w:r>
        <w:rPr>
          <w:sz w:val="20"/>
          <w:szCs w:val="20"/>
        </w:rPr>
        <w:t>are trained</w:t>
      </w:r>
      <w:proofErr w:type="gramEnd"/>
      <w:r>
        <w:rPr>
          <w:sz w:val="20"/>
          <w:szCs w:val="20"/>
        </w:rPr>
        <w:t xml:space="preserve"> on extensive historical or simulation-generated datasets consisting of </w:t>
      </w:r>
      <w:r w:rsidR="006E165F">
        <w:rPr>
          <w:sz w:val="20"/>
          <w:szCs w:val="20"/>
        </w:rPr>
        <w:t xml:space="preserve">system state feature vectors </w:t>
      </w:r>
      <w:r w:rsidR="006E165F" w:rsidRPr="006E165F">
        <w:rPr>
          <w:b/>
          <w:sz w:val="20"/>
          <w:szCs w:val="20"/>
        </w:rPr>
        <w:t>X</w:t>
      </w:r>
      <w:r>
        <w:rPr>
          <w:sz w:val="20"/>
          <w:szCs w:val="20"/>
        </w:rPr>
        <w:t xml:space="preserve"> = </w:t>
      </w:r>
      <w:r w:rsidR="006E165F">
        <w:rPr>
          <w:sz w:val="20"/>
          <w:szCs w:val="20"/>
        </w:rPr>
        <w:t>(</w:t>
      </w:r>
      <w:proofErr w:type="spellStart"/>
      <w:r w:rsidRPr="004B7DD3">
        <w:rPr>
          <w:i/>
          <w:sz w:val="20"/>
          <w:szCs w:val="20"/>
        </w:rPr>
        <w:t>P</w:t>
      </w:r>
      <w:r w:rsidR="006E165F" w:rsidRPr="004B7DD3">
        <w:rPr>
          <w:i/>
          <w:sz w:val="20"/>
          <w:szCs w:val="20"/>
          <w:vertAlign w:val="subscript"/>
        </w:rPr>
        <w:t>demand</w:t>
      </w:r>
      <w:proofErr w:type="spellEnd"/>
      <w:r w:rsidRPr="004B7DD3">
        <w:rPr>
          <w:i/>
          <w:sz w:val="20"/>
          <w:szCs w:val="20"/>
        </w:rPr>
        <w:t>, P</w:t>
      </w:r>
      <w:r w:rsidR="006E165F" w:rsidRPr="004B7DD3">
        <w:rPr>
          <w:i/>
          <w:sz w:val="20"/>
          <w:szCs w:val="20"/>
          <w:vertAlign w:val="subscript"/>
        </w:rPr>
        <w:t>VRE</w:t>
      </w:r>
      <w:r w:rsidR="006E165F">
        <w:rPr>
          <w:sz w:val="20"/>
          <w:szCs w:val="20"/>
        </w:rPr>
        <w:t xml:space="preserve">, </w:t>
      </w:r>
      <w:proofErr w:type="spellStart"/>
      <w:r w:rsidRPr="006E165F">
        <w:rPr>
          <w:b/>
          <w:sz w:val="20"/>
          <w:szCs w:val="20"/>
        </w:rPr>
        <w:t>C</w:t>
      </w:r>
      <w:r w:rsidR="006E165F">
        <w:rPr>
          <w:sz w:val="20"/>
          <w:szCs w:val="20"/>
          <w:vertAlign w:val="subscript"/>
        </w:rPr>
        <w:t>disp</w:t>
      </w:r>
      <w:proofErr w:type="spellEnd"/>
      <w:r w:rsidR="006E165F">
        <w:rPr>
          <w:sz w:val="20"/>
          <w:szCs w:val="20"/>
        </w:rPr>
        <w:t xml:space="preserve">, </w:t>
      </w:r>
      <w:r w:rsidRPr="006E165F">
        <w:rPr>
          <w:b/>
          <w:sz w:val="20"/>
          <w:szCs w:val="20"/>
        </w:rPr>
        <w:t>Hour</w:t>
      </w:r>
      <w:r w:rsidR="006E165F">
        <w:rPr>
          <w:sz w:val="20"/>
          <w:szCs w:val="20"/>
        </w:rPr>
        <w:t xml:space="preserve">, </w:t>
      </w:r>
      <w:r w:rsidR="006E165F" w:rsidRPr="006E165F">
        <w:rPr>
          <w:b/>
          <w:sz w:val="20"/>
          <w:szCs w:val="20"/>
        </w:rPr>
        <w:t>Season</w:t>
      </w:r>
      <w:r w:rsidR="006E165F">
        <w:rPr>
          <w:sz w:val="20"/>
          <w:szCs w:val="20"/>
        </w:rPr>
        <w:t>)</w:t>
      </w:r>
      <w:r>
        <w:rPr>
          <w:sz w:val="20"/>
          <w:szCs w:val="20"/>
        </w:rPr>
        <w:t xml:space="preserve"> mapped to known adequacy outputs or failure states </w:t>
      </w:r>
      <w:r w:rsidRPr="006E165F">
        <w:rPr>
          <w:b/>
          <w:sz w:val="20"/>
          <w:szCs w:val="20"/>
        </w:rPr>
        <w:t>Y</w:t>
      </w:r>
      <w:r>
        <w:rPr>
          <w:sz w:val="20"/>
          <w:szCs w:val="20"/>
        </w:rPr>
        <w:t xml:space="preserve"> [2].</w:t>
      </w:r>
    </w:p>
    <w:p w:rsidR="009C6062" w:rsidRDefault="00FE6660">
      <w:pPr>
        <w:numPr>
          <w:ilvl w:val="0"/>
          <w:numId w:val="2"/>
        </w:numPr>
        <w:pBdr>
          <w:top w:val="nil"/>
          <w:left w:val="nil"/>
          <w:bottom w:val="nil"/>
          <w:right w:val="nil"/>
          <w:between w:val="nil"/>
        </w:pBdr>
        <w:jc w:val="both"/>
      </w:pPr>
      <w:r>
        <w:rPr>
          <w:b/>
          <w:bCs/>
          <w:sz w:val="20"/>
          <w:szCs w:val="20"/>
        </w:rPr>
        <w:t xml:space="preserve">Ensemble Decision Trees (Random Forest, Gradient Boosting, </w:t>
      </w:r>
      <w:proofErr w:type="spellStart"/>
      <w:r>
        <w:rPr>
          <w:b/>
          <w:bCs/>
          <w:sz w:val="20"/>
          <w:szCs w:val="20"/>
        </w:rPr>
        <w:t>XGBoost</w:t>
      </w:r>
      <w:proofErr w:type="spellEnd"/>
      <w:r>
        <w:rPr>
          <w:b/>
          <w:bCs/>
          <w:sz w:val="20"/>
          <w:szCs w:val="20"/>
        </w:rPr>
        <w:t xml:space="preserve">, </w:t>
      </w:r>
      <w:proofErr w:type="spellStart"/>
      <w:proofErr w:type="gramStart"/>
      <w:r>
        <w:rPr>
          <w:b/>
          <w:bCs/>
          <w:sz w:val="20"/>
          <w:szCs w:val="20"/>
        </w:rPr>
        <w:t>LightGBM</w:t>
      </w:r>
      <w:proofErr w:type="spellEnd"/>
      <w:proofErr w:type="gramEnd"/>
      <w:r>
        <w:rPr>
          <w:b/>
          <w:bCs/>
          <w:sz w:val="20"/>
          <w:szCs w:val="20"/>
        </w:rPr>
        <w:t>):</w:t>
      </w:r>
      <w:r>
        <w:rPr>
          <w:sz w:val="20"/>
          <w:szCs w:val="20"/>
        </w:rPr>
        <w:t xml:space="preserve"> Widely deployed for non-linear regression and classification due to their robustness against feature collinearity and ability to process high-dimensional tabular data. They serve as efficient surrogate models for predicting instantaneous adequacy margins and estimating cumulative LOLE and EENS metrics [3].</w:t>
      </w:r>
    </w:p>
    <w:p w:rsidR="009C6062" w:rsidRDefault="00FE6660">
      <w:pPr>
        <w:numPr>
          <w:ilvl w:val="0"/>
          <w:numId w:val="2"/>
        </w:numPr>
        <w:pBdr>
          <w:top w:val="nil"/>
          <w:left w:val="nil"/>
          <w:bottom w:val="nil"/>
          <w:right w:val="nil"/>
          <w:between w:val="nil"/>
        </w:pBdr>
        <w:jc w:val="both"/>
      </w:pPr>
      <w:r>
        <w:rPr>
          <w:b/>
          <w:bCs/>
          <w:sz w:val="20"/>
          <w:szCs w:val="20"/>
        </w:rPr>
        <w:t>Support Vector Machines (SVM) and Kernel Methods:</w:t>
      </w:r>
      <w:r>
        <w:rPr>
          <w:sz w:val="20"/>
          <w:szCs w:val="20"/>
        </w:rPr>
        <w:t xml:space="preserve"> Applied in high-dimensional contingency screening and dynamic security boundary identification [5].</w:t>
      </w:r>
    </w:p>
    <w:p w:rsidR="009C6062" w:rsidRDefault="00FE6660">
      <w:pPr>
        <w:numPr>
          <w:ilvl w:val="0"/>
          <w:numId w:val="2"/>
        </w:numPr>
        <w:pBdr>
          <w:top w:val="nil"/>
          <w:left w:val="nil"/>
          <w:bottom w:val="nil"/>
          <w:right w:val="nil"/>
          <w:between w:val="nil"/>
        </w:pBdr>
        <w:spacing w:after="60"/>
        <w:jc w:val="both"/>
      </w:pPr>
      <w:r>
        <w:rPr>
          <w:b/>
          <w:bCs/>
          <w:sz w:val="20"/>
          <w:szCs w:val="20"/>
        </w:rPr>
        <w:t>Deep Neural Networks (DNN) and Convolutional Architectures:</w:t>
      </w:r>
      <w:r>
        <w:rPr>
          <w:sz w:val="20"/>
          <w:szCs w:val="20"/>
        </w:rPr>
        <w:t xml:space="preserve"> Employed for complex dynamic stability assessments and short-term failure prediction based on high-frequency Phasor Measurement Unit (PMU) data streams [1].</w:t>
      </w:r>
    </w:p>
    <w:p w:rsidR="009C6062" w:rsidRDefault="00FE6660">
      <w:pPr>
        <w:pStyle w:val="Ttulo3"/>
      </w:pPr>
      <w:r>
        <w:t>2.2 Unsupervised Learning for Feature Engineering and Anomaly Detection</w:t>
      </w:r>
    </w:p>
    <w:p w:rsidR="009C6062" w:rsidRDefault="00FE6660">
      <w:pPr>
        <w:pBdr>
          <w:top w:val="nil"/>
          <w:left w:val="nil"/>
          <w:bottom w:val="nil"/>
          <w:right w:val="nil"/>
          <w:between w:val="nil"/>
        </w:pBdr>
        <w:spacing w:after="150"/>
        <w:jc w:val="both"/>
        <w:rPr>
          <w:sz w:val="20"/>
          <w:szCs w:val="20"/>
        </w:rPr>
      </w:pPr>
      <w:r>
        <w:rPr>
          <w:sz w:val="20"/>
          <w:szCs w:val="20"/>
        </w:rPr>
        <w:t xml:space="preserve">Unsupervised learning algorithms extract structural patterns and latent feature representations from </w:t>
      </w:r>
      <w:r w:rsidR="00453093">
        <w:rPr>
          <w:sz w:val="20"/>
          <w:szCs w:val="20"/>
        </w:rPr>
        <w:t>unlabeled</w:t>
      </w:r>
      <w:r>
        <w:rPr>
          <w:sz w:val="20"/>
          <w:szCs w:val="20"/>
        </w:rPr>
        <w:t xml:space="preserve"> operational datasets without human annotation [4]. Key techniques include:</w:t>
      </w:r>
    </w:p>
    <w:p w:rsidR="009C6062" w:rsidRDefault="00FE6660">
      <w:pPr>
        <w:numPr>
          <w:ilvl w:val="0"/>
          <w:numId w:val="3"/>
        </w:numPr>
        <w:pBdr>
          <w:top w:val="nil"/>
          <w:left w:val="nil"/>
          <w:bottom w:val="nil"/>
          <w:right w:val="nil"/>
          <w:between w:val="nil"/>
        </w:pBdr>
        <w:jc w:val="both"/>
      </w:pPr>
      <w:r>
        <w:rPr>
          <w:b/>
          <w:bCs/>
          <w:sz w:val="20"/>
          <w:szCs w:val="20"/>
        </w:rPr>
        <w:t xml:space="preserve">Clustering Algorithms (K-Means, DBSCAN, </w:t>
      </w:r>
      <w:proofErr w:type="gramStart"/>
      <w:r>
        <w:rPr>
          <w:b/>
          <w:bCs/>
          <w:sz w:val="20"/>
          <w:szCs w:val="20"/>
        </w:rPr>
        <w:t>Hierarchical</w:t>
      </w:r>
      <w:proofErr w:type="gramEnd"/>
      <w:r>
        <w:rPr>
          <w:b/>
          <w:bCs/>
          <w:sz w:val="20"/>
          <w:szCs w:val="20"/>
        </w:rPr>
        <w:t xml:space="preserve"> Clustering):</w:t>
      </w:r>
      <w:r>
        <w:rPr>
          <w:sz w:val="20"/>
          <w:szCs w:val="20"/>
        </w:rPr>
        <w:t xml:space="preserve"> Used to partition high-dimensional system operating conditions into representative operational states, significantly reducing the state space required for Monte Carlo sampling [2].</w:t>
      </w:r>
    </w:p>
    <w:p w:rsidR="009C6062" w:rsidRDefault="00FE6660">
      <w:pPr>
        <w:numPr>
          <w:ilvl w:val="0"/>
          <w:numId w:val="3"/>
        </w:numPr>
        <w:pBdr>
          <w:top w:val="nil"/>
          <w:left w:val="nil"/>
          <w:bottom w:val="nil"/>
          <w:right w:val="nil"/>
          <w:between w:val="nil"/>
        </w:pBdr>
        <w:spacing w:after="60"/>
        <w:jc w:val="both"/>
      </w:pPr>
      <w:r>
        <w:rPr>
          <w:b/>
          <w:bCs/>
          <w:sz w:val="20"/>
          <w:szCs w:val="20"/>
        </w:rPr>
        <w:t xml:space="preserve">Dimensionality Reduction (Principal Component Analysis - PCA, </w:t>
      </w:r>
      <w:r w:rsidR="00B063B1">
        <w:rPr>
          <w:b/>
          <w:bCs/>
          <w:sz w:val="20"/>
          <w:szCs w:val="20"/>
        </w:rPr>
        <w:t>Auto encoders</w:t>
      </w:r>
      <w:r>
        <w:rPr>
          <w:b/>
          <w:bCs/>
          <w:sz w:val="20"/>
          <w:szCs w:val="20"/>
        </w:rPr>
        <w:t>):</w:t>
      </w:r>
      <w:r>
        <w:rPr>
          <w:sz w:val="20"/>
          <w:szCs w:val="20"/>
        </w:rPr>
        <w:t xml:space="preserve"> Applied to filter noise and condense massive multi-bus power grid datasets into lower-dimensional manifolds for rapid state classification [5].</w:t>
      </w:r>
    </w:p>
    <w:p w:rsidR="009C6062" w:rsidRDefault="00FE6660">
      <w:pPr>
        <w:pStyle w:val="Ttulo3"/>
      </w:pPr>
      <w:r>
        <w:t>2.3 Reinforcement Learning for Dynamic Reliability Control</w:t>
      </w:r>
    </w:p>
    <w:p w:rsidR="009C6062" w:rsidRDefault="00FE6660">
      <w:pPr>
        <w:pBdr>
          <w:top w:val="nil"/>
          <w:left w:val="nil"/>
          <w:bottom w:val="nil"/>
          <w:right w:val="nil"/>
          <w:between w:val="nil"/>
        </w:pBdr>
        <w:spacing w:after="150"/>
        <w:jc w:val="both"/>
        <w:rPr>
          <w:sz w:val="20"/>
          <w:szCs w:val="20"/>
        </w:rPr>
      </w:pPr>
      <w:r>
        <w:rPr>
          <w:sz w:val="20"/>
          <w:szCs w:val="20"/>
        </w:rPr>
        <w:lastRenderedPageBreak/>
        <w:t xml:space="preserve">Reinforcement Learning (RL) and Deep Reinforcement Learning (DRL) focus on sequential decision-making under uncertainty [3]. Unlike passive evaluation models, RL agents interact dynamically with the power system environment to optimize operational </w:t>
      </w:r>
      <w:proofErr w:type="gramStart"/>
      <w:r>
        <w:rPr>
          <w:sz w:val="20"/>
          <w:szCs w:val="20"/>
        </w:rPr>
        <w:t xml:space="preserve">policy </w:t>
      </w:r>
      <w:proofErr w:type="gramEnd"/>
      <m:oMath>
        <m:r>
          <w:rPr>
            <w:rFonts w:ascii="Cambria Math" w:hAnsi="Cambria Math"/>
            <w:sz w:val="20"/>
            <w:szCs w:val="20"/>
          </w:rPr>
          <m:t>π(a|s)</m:t>
        </m:r>
      </m:oMath>
      <w:r w:rsidR="00B063B1">
        <w:rPr>
          <w:sz w:val="20"/>
          <w:szCs w:val="20"/>
        </w:rPr>
        <w:t>.</w:t>
      </w:r>
    </w:p>
    <w:p w:rsidR="009C6062" w:rsidRDefault="00FE6660">
      <w:pPr>
        <w:numPr>
          <w:ilvl w:val="0"/>
          <w:numId w:val="4"/>
        </w:numPr>
        <w:pBdr>
          <w:top w:val="nil"/>
          <w:left w:val="nil"/>
          <w:bottom w:val="nil"/>
          <w:right w:val="nil"/>
          <w:between w:val="nil"/>
        </w:pBdr>
        <w:jc w:val="both"/>
      </w:pPr>
      <w:r>
        <w:rPr>
          <w:b/>
          <w:bCs/>
          <w:sz w:val="20"/>
          <w:szCs w:val="20"/>
        </w:rPr>
        <w:t>Markov Decision Processes (MDP):</w:t>
      </w:r>
      <w:r>
        <w:rPr>
          <w:sz w:val="20"/>
          <w:szCs w:val="20"/>
        </w:rPr>
        <w:t xml:space="preserve"> Formulate system operational states, control actions (e.g., generator rescheduling, load shedding, topology reconfiguration), and reward functions tied to reliability maximization and cost minimization [2].</w:t>
      </w:r>
    </w:p>
    <w:p w:rsidR="009C6062" w:rsidRDefault="00FE6660">
      <w:pPr>
        <w:numPr>
          <w:ilvl w:val="0"/>
          <w:numId w:val="4"/>
        </w:numPr>
        <w:pBdr>
          <w:top w:val="nil"/>
          <w:left w:val="nil"/>
          <w:bottom w:val="nil"/>
          <w:right w:val="nil"/>
          <w:between w:val="nil"/>
        </w:pBdr>
        <w:spacing w:after="60"/>
        <w:jc w:val="both"/>
      </w:pPr>
      <w:r>
        <w:rPr>
          <w:b/>
          <w:bCs/>
          <w:sz w:val="20"/>
          <w:szCs w:val="20"/>
        </w:rPr>
        <w:t>Multi-Agent RL (MARL):</w:t>
      </w:r>
      <w:r>
        <w:rPr>
          <w:sz w:val="20"/>
          <w:szCs w:val="20"/>
        </w:rPr>
        <w:t xml:space="preserve"> Facilitates decentralized voltage control, </w:t>
      </w:r>
      <w:r w:rsidR="00B063B1">
        <w:rPr>
          <w:sz w:val="20"/>
          <w:szCs w:val="20"/>
        </w:rPr>
        <w:t>micro-grid</w:t>
      </w:r>
      <w:r>
        <w:rPr>
          <w:sz w:val="20"/>
          <w:szCs w:val="20"/>
        </w:rPr>
        <w:t xml:space="preserve"> restoration, and dynamic reserve allocation in active distribution networks with high Distributed Energy Resource (DER) penetration [4].</w:t>
      </w:r>
    </w:p>
    <w:p w:rsidR="009C6062" w:rsidRDefault="00FE6660">
      <w:pPr>
        <w:pStyle w:val="Ttulo2"/>
      </w:pPr>
      <w:r>
        <w:t>3. Methodological Evolution and Method Comparison</w:t>
      </w:r>
    </w:p>
    <w:p w:rsidR="009C6062" w:rsidRDefault="004A3075">
      <w:pPr>
        <w:pBdr>
          <w:top w:val="nil"/>
          <w:left w:val="nil"/>
          <w:bottom w:val="nil"/>
          <w:right w:val="nil"/>
          <w:between w:val="nil"/>
        </w:pBdr>
        <w:spacing w:after="150"/>
        <w:jc w:val="both"/>
        <w:rPr>
          <w:sz w:val="20"/>
          <w:szCs w:val="20"/>
        </w:rPr>
      </w:pPr>
      <w:r>
        <w:pict w14:anchorId="6CD4172E">
          <v:rect id="_x0000_i1027" style="width:0;height:1.5pt" o:hralign="center" o:hrstd="t" o:hr="t" fillcolor="#a0a0a0" stroked="f"/>
        </w:pict>
      </w:r>
      <w:r w:rsidR="00FE6660">
        <w:rPr>
          <w:sz w:val="20"/>
          <w:szCs w:val="20"/>
        </w:rPr>
        <w:t xml:space="preserve">The progression of reliability methodologies reflects a continuous drive toward balancing computational tractability with modeling fidelity. The transition across technological epochs </w:t>
      </w:r>
      <w:proofErr w:type="gramStart"/>
      <w:r w:rsidR="00FE6660">
        <w:rPr>
          <w:sz w:val="20"/>
          <w:szCs w:val="20"/>
        </w:rPr>
        <w:t>is summarized</w:t>
      </w:r>
      <w:proofErr w:type="gramEnd"/>
      <w:r w:rsidR="00FE6660">
        <w:rPr>
          <w:sz w:val="20"/>
          <w:szCs w:val="20"/>
        </w:rPr>
        <w:t xml:space="preserve"> in Table 1.</w:t>
      </w:r>
    </w:p>
    <w:p w:rsidR="009C6062" w:rsidRDefault="00FE6660">
      <w:pPr>
        <w:pBdr>
          <w:top w:val="nil"/>
          <w:left w:val="nil"/>
          <w:bottom w:val="nil"/>
          <w:right w:val="nil"/>
          <w:between w:val="nil"/>
        </w:pBdr>
        <w:spacing w:after="180"/>
        <w:jc w:val="center"/>
        <w:rPr>
          <w:i/>
          <w:iCs/>
          <w:sz w:val="16"/>
          <w:szCs w:val="16"/>
        </w:rPr>
      </w:pPr>
      <w:r>
        <w:rPr>
          <w:i/>
          <w:iCs/>
          <w:sz w:val="16"/>
          <w:szCs w:val="16"/>
        </w:rPr>
        <w:t>Table 1. Comparative Analysis of Reliability Assessment Paradigms in Power Systems</w:t>
      </w:r>
    </w:p>
    <w:tbl>
      <w:tblPr>
        <w:tblStyle w:val="a"/>
        <w:tblW w:w="9360" w:type="dxa"/>
        <w:tblInd w:w="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1872"/>
        <w:gridCol w:w="1872"/>
        <w:gridCol w:w="1872"/>
        <w:gridCol w:w="1872"/>
        <w:gridCol w:w="1872"/>
      </w:tblGrid>
      <w:tr w:rsidR="009C6062">
        <w:trPr>
          <w:tblHeader/>
        </w:trPr>
        <w:tc>
          <w:tcPr>
            <w:tcW w:w="1872"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Paradigm Period</w:t>
            </w:r>
          </w:p>
        </w:tc>
        <w:tc>
          <w:tcPr>
            <w:tcW w:w="1872"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Dominant Methodologies</w:t>
            </w:r>
          </w:p>
        </w:tc>
        <w:tc>
          <w:tcPr>
            <w:tcW w:w="1872"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Primary Metrics</w:t>
            </w:r>
          </w:p>
        </w:tc>
        <w:tc>
          <w:tcPr>
            <w:tcW w:w="1872"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Key Advantages</w:t>
            </w:r>
          </w:p>
        </w:tc>
        <w:tc>
          <w:tcPr>
            <w:tcW w:w="1872"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Core Limitations</w:t>
            </w:r>
          </w:p>
          <w:p w:rsidR="009C6062" w:rsidRDefault="00FE6660">
            <w:pPr>
              <w:pBdr>
                <w:top w:val="nil"/>
                <w:left w:val="nil"/>
                <w:bottom w:val="nil"/>
                <w:right w:val="nil"/>
                <w:between w:val="nil"/>
              </w:pBdr>
              <w:rPr>
                <w:sz w:val="18"/>
                <w:szCs w:val="18"/>
              </w:rPr>
            </w:pPr>
            <w:r>
              <w:rPr>
                <w:sz w:val="18"/>
                <w:szCs w:val="18"/>
              </w:rPr>
              <w:t xml:space="preserve"> </w:t>
            </w:r>
          </w:p>
        </w:tc>
      </w:tr>
      <w:tr w:rsidR="009C6062">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b/>
                <w:bCs/>
                <w:sz w:val="18"/>
                <w:szCs w:val="18"/>
              </w:rPr>
            </w:pPr>
            <w:r>
              <w:rPr>
                <w:b/>
                <w:bCs/>
                <w:sz w:val="18"/>
                <w:szCs w:val="18"/>
              </w:rPr>
              <w:t>Deterministic Frameworks</w:t>
            </w:r>
          </w:p>
          <w:p w:rsidR="009C6062" w:rsidRDefault="00FE6660">
            <w:pPr>
              <w:pBdr>
                <w:top w:val="nil"/>
                <w:left w:val="nil"/>
                <w:bottom w:val="nil"/>
                <w:right w:val="nil"/>
                <w:between w:val="nil"/>
              </w:pBdr>
              <w:spacing w:before="90" w:after="90"/>
              <w:rPr>
                <w:sz w:val="18"/>
                <w:szCs w:val="18"/>
              </w:rPr>
            </w:pPr>
            <w:r>
              <w:rPr>
                <w:sz w:val="18"/>
                <w:szCs w:val="18"/>
              </w:rPr>
              <w:t>(1950–1990)</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Fixed Reserve Margin, N-1 / N-2 Contingency Rules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Capacity Margin (MW)</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Computationally trivial, transparent rule-based execution</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 xml:space="preserve">Ignores failure probabilities and component </w:t>
            </w:r>
            <w:proofErr w:type="spellStart"/>
            <w:r>
              <w:rPr>
                <w:sz w:val="18"/>
                <w:szCs w:val="18"/>
              </w:rPr>
              <w:t>stochasticity</w:t>
            </w:r>
            <w:proofErr w:type="spellEnd"/>
          </w:p>
        </w:tc>
      </w:tr>
      <w:tr w:rsidR="009C6062">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b/>
                <w:bCs/>
                <w:sz w:val="18"/>
                <w:szCs w:val="18"/>
              </w:rPr>
            </w:pPr>
            <w:r>
              <w:rPr>
                <w:b/>
                <w:bCs/>
                <w:sz w:val="18"/>
                <w:szCs w:val="18"/>
              </w:rPr>
              <w:t>Classical Probabilistic</w:t>
            </w:r>
          </w:p>
          <w:p w:rsidR="009C6062" w:rsidRDefault="00FE6660">
            <w:pPr>
              <w:pBdr>
                <w:top w:val="nil"/>
                <w:left w:val="nil"/>
                <w:bottom w:val="nil"/>
                <w:right w:val="nil"/>
                <w:between w:val="nil"/>
              </w:pBdr>
              <w:spacing w:before="90" w:after="90"/>
              <w:rPr>
                <w:sz w:val="18"/>
                <w:szCs w:val="18"/>
              </w:rPr>
            </w:pPr>
            <w:r>
              <w:rPr>
                <w:sz w:val="18"/>
                <w:szCs w:val="18"/>
              </w:rPr>
              <w:t>(1970–2010)</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Analytical Markov, Non-Sequential MCS, Evolutionary Algorithms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LOLP, LOLE (h/</w:t>
            </w:r>
            <w:proofErr w:type="spellStart"/>
            <w:r>
              <w:rPr>
                <w:sz w:val="18"/>
                <w:szCs w:val="18"/>
              </w:rPr>
              <w:t>yr</w:t>
            </w:r>
            <w:proofErr w:type="spellEnd"/>
            <w:r>
              <w:rPr>
                <w:sz w:val="18"/>
                <w:szCs w:val="18"/>
              </w:rPr>
              <w:t>), EENS (MWh/</w:t>
            </w:r>
            <w:proofErr w:type="spellStart"/>
            <w:r>
              <w:rPr>
                <w:sz w:val="18"/>
                <w:szCs w:val="18"/>
              </w:rPr>
              <w:t>yr</w:t>
            </w:r>
            <w:proofErr w:type="spellEnd"/>
            <w:r>
              <w:rPr>
                <w:sz w:val="18"/>
                <w:szCs w:val="18"/>
              </w:rPr>
              <w:t>)</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Captures asset failure probabilities and stochastic load variation</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High computational burden; struggle with dynamic time-series dynamics</w:t>
            </w:r>
          </w:p>
        </w:tc>
      </w:tr>
      <w:tr w:rsidR="009C6062">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b/>
                <w:bCs/>
                <w:sz w:val="18"/>
                <w:szCs w:val="18"/>
              </w:rPr>
            </w:pPr>
            <w:r>
              <w:rPr>
                <w:b/>
                <w:bCs/>
                <w:sz w:val="18"/>
                <w:szCs w:val="18"/>
              </w:rPr>
              <w:t>Chronological Stochastic</w:t>
            </w:r>
          </w:p>
          <w:p w:rsidR="009C6062" w:rsidRDefault="00FE6660">
            <w:pPr>
              <w:pBdr>
                <w:top w:val="nil"/>
                <w:left w:val="nil"/>
                <w:bottom w:val="nil"/>
                <w:right w:val="nil"/>
                <w:between w:val="nil"/>
              </w:pBdr>
              <w:spacing w:before="90" w:after="90"/>
              <w:rPr>
                <w:sz w:val="18"/>
                <w:szCs w:val="18"/>
              </w:rPr>
            </w:pPr>
            <w:r>
              <w:rPr>
                <w:sz w:val="18"/>
                <w:szCs w:val="18"/>
              </w:rPr>
              <w:t>(1990–Present)</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Sequential Monte Carlo Simulation (SMCS)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LOLE, EENS, Frequency &amp; Duration Indices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High fidelity; captures temporal dependencies and outage distributions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Extremely high computational times on large-scale networks</w:t>
            </w:r>
          </w:p>
        </w:tc>
      </w:tr>
      <w:tr w:rsidR="009C6062">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b/>
                <w:bCs/>
                <w:sz w:val="18"/>
                <w:szCs w:val="18"/>
              </w:rPr>
            </w:pPr>
            <w:r>
              <w:rPr>
                <w:b/>
                <w:bCs/>
                <w:sz w:val="18"/>
                <w:szCs w:val="18"/>
              </w:rPr>
              <w:t>Machine Learning Surrogates</w:t>
            </w:r>
          </w:p>
          <w:p w:rsidR="009C6062" w:rsidRDefault="00FE6660">
            <w:pPr>
              <w:pBdr>
                <w:top w:val="nil"/>
                <w:left w:val="nil"/>
                <w:bottom w:val="nil"/>
                <w:right w:val="nil"/>
                <w:between w:val="nil"/>
              </w:pBdr>
              <w:spacing w:before="90" w:after="90"/>
              <w:rPr>
                <w:sz w:val="18"/>
                <w:szCs w:val="18"/>
              </w:rPr>
            </w:pPr>
            <w:r>
              <w:rPr>
                <w:sz w:val="18"/>
                <w:szCs w:val="18"/>
              </w:rPr>
              <w:t>(2010–Present)</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proofErr w:type="spellStart"/>
            <w:r>
              <w:rPr>
                <w:sz w:val="18"/>
                <w:szCs w:val="18"/>
              </w:rPr>
              <w:t>XGBoost</w:t>
            </w:r>
            <w:proofErr w:type="spellEnd"/>
            <w:r>
              <w:rPr>
                <w:sz w:val="18"/>
                <w:szCs w:val="18"/>
              </w:rPr>
              <w:t>, Random Forest, Deep Learning, DRL, XAI</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Surrogate LOLE/EENS, Failure Risk Scores, Dynamic Reserves</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Near instantaneous evaluation (</w:t>
            </w:r>
            <w:proofErr w:type="spellStart"/>
            <w:r>
              <w:rPr>
                <w:sz w:val="18"/>
                <w:szCs w:val="18"/>
              </w:rPr>
              <w:t>ms</w:t>
            </w:r>
            <w:proofErr w:type="spellEnd"/>
            <w:r>
              <w:rPr>
                <w:sz w:val="18"/>
                <w:szCs w:val="18"/>
              </w:rPr>
              <w:t>); scales efficiently with complex big data</w:t>
            </w:r>
          </w:p>
        </w:tc>
        <w:tc>
          <w:tcPr>
            <w:tcW w:w="1872"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Requires intensive offline training; black-box interpretability concerns</w:t>
            </w:r>
          </w:p>
        </w:tc>
      </w:tr>
    </w:tbl>
    <w:p w:rsidR="009C6062" w:rsidRDefault="00FE6660">
      <w:pPr>
        <w:pBdr>
          <w:top w:val="nil"/>
          <w:left w:val="nil"/>
          <w:bottom w:val="nil"/>
          <w:right w:val="nil"/>
          <w:between w:val="nil"/>
        </w:pBdr>
        <w:spacing w:before="240" w:after="150"/>
        <w:jc w:val="both"/>
        <w:rPr>
          <w:sz w:val="20"/>
          <w:szCs w:val="20"/>
        </w:rPr>
      </w:pPr>
      <w:proofErr w:type="gramStart"/>
      <w:r>
        <w:rPr>
          <w:sz w:val="20"/>
          <w:szCs w:val="20"/>
        </w:rPr>
        <w:t>To further illustrate</w:t>
      </w:r>
      <w:proofErr w:type="gramEnd"/>
      <w:r>
        <w:rPr>
          <w:sz w:val="20"/>
          <w:szCs w:val="20"/>
        </w:rPr>
        <w:t xml:space="preserve"> the temporal transition of evaluation frameworks, the historical evolution is represented below:</w:t>
      </w:r>
    </w:p>
    <w:p w:rsidR="009C6062" w:rsidRDefault="00FE6660" w:rsidP="00FE6660">
      <w:pPr>
        <w:pBdr>
          <w:top w:val="nil"/>
          <w:left w:val="nil"/>
          <w:bottom w:val="nil"/>
          <w:right w:val="nil"/>
          <w:between w:val="nil"/>
        </w:pBdr>
        <w:spacing w:before="150" w:after="330" w:line="288" w:lineRule="auto"/>
        <w:ind w:left="150" w:right="150"/>
        <w:jc w:val="center"/>
        <w:rPr>
          <w:rFonts w:ascii="Courier" w:eastAsia="Courier" w:hAnsi="Courier" w:cs="Courier"/>
          <w:sz w:val="18"/>
          <w:szCs w:val="18"/>
          <w:shd w:val="clear" w:color="auto" w:fill="F4F4F4"/>
        </w:rPr>
      </w:pPr>
      <w:r>
        <w:rPr>
          <w:rFonts w:ascii="Courier" w:eastAsia="Courier" w:hAnsi="Courier" w:cs="Courier"/>
          <w:sz w:val="18"/>
          <w:szCs w:val="18"/>
          <w:shd w:val="clear" w:color="auto" w:fill="F4F4F4"/>
        </w:rPr>
        <w:lastRenderedPageBreak/>
        <w:t>EVOLUTION OF POWER SYSTEM RELIABILITY EVALUATION</w:t>
      </w:r>
      <w:r>
        <w:rPr>
          <w:rFonts w:ascii="Courier" w:eastAsia="Courier" w:hAnsi="Courier" w:cs="Courier"/>
          <w:sz w:val="18"/>
          <w:szCs w:val="18"/>
          <w:shd w:val="clear" w:color="auto" w:fill="F4F4F4"/>
        </w:rPr>
        <w:br/>
        <w:t xml:space="preserve">                      </w:t>
      </w:r>
      <w:r>
        <w:rPr>
          <w:rFonts w:ascii="Courier" w:eastAsia="Courier" w:hAnsi="Courier" w:cs="Courier"/>
          <w:sz w:val="18"/>
          <w:szCs w:val="18"/>
          <w:shd w:val="clear" w:color="auto" w:fill="F4F4F4"/>
        </w:rPr>
        <w:br/>
      </w:r>
      <w:r w:rsidRPr="00677201">
        <w:rPr>
          <w:noProof/>
          <w:sz w:val="24"/>
          <w:szCs w:val="24"/>
        </w:rPr>
        <w:drawing>
          <wp:inline distT="0" distB="0" distL="0" distR="0" wp14:anchorId="126566C7" wp14:editId="57249484">
            <wp:extent cx="5857240" cy="175097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iability_Timeline.png"/>
                    <pic:cNvPicPr/>
                  </pic:nvPicPr>
                  <pic:blipFill>
                    <a:blip r:embed="rId5"/>
                    <a:stretch>
                      <a:fillRect/>
                    </a:stretch>
                  </pic:blipFill>
                  <pic:spPr>
                    <a:xfrm>
                      <a:off x="0" y="0"/>
                      <a:ext cx="5887103" cy="1759906"/>
                    </a:xfrm>
                    <a:prstGeom prst="rect">
                      <a:avLst/>
                    </a:prstGeom>
                  </pic:spPr>
                </pic:pic>
              </a:graphicData>
            </a:graphic>
          </wp:inline>
        </w:drawing>
      </w:r>
    </w:p>
    <w:p w:rsidR="009C6062" w:rsidRDefault="00FE6660">
      <w:pPr>
        <w:pBdr>
          <w:top w:val="nil"/>
          <w:left w:val="nil"/>
          <w:bottom w:val="nil"/>
          <w:right w:val="nil"/>
          <w:between w:val="nil"/>
        </w:pBdr>
        <w:spacing w:after="270"/>
        <w:jc w:val="center"/>
        <w:rPr>
          <w:i/>
          <w:iCs/>
          <w:sz w:val="16"/>
          <w:szCs w:val="16"/>
        </w:rPr>
      </w:pPr>
      <w:r>
        <w:rPr>
          <w:i/>
          <w:iCs/>
          <w:sz w:val="16"/>
          <w:szCs w:val="16"/>
        </w:rPr>
        <w:t xml:space="preserve">Figure 1. Chronological progression of methodologies for </w:t>
      </w:r>
      <w:proofErr w:type="gramStart"/>
      <w:r>
        <w:rPr>
          <w:i/>
          <w:iCs/>
          <w:sz w:val="16"/>
          <w:szCs w:val="16"/>
        </w:rPr>
        <w:t>power system reliability assessment</w:t>
      </w:r>
      <w:proofErr w:type="gramEnd"/>
      <w:r>
        <w:rPr>
          <w:i/>
          <w:iCs/>
          <w:sz w:val="16"/>
          <w:szCs w:val="16"/>
        </w:rPr>
        <w:t>.</w:t>
      </w:r>
    </w:p>
    <w:p w:rsidR="009C6062" w:rsidRDefault="00FE6660">
      <w:pPr>
        <w:pStyle w:val="Ttulo2"/>
        <w:spacing w:before="0"/>
      </w:pPr>
      <w:r>
        <w:t>4. Methodological Gaps in Current Literature</w:t>
      </w:r>
    </w:p>
    <w:p w:rsidR="009C6062" w:rsidRDefault="004A3075">
      <w:pPr>
        <w:pBdr>
          <w:top w:val="nil"/>
          <w:left w:val="nil"/>
          <w:bottom w:val="nil"/>
          <w:right w:val="nil"/>
          <w:between w:val="nil"/>
        </w:pBdr>
        <w:spacing w:after="150"/>
        <w:jc w:val="both"/>
        <w:rPr>
          <w:sz w:val="20"/>
          <w:szCs w:val="20"/>
        </w:rPr>
      </w:pPr>
      <w:r>
        <w:pict>
          <v:rect id="_x0000_i1028" style="width:0;height:1.5pt" o:hralign="center" o:hrstd="t" o:hr="t" fillcolor="#a0a0a0" stroked="f"/>
        </w:pict>
      </w:r>
      <w:r w:rsidR="00FE6660">
        <w:rPr>
          <w:sz w:val="20"/>
          <w:szCs w:val="20"/>
        </w:rPr>
        <w:t>Despite the proliferation of ML applications in power systems literature between 2020 and 2026, critical open challenges remain unaddressed:</w:t>
      </w:r>
    </w:p>
    <w:p w:rsidR="009C6062" w:rsidRDefault="00FE6660">
      <w:pPr>
        <w:numPr>
          <w:ilvl w:val="0"/>
          <w:numId w:val="5"/>
        </w:numPr>
        <w:pBdr>
          <w:top w:val="nil"/>
          <w:left w:val="nil"/>
          <w:bottom w:val="nil"/>
          <w:right w:val="nil"/>
          <w:between w:val="nil"/>
        </w:pBdr>
        <w:jc w:val="both"/>
      </w:pPr>
      <w:r>
        <w:rPr>
          <w:b/>
          <w:bCs/>
          <w:sz w:val="20"/>
          <w:szCs w:val="20"/>
        </w:rPr>
        <w:t>Predominance of Synthetic Test Feeders:</w:t>
      </w:r>
      <w:r>
        <w:rPr>
          <w:sz w:val="20"/>
          <w:szCs w:val="20"/>
        </w:rPr>
        <w:t xml:space="preserve"> The vast majority of published models are validated exclusively on standard IEEE test systems (e.g., IEEE RTS-79, IEEE 24-bus, IEEE 118-bus) under idealized Gaussian noise assumptions, lacking empirical validation on large-scale real-world utility networks [1].</w:t>
      </w:r>
    </w:p>
    <w:p w:rsidR="009C6062" w:rsidRDefault="00FE6660">
      <w:pPr>
        <w:numPr>
          <w:ilvl w:val="0"/>
          <w:numId w:val="5"/>
        </w:numPr>
        <w:pBdr>
          <w:top w:val="nil"/>
          <w:left w:val="nil"/>
          <w:bottom w:val="nil"/>
          <w:right w:val="nil"/>
          <w:between w:val="nil"/>
        </w:pBdr>
        <w:jc w:val="both"/>
      </w:pPr>
      <w:r>
        <w:rPr>
          <w:b/>
          <w:bCs/>
          <w:sz w:val="20"/>
          <w:szCs w:val="20"/>
        </w:rPr>
        <w:t>Decoupling of Operational Control and Explicit Risk Indices:</w:t>
      </w:r>
      <w:r>
        <w:rPr>
          <w:sz w:val="20"/>
          <w:szCs w:val="20"/>
        </w:rPr>
        <w:t xml:space="preserve"> Modern DRL control literature frequently optimizes short-term objective functions (e.g., voltage deviation or instantaneous operating cost) without calculating cumulative probabilistic reliability metrics such as LOLE or EENS [2].</w:t>
      </w:r>
    </w:p>
    <w:p w:rsidR="009C6062" w:rsidRDefault="00FE6660">
      <w:pPr>
        <w:numPr>
          <w:ilvl w:val="0"/>
          <w:numId w:val="5"/>
        </w:numPr>
        <w:pBdr>
          <w:top w:val="nil"/>
          <w:left w:val="nil"/>
          <w:bottom w:val="nil"/>
          <w:right w:val="nil"/>
          <w:between w:val="nil"/>
        </w:pBdr>
        <w:jc w:val="both"/>
      </w:pPr>
      <w:r>
        <w:rPr>
          <w:b/>
          <w:bCs/>
          <w:sz w:val="20"/>
          <w:szCs w:val="20"/>
        </w:rPr>
        <w:t>Opacity and Regulatory Barriers (Black-Box Problem):</w:t>
      </w:r>
      <w:r>
        <w:rPr>
          <w:sz w:val="20"/>
          <w:szCs w:val="20"/>
        </w:rPr>
        <w:t xml:space="preserve"> The deployment of complex deep neural networks or ensemble architectures in system operations is constrained by a lack of model interpretability. System operators require verifiable physical reasoning before executing preventive or corrective actions based on ML predictions [3].</w:t>
      </w:r>
    </w:p>
    <w:p w:rsidR="009C6062" w:rsidRDefault="00FE6660">
      <w:pPr>
        <w:numPr>
          <w:ilvl w:val="0"/>
          <w:numId w:val="5"/>
        </w:numPr>
        <w:pBdr>
          <w:top w:val="nil"/>
          <w:left w:val="nil"/>
          <w:bottom w:val="nil"/>
          <w:right w:val="nil"/>
          <w:between w:val="nil"/>
        </w:pBdr>
        <w:spacing w:after="60"/>
        <w:jc w:val="both"/>
      </w:pPr>
      <w:r>
        <w:rPr>
          <w:b/>
          <w:bCs/>
          <w:sz w:val="20"/>
          <w:szCs w:val="20"/>
        </w:rPr>
        <w:t>Static Failure Rate Assumptions:</w:t>
      </w:r>
      <w:r>
        <w:rPr>
          <w:sz w:val="20"/>
          <w:szCs w:val="20"/>
        </w:rPr>
        <w:t xml:space="preserve"> Conventional ML models assume stationary Forced Outage Rates (FOR), ignoring asset degradation, operational history, and condition-based asset health indicators [4].</w:t>
      </w:r>
    </w:p>
    <w:p w:rsidR="009C6062" w:rsidRDefault="00FE6660">
      <w:pPr>
        <w:pStyle w:val="Ttulo2"/>
      </w:pPr>
      <w:r>
        <w:t>5. Research Roadmap: Dynamic Chronological ML-</w:t>
      </w:r>
      <w:proofErr w:type="spellStart"/>
      <w:r>
        <w:t>PdM</w:t>
      </w:r>
      <w:proofErr w:type="spellEnd"/>
      <w:r>
        <w:t xml:space="preserve"> Framework</w:t>
      </w:r>
    </w:p>
    <w:p w:rsidR="009C6062" w:rsidRDefault="004A3075">
      <w:pPr>
        <w:pBdr>
          <w:top w:val="nil"/>
          <w:left w:val="nil"/>
          <w:bottom w:val="nil"/>
          <w:right w:val="nil"/>
          <w:between w:val="nil"/>
        </w:pBdr>
        <w:spacing w:after="150"/>
        <w:jc w:val="both"/>
        <w:rPr>
          <w:sz w:val="20"/>
          <w:szCs w:val="20"/>
        </w:rPr>
      </w:pPr>
      <w:r>
        <w:pict>
          <v:rect id="_x0000_i1029" style="width:0;height:1.5pt" o:hralign="center" o:hrstd="t" o:hr="t" fillcolor="#a0a0a0" stroked="f"/>
        </w:pict>
      </w:r>
      <w:r w:rsidR="00FE6660">
        <w:rPr>
          <w:sz w:val="20"/>
          <w:szCs w:val="20"/>
        </w:rPr>
        <w:t xml:space="preserve">To overcome the identified literature gaps, a five-phase research roadmap </w:t>
      </w:r>
      <w:proofErr w:type="gramStart"/>
      <w:r w:rsidR="00FE6660">
        <w:rPr>
          <w:sz w:val="20"/>
          <w:szCs w:val="20"/>
        </w:rPr>
        <w:t>is proposed</w:t>
      </w:r>
      <w:proofErr w:type="gramEnd"/>
      <w:r w:rsidR="00FE6660">
        <w:rPr>
          <w:sz w:val="20"/>
          <w:szCs w:val="20"/>
        </w:rPr>
        <w:t>. This structured framework integrates Sequential Monte Carlo Simulation (SMCS) with dynamic asset Predictive Maintenance (</w:t>
      </w:r>
      <w:proofErr w:type="spellStart"/>
      <w:r w:rsidR="00FE6660">
        <w:rPr>
          <w:sz w:val="20"/>
          <w:szCs w:val="20"/>
        </w:rPr>
        <w:t>PdM</w:t>
      </w:r>
      <w:proofErr w:type="spellEnd"/>
      <w:r w:rsidR="00FE6660">
        <w:rPr>
          <w:sz w:val="20"/>
          <w:szCs w:val="20"/>
        </w:rPr>
        <w:t xml:space="preserve">) and ensemble surrogate modeling to achieve </w:t>
      </w:r>
      <w:proofErr w:type="gramStart"/>
      <w:r w:rsidR="00FE6660">
        <w:rPr>
          <w:sz w:val="20"/>
          <w:szCs w:val="20"/>
        </w:rPr>
        <w:t>high-precision</w:t>
      </w:r>
      <w:proofErr w:type="gramEnd"/>
      <w:r w:rsidR="00FE6660">
        <w:rPr>
          <w:sz w:val="20"/>
          <w:szCs w:val="20"/>
        </w:rPr>
        <w:t>, real-time generation adequacy assessment.</w:t>
      </w:r>
    </w:p>
    <w:p w:rsidR="009C6062" w:rsidRDefault="00FE6660">
      <w:pPr>
        <w:pBdr>
          <w:top w:val="nil"/>
          <w:left w:val="nil"/>
          <w:bottom w:val="nil"/>
          <w:right w:val="nil"/>
          <w:between w:val="nil"/>
        </w:pBdr>
        <w:spacing w:after="180"/>
        <w:jc w:val="center"/>
        <w:rPr>
          <w:i/>
          <w:iCs/>
          <w:sz w:val="16"/>
          <w:szCs w:val="16"/>
        </w:rPr>
      </w:pPr>
      <w:r>
        <w:rPr>
          <w:i/>
          <w:iCs/>
          <w:sz w:val="16"/>
          <w:szCs w:val="16"/>
        </w:rPr>
        <w:t>Table 2. Proposed Five-Phase Research Roadmap for Data-Driven Power System Adequacy</w:t>
      </w:r>
    </w:p>
    <w:tbl>
      <w:tblPr>
        <w:tblStyle w:val="a0"/>
        <w:tblW w:w="9360" w:type="dxa"/>
        <w:tblInd w:w="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2340"/>
        <w:gridCol w:w="2340"/>
        <w:gridCol w:w="2340"/>
        <w:gridCol w:w="2340"/>
      </w:tblGrid>
      <w:tr w:rsidR="009C6062">
        <w:trPr>
          <w:tblHeader/>
        </w:trPr>
        <w:tc>
          <w:tcPr>
            <w:tcW w:w="2340"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lastRenderedPageBreak/>
              <w:t>Phase</w:t>
            </w:r>
          </w:p>
        </w:tc>
        <w:tc>
          <w:tcPr>
            <w:tcW w:w="2340"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Technical Milestone</w:t>
            </w:r>
          </w:p>
        </w:tc>
        <w:tc>
          <w:tcPr>
            <w:tcW w:w="2340"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Methodological Details</w:t>
            </w:r>
          </w:p>
        </w:tc>
        <w:tc>
          <w:tcPr>
            <w:tcW w:w="2340" w:type="dxa"/>
            <w:tcBorders>
              <w:top w:val="single" w:sz="6" w:space="0" w:color="1F4E79"/>
              <w:left w:val="single" w:sz="6" w:space="0" w:color="1F4E79"/>
              <w:bottom w:val="single" w:sz="6" w:space="0" w:color="1F4E79"/>
              <w:right w:val="single" w:sz="6" w:space="0" w:color="1F4E79"/>
            </w:tcBorders>
            <w:shd w:val="clear" w:color="auto" w:fill="1F4E79"/>
            <w:tcMar>
              <w:top w:w="120" w:type="dxa"/>
              <w:left w:w="120" w:type="dxa"/>
              <w:bottom w:w="120" w:type="dxa"/>
              <w:right w:w="120" w:type="dxa"/>
            </w:tcMar>
          </w:tcPr>
          <w:p w:rsidR="009C6062" w:rsidRDefault="00FE6660">
            <w:pPr>
              <w:pBdr>
                <w:top w:val="nil"/>
                <w:left w:val="nil"/>
                <w:bottom w:val="nil"/>
                <w:right w:val="nil"/>
                <w:between w:val="nil"/>
              </w:pBdr>
              <w:spacing w:before="120" w:after="120"/>
              <w:rPr>
                <w:b/>
                <w:bCs/>
                <w:color w:val="FFFFFF"/>
                <w:sz w:val="18"/>
                <w:szCs w:val="18"/>
              </w:rPr>
            </w:pPr>
            <w:r>
              <w:rPr>
                <w:b/>
                <w:bCs/>
                <w:color w:val="FFFFFF"/>
                <w:sz w:val="18"/>
                <w:szCs w:val="18"/>
              </w:rPr>
              <w:t>Primary Deliverables</w:t>
            </w:r>
          </w:p>
          <w:p w:rsidR="009C6062" w:rsidRDefault="00FE6660">
            <w:pPr>
              <w:pBdr>
                <w:top w:val="nil"/>
                <w:left w:val="nil"/>
                <w:bottom w:val="nil"/>
                <w:right w:val="nil"/>
                <w:between w:val="nil"/>
              </w:pBdr>
              <w:rPr>
                <w:sz w:val="18"/>
                <w:szCs w:val="18"/>
              </w:rPr>
            </w:pPr>
            <w:r>
              <w:rPr>
                <w:sz w:val="18"/>
                <w:szCs w:val="18"/>
              </w:rPr>
              <w:t xml:space="preserve"> </w:t>
            </w:r>
          </w:p>
        </w:tc>
      </w:tr>
      <w:tr w:rsidR="009C6062">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b/>
                <w:bCs/>
                <w:sz w:val="18"/>
                <w:szCs w:val="18"/>
              </w:rPr>
            </w:pPr>
            <w:r>
              <w:rPr>
                <w:b/>
                <w:bCs/>
                <w:sz w:val="18"/>
                <w:szCs w:val="18"/>
              </w:rPr>
              <w:t>Phase 1</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Chronological SMCS Engine Development</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Transition from static sampling to hourly chronological state simulation using Time-to-Failure (TTF) and Time-to-Repair (TTR) Weibull/Exponential distributions for thermal units.</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sz w:val="18"/>
                <w:szCs w:val="18"/>
              </w:rPr>
            </w:pPr>
            <w:r>
              <w:rPr>
                <w:sz w:val="18"/>
                <w:szCs w:val="18"/>
              </w:rPr>
              <w:t>• High-fidelity SMCS execution engine in Python.</w:t>
            </w:r>
          </w:p>
          <w:p w:rsidR="009C6062" w:rsidRDefault="00FE6660">
            <w:pPr>
              <w:pBdr>
                <w:top w:val="nil"/>
                <w:left w:val="nil"/>
                <w:bottom w:val="nil"/>
                <w:right w:val="nil"/>
                <w:between w:val="nil"/>
              </w:pBdr>
              <w:spacing w:before="90" w:after="90"/>
              <w:rPr>
                <w:sz w:val="18"/>
                <w:szCs w:val="18"/>
              </w:rPr>
            </w:pPr>
            <w:r>
              <w:rPr>
                <w:sz w:val="18"/>
                <w:szCs w:val="18"/>
              </w:rPr>
              <w:t>• Chronological state matrix capturing temporal transitions.</w:t>
            </w:r>
          </w:p>
        </w:tc>
      </w:tr>
      <w:tr w:rsidR="009C6062">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b/>
                <w:bCs/>
                <w:sz w:val="18"/>
                <w:szCs w:val="18"/>
              </w:rPr>
            </w:pPr>
            <w:r>
              <w:rPr>
                <w:b/>
                <w:bCs/>
                <w:sz w:val="18"/>
                <w:szCs w:val="18"/>
              </w:rPr>
              <w:t>Phase 2</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VRE &amp; Load Synchronization</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Integrate wind and solar fleet time series with hourly demand profiles using copula-based stochastic models to capture spatial-temporal correlations.</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sz w:val="18"/>
                <w:szCs w:val="18"/>
              </w:rPr>
            </w:pPr>
            <w:r>
              <w:rPr>
                <w:sz w:val="18"/>
                <w:szCs w:val="18"/>
              </w:rPr>
              <w:t>• Correlated VRE-load synthetic time series.</w:t>
            </w:r>
          </w:p>
          <w:p w:rsidR="009C6062" w:rsidRDefault="00FE6660" w:rsidP="00BA50E0">
            <w:pPr>
              <w:pBdr>
                <w:top w:val="nil"/>
                <w:left w:val="nil"/>
                <w:bottom w:val="nil"/>
                <w:right w:val="nil"/>
                <w:between w:val="nil"/>
              </w:pBdr>
              <w:spacing w:before="90" w:after="90"/>
              <w:rPr>
                <w:sz w:val="18"/>
                <w:szCs w:val="18"/>
              </w:rPr>
            </w:pPr>
            <w:r>
              <w:rPr>
                <w:sz w:val="18"/>
                <w:szCs w:val="18"/>
              </w:rPr>
              <w:t>• Ex</w:t>
            </w:r>
            <w:r w:rsidR="00BA50E0">
              <w:rPr>
                <w:sz w:val="18"/>
                <w:szCs w:val="18"/>
              </w:rPr>
              <w:t xml:space="preserve">panded feature space: </w:t>
            </w:r>
            <w:r w:rsidRPr="00BA50E0">
              <w:rPr>
                <w:b/>
                <w:sz w:val="18"/>
                <w:szCs w:val="18"/>
              </w:rPr>
              <w:t>X</w:t>
            </w:r>
            <w:r w:rsidR="00BA50E0">
              <w:rPr>
                <w:sz w:val="18"/>
                <w:szCs w:val="18"/>
              </w:rPr>
              <w:t xml:space="preserve"> = (</w:t>
            </w:r>
            <w:proofErr w:type="spellStart"/>
            <w:r>
              <w:rPr>
                <w:sz w:val="18"/>
                <w:szCs w:val="18"/>
              </w:rPr>
              <w:t>P</w:t>
            </w:r>
            <w:r w:rsidR="00BA50E0">
              <w:rPr>
                <w:sz w:val="18"/>
                <w:szCs w:val="18"/>
                <w:vertAlign w:val="subscript"/>
              </w:rPr>
              <w:t>th</w:t>
            </w:r>
            <w:proofErr w:type="spellEnd"/>
            <w:r>
              <w:rPr>
                <w:sz w:val="18"/>
                <w:szCs w:val="18"/>
              </w:rPr>
              <w:t>, P</w:t>
            </w:r>
            <w:r w:rsidR="00BA50E0">
              <w:rPr>
                <w:sz w:val="18"/>
                <w:szCs w:val="18"/>
                <w:vertAlign w:val="subscript"/>
              </w:rPr>
              <w:t>VRE</w:t>
            </w:r>
            <w:r>
              <w:rPr>
                <w:sz w:val="18"/>
                <w:szCs w:val="18"/>
              </w:rPr>
              <w:t xml:space="preserve">, </w:t>
            </w:r>
            <w:proofErr w:type="spellStart"/>
            <w:r>
              <w:rPr>
                <w:sz w:val="18"/>
                <w:szCs w:val="18"/>
              </w:rPr>
              <w:t>P</w:t>
            </w:r>
            <w:r w:rsidR="00BA50E0">
              <w:rPr>
                <w:sz w:val="18"/>
                <w:szCs w:val="18"/>
                <w:vertAlign w:val="subscript"/>
              </w:rPr>
              <w:t>load</w:t>
            </w:r>
            <w:proofErr w:type="spellEnd"/>
            <w:r w:rsidR="00BA50E0">
              <w:rPr>
                <w:sz w:val="18"/>
                <w:szCs w:val="18"/>
              </w:rPr>
              <w:t xml:space="preserve">, </w:t>
            </w:r>
            <w:r w:rsidR="00BA50E0" w:rsidRPr="00BA50E0">
              <w:rPr>
                <w:b/>
                <w:sz w:val="18"/>
                <w:szCs w:val="18"/>
              </w:rPr>
              <w:t>Time</w:t>
            </w:r>
            <w:r>
              <w:rPr>
                <w:sz w:val="18"/>
                <w:szCs w:val="18"/>
              </w:rPr>
              <w:t>).</w:t>
            </w:r>
          </w:p>
        </w:tc>
      </w:tr>
      <w:tr w:rsidR="009C6062">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b/>
                <w:bCs/>
                <w:sz w:val="18"/>
                <w:szCs w:val="18"/>
              </w:rPr>
            </w:pPr>
            <w:r>
              <w:rPr>
                <w:b/>
                <w:bCs/>
                <w:sz w:val="18"/>
                <w:szCs w:val="18"/>
              </w:rPr>
              <w:t>Phase 3</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Condition-Based Predictive Maintenance</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rsidP="00372882">
            <w:pPr>
              <w:pBdr>
                <w:top w:val="nil"/>
                <w:left w:val="nil"/>
                <w:bottom w:val="nil"/>
                <w:right w:val="nil"/>
                <w:between w:val="nil"/>
              </w:pBdr>
              <w:spacing w:before="90" w:after="90"/>
              <w:rPr>
                <w:sz w:val="18"/>
                <w:szCs w:val="18"/>
              </w:rPr>
            </w:pPr>
            <w:r>
              <w:rPr>
                <w:sz w:val="18"/>
                <w:szCs w:val="18"/>
              </w:rPr>
              <w:t>Replace static Forced Outage Rates (FOR) with dyna</w:t>
            </w:r>
            <w:r w:rsidR="00372882">
              <w:rPr>
                <w:sz w:val="18"/>
                <w:szCs w:val="18"/>
              </w:rPr>
              <w:t xml:space="preserve">mic health-index availability </w:t>
            </w:r>
            <w:r>
              <w:rPr>
                <w:sz w:val="18"/>
                <w:szCs w:val="18"/>
              </w:rPr>
              <w:t>(</w:t>
            </w:r>
            <w:proofErr w:type="spellStart"/>
            <w:r>
              <w:rPr>
                <w:sz w:val="18"/>
                <w:szCs w:val="18"/>
              </w:rPr>
              <w:t>C</w:t>
            </w:r>
            <w:r w:rsidR="00372882">
              <w:rPr>
                <w:sz w:val="18"/>
                <w:szCs w:val="18"/>
                <w:vertAlign w:val="subscript"/>
              </w:rPr>
              <w:t>disp</w:t>
            </w:r>
            <w:proofErr w:type="spellEnd"/>
            <w:r w:rsidR="00372882">
              <w:rPr>
                <w:sz w:val="18"/>
                <w:szCs w:val="18"/>
              </w:rPr>
              <w:t>, t</w:t>
            </w:r>
            <w:r>
              <w:rPr>
                <w:sz w:val="18"/>
                <w:szCs w:val="18"/>
              </w:rPr>
              <w:t>) derived from Cox Proportional Hazards and Random Survival Forests.</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sz w:val="18"/>
                <w:szCs w:val="18"/>
              </w:rPr>
            </w:pPr>
            <w:r>
              <w:rPr>
                <w:sz w:val="18"/>
                <w:szCs w:val="18"/>
              </w:rPr>
              <w:t>• Dynamic availability adjustment algorithm.</w:t>
            </w:r>
          </w:p>
          <w:p w:rsidR="009C6062" w:rsidRDefault="00FE6660">
            <w:pPr>
              <w:pBdr>
                <w:top w:val="nil"/>
                <w:left w:val="nil"/>
                <w:bottom w:val="nil"/>
                <w:right w:val="nil"/>
                <w:between w:val="nil"/>
              </w:pBdr>
              <w:spacing w:before="90" w:after="90"/>
              <w:rPr>
                <w:sz w:val="18"/>
                <w:szCs w:val="18"/>
              </w:rPr>
            </w:pPr>
            <w:r>
              <w:rPr>
                <w:sz w:val="18"/>
                <w:szCs w:val="18"/>
              </w:rPr>
              <w:t>• Health-index-driven maintenance rescheduling framework.</w:t>
            </w:r>
          </w:p>
        </w:tc>
      </w:tr>
      <w:tr w:rsidR="009C6062">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b/>
                <w:bCs/>
                <w:sz w:val="18"/>
                <w:szCs w:val="18"/>
              </w:rPr>
            </w:pPr>
            <w:r>
              <w:rPr>
                <w:b/>
                <w:bCs/>
                <w:sz w:val="18"/>
                <w:szCs w:val="18"/>
              </w:rPr>
              <w:t>Phase 4</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Ensemble Surrogate Retraining</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 xml:space="preserve">Train </w:t>
            </w:r>
            <w:proofErr w:type="spellStart"/>
            <w:r>
              <w:rPr>
                <w:sz w:val="18"/>
                <w:szCs w:val="18"/>
              </w:rPr>
              <w:t>XGBoost</w:t>
            </w:r>
            <w:proofErr w:type="spellEnd"/>
            <w:r>
              <w:rPr>
                <w:sz w:val="18"/>
                <w:szCs w:val="18"/>
              </w:rPr>
              <w:t xml:space="preserve">, </w:t>
            </w:r>
            <w:proofErr w:type="spellStart"/>
            <w:r>
              <w:rPr>
                <w:sz w:val="18"/>
                <w:szCs w:val="18"/>
              </w:rPr>
              <w:t>LightGBM</w:t>
            </w:r>
            <w:proofErr w:type="spellEnd"/>
            <w:r>
              <w:rPr>
                <w:sz w:val="18"/>
                <w:szCs w:val="18"/>
              </w:rPr>
              <w:t>, and Random Forest surrogate classifiers (LOLP) and regressors (EENS) on chronological datasets using blocked time-series cross-validation.</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sz w:val="18"/>
                <w:szCs w:val="18"/>
              </w:rPr>
            </w:pPr>
            <w:r>
              <w:rPr>
                <w:sz w:val="18"/>
                <w:szCs w:val="18"/>
              </w:rPr>
              <w:t>• High-speed surrogate model library.</w:t>
            </w:r>
          </w:p>
          <w:p w:rsidR="009C6062" w:rsidRDefault="00FE6660">
            <w:pPr>
              <w:pBdr>
                <w:top w:val="nil"/>
                <w:left w:val="nil"/>
                <w:bottom w:val="nil"/>
                <w:right w:val="nil"/>
                <w:between w:val="nil"/>
              </w:pBdr>
              <w:spacing w:before="90" w:after="90"/>
              <w:rPr>
                <w:sz w:val="18"/>
                <w:szCs w:val="18"/>
              </w:rPr>
            </w:pPr>
            <w:r>
              <w:rPr>
                <w:sz w:val="18"/>
                <w:szCs w:val="18"/>
              </w:rPr>
              <w:t>• Computational acceleration (&gt;100x speedup vs. SMCS) with high accuracy.</w:t>
            </w:r>
          </w:p>
        </w:tc>
      </w:tr>
      <w:tr w:rsidR="009C6062">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b/>
                <w:bCs/>
                <w:sz w:val="18"/>
                <w:szCs w:val="18"/>
              </w:rPr>
            </w:pPr>
            <w:r>
              <w:rPr>
                <w:b/>
                <w:bCs/>
                <w:sz w:val="18"/>
                <w:szCs w:val="18"/>
              </w:rPr>
              <w:t>Phase 5</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Journal Publication &amp; Open Repository</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spacing w:before="90" w:after="90"/>
              <w:rPr>
                <w:sz w:val="18"/>
                <w:szCs w:val="18"/>
              </w:rPr>
            </w:pPr>
            <w:r>
              <w:rPr>
                <w:sz w:val="18"/>
                <w:szCs w:val="18"/>
              </w:rPr>
              <w:t>Perform comprehensive benchmarking against standard SMCS baselines, evaluate dynamic reserve cost benefits, and apply SHAP (</w:t>
            </w:r>
            <w:proofErr w:type="spellStart"/>
            <w:r>
              <w:rPr>
                <w:sz w:val="18"/>
                <w:szCs w:val="18"/>
              </w:rPr>
              <w:t>SHapley</w:t>
            </w:r>
            <w:proofErr w:type="spellEnd"/>
            <w:r>
              <w:rPr>
                <w:sz w:val="18"/>
                <w:szCs w:val="18"/>
              </w:rPr>
              <w:t xml:space="preserve"> Additive </w:t>
            </w:r>
            <w:proofErr w:type="spellStart"/>
            <w:r>
              <w:rPr>
                <w:sz w:val="18"/>
                <w:szCs w:val="18"/>
              </w:rPr>
              <w:t>exPlanations</w:t>
            </w:r>
            <w:proofErr w:type="spellEnd"/>
            <w:r>
              <w:rPr>
                <w:sz w:val="18"/>
                <w:szCs w:val="18"/>
              </w:rPr>
              <w:t xml:space="preserve">) for model </w:t>
            </w:r>
            <w:r>
              <w:rPr>
                <w:sz w:val="18"/>
                <w:szCs w:val="18"/>
              </w:rPr>
              <w:lastRenderedPageBreak/>
              <w:t>interpretability.</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90" w:type="dxa"/>
              <w:left w:w="120" w:type="dxa"/>
              <w:bottom w:w="90" w:type="dxa"/>
              <w:right w:w="120" w:type="dxa"/>
            </w:tcMar>
          </w:tcPr>
          <w:p w:rsidR="009C6062" w:rsidRDefault="00FE6660">
            <w:pPr>
              <w:pBdr>
                <w:top w:val="nil"/>
                <w:left w:val="nil"/>
                <w:bottom w:val="nil"/>
                <w:right w:val="nil"/>
                <w:between w:val="nil"/>
              </w:pBdr>
              <w:rPr>
                <w:sz w:val="18"/>
                <w:szCs w:val="18"/>
              </w:rPr>
            </w:pPr>
            <w:r>
              <w:rPr>
                <w:sz w:val="18"/>
                <w:szCs w:val="18"/>
              </w:rPr>
              <w:lastRenderedPageBreak/>
              <w:t>• Peer-reviewed research article.</w:t>
            </w:r>
          </w:p>
          <w:p w:rsidR="009C6062" w:rsidRDefault="00FE6660">
            <w:pPr>
              <w:pBdr>
                <w:top w:val="nil"/>
                <w:left w:val="nil"/>
                <w:bottom w:val="nil"/>
                <w:right w:val="nil"/>
                <w:between w:val="nil"/>
              </w:pBdr>
              <w:spacing w:before="90" w:after="90"/>
              <w:rPr>
                <w:sz w:val="18"/>
                <w:szCs w:val="18"/>
              </w:rPr>
            </w:pPr>
            <w:r>
              <w:rPr>
                <w:sz w:val="18"/>
                <w:szCs w:val="18"/>
              </w:rPr>
              <w:t>• Open-source Python codebase and dataset repository.</w:t>
            </w:r>
          </w:p>
        </w:tc>
      </w:tr>
    </w:tbl>
    <w:p w:rsidR="009C6062" w:rsidRDefault="00FE6660">
      <w:pPr>
        <w:pStyle w:val="Ttulo2"/>
      </w:pPr>
      <w:r>
        <w:t>6. Conclusions</w:t>
      </w:r>
    </w:p>
    <w:p w:rsidR="009C6062" w:rsidRDefault="004A3075">
      <w:pPr>
        <w:pBdr>
          <w:top w:val="nil"/>
          <w:left w:val="nil"/>
          <w:bottom w:val="nil"/>
          <w:right w:val="nil"/>
          <w:between w:val="nil"/>
        </w:pBdr>
        <w:spacing w:after="270"/>
        <w:jc w:val="both"/>
        <w:rPr>
          <w:sz w:val="20"/>
          <w:szCs w:val="20"/>
        </w:rPr>
      </w:pPr>
      <w:r>
        <w:pict>
          <v:rect id="_x0000_i1030" style="width:0;height:1.5pt" o:hralign="center" o:hrstd="t" o:hr="t" fillcolor="#a0a0a0" stroked="f"/>
        </w:pict>
      </w:r>
      <w:r w:rsidR="00FE6660">
        <w:rPr>
          <w:sz w:val="20"/>
          <w:szCs w:val="20"/>
        </w:rPr>
        <w:t xml:space="preserve">Machine Learning techniques represent a transformative advancement in electric power energy systems reliability evaluation, offering unprecedented computational acceleration without compromising probabilistic rigor. While supervised ensemble models effectively serve as surrogates for LOLE and EENS estimation, future industry adoption relies on resolving key challenges surrounding model interpretability, dynamic asset degradation modeling, and real-world grid implementation. The proposed five-phase roadmap establishes a systematic pathway toward bridging these technical gaps, enabling dynamic, data-driven adequacy assessment for </w:t>
      </w:r>
      <w:r w:rsidR="00FC3D5C">
        <w:rPr>
          <w:sz w:val="20"/>
          <w:szCs w:val="20"/>
        </w:rPr>
        <w:t>renewable</w:t>
      </w:r>
      <w:r w:rsidR="00FE6660">
        <w:rPr>
          <w:sz w:val="20"/>
          <w:szCs w:val="20"/>
        </w:rPr>
        <w:t xml:space="preserve"> modern power grids.</w:t>
      </w:r>
    </w:p>
    <w:p w:rsidR="009C6062" w:rsidRDefault="00FE6660">
      <w:pPr>
        <w:pStyle w:val="Ttulo2"/>
        <w:spacing w:before="0"/>
      </w:pPr>
      <w:r>
        <w:t>References</w:t>
      </w:r>
    </w:p>
    <w:p w:rsidR="009C6062" w:rsidRDefault="004A3075">
      <w:pPr>
        <w:numPr>
          <w:ilvl w:val="0"/>
          <w:numId w:val="6"/>
        </w:numPr>
        <w:pBdr>
          <w:top w:val="nil"/>
          <w:left w:val="nil"/>
          <w:bottom w:val="nil"/>
          <w:right w:val="nil"/>
          <w:between w:val="nil"/>
        </w:pBdr>
        <w:jc w:val="both"/>
      </w:pPr>
      <w:r>
        <w:pict>
          <v:rect id="_x0000_i1031" style="width:0;height:1.5pt" o:hralign="center" o:hrstd="t" o:hr="t" fillcolor="#a0a0a0" stroked="f"/>
        </w:pict>
      </w:r>
      <w:r w:rsidR="00FE6660">
        <w:rPr>
          <w:sz w:val="20"/>
          <w:szCs w:val="20"/>
        </w:rPr>
        <w:t>[1] M. Célleri-</w:t>
      </w:r>
      <w:proofErr w:type="spellStart"/>
      <w:r w:rsidR="00FE6660">
        <w:rPr>
          <w:sz w:val="20"/>
          <w:szCs w:val="20"/>
        </w:rPr>
        <w:t>Mujica</w:t>
      </w:r>
      <w:proofErr w:type="spellEnd"/>
      <w:r w:rsidR="00FE6660">
        <w:rPr>
          <w:sz w:val="20"/>
          <w:szCs w:val="20"/>
        </w:rPr>
        <w:t xml:space="preserve"> and M. </w:t>
      </w:r>
      <w:proofErr w:type="spellStart"/>
      <w:r w:rsidR="00FE6660">
        <w:rPr>
          <w:sz w:val="20"/>
          <w:szCs w:val="20"/>
        </w:rPr>
        <w:t>Álvarez</w:t>
      </w:r>
      <w:proofErr w:type="spellEnd"/>
      <w:r w:rsidR="00FE6660">
        <w:rPr>
          <w:sz w:val="20"/>
          <w:szCs w:val="20"/>
        </w:rPr>
        <w:t xml:space="preserve">-Alvarado, "A data-driven approach for generation adequacy assessment using supervised machine learning with renewables and predictive maintenance," </w:t>
      </w:r>
      <w:r w:rsidR="00FE6660">
        <w:rPr>
          <w:i/>
          <w:iCs/>
          <w:sz w:val="20"/>
          <w:szCs w:val="20"/>
        </w:rPr>
        <w:t>FIEC Doctoral Symposium</w:t>
      </w:r>
      <w:r w:rsidR="00ED5F17">
        <w:rPr>
          <w:sz w:val="20"/>
          <w:szCs w:val="20"/>
        </w:rPr>
        <w:t>, ESPOL, 2025</w:t>
      </w:r>
      <w:r w:rsidR="00FE6660">
        <w:rPr>
          <w:sz w:val="20"/>
          <w:szCs w:val="20"/>
        </w:rPr>
        <w:t>.</w:t>
      </w:r>
    </w:p>
    <w:p w:rsidR="009C6062" w:rsidRDefault="00FE6660">
      <w:pPr>
        <w:numPr>
          <w:ilvl w:val="0"/>
          <w:numId w:val="6"/>
        </w:numPr>
        <w:pBdr>
          <w:top w:val="nil"/>
          <w:left w:val="nil"/>
          <w:bottom w:val="nil"/>
          <w:right w:val="nil"/>
          <w:between w:val="nil"/>
        </w:pBdr>
        <w:jc w:val="both"/>
      </w:pPr>
      <w:r>
        <w:rPr>
          <w:sz w:val="20"/>
          <w:szCs w:val="20"/>
        </w:rPr>
        <w:t xml:space="preserve">[2] A. </w:t>
      </w:r>
      <w:proofErr w:type="spellStart"/>
      <w:r>
        <w:rPr>
          <w:sz w:val="20"/>
          <w:szCs w:val="20"/>
        </w:rPr>
        <w:t>Adriansyah</w:t>
      </w:r>
      <w:proofErr w:type="spellEnd"/>
      <w:r>
        <w:rPr>
          <w:sz w:val="20"/>
          <w:szCs w:val="20"/>
        </w:rPr>
        <w:t xml:space="preserve">, Y. </w:t>
      </w:r>
      <w:proofErr w:type="spellStart"/>
      <w:r>
        <w:rPr>
          <w:sz w:val="20"/>
          <w:szCs w:val="20"/>
        </w:rPr>
        <w:t>Gunardi</w:t>
      </w:r>
      <w:proofErr w:type="spellEnd"/>
      <w:r>
        <w:rPr>
          <w:sz w:val="20"/>
          <w:szCs w:val="20"/>
        </w:rPr>
        <w:t xml:space="preserve">, and A. Andi, "Guideline and formatting for power engineering publications," </w:t>
      </w:r>
      <w:r>
        <w:rPr>
          <w:i/>
          <w:iCs/>
          <w:sz w:val="20"/>
          <w:szCs w:val="20"/>
        </w:rPr>
        <w:t>SINERGI</w:t>
      </w:r>
      <w:r>
        <w:rPr>
          <w:sz w:val="20"/>
          <w:szCs w:val="20"/>
        </w:rPr>
        <w:t>, vol. 27, no. 2, pp. 105–112, 2023.</w:t>
      </w:r>
    </w:p>
    <w:p w:rsidR="009C6062" w:rsidRDefault="00FE6660">
      <w:pPr>
        <w:numPr>
          <w:ilvl w:val="0"/>
          <w:numId w:val="6"/>
        </w:numPr>
        <w:pBdr>
          <w:top w:val="nil"/>
          <w:left w:val="nil"/>
          <w:bottom w:val="nil"/>
          <w:right w:val="nil"/>
          <w:between w:val="nil"/>
        </w:pBdr>
        <w:jc w:val="both"/>
      </w:pPr>
      <w:r>
        <w:rPr>
          <w:sz w:val="20"/>
          <w:szCs w:val="20"/>
        </w:rPr>
        <w:t xml:space="preserve">[3] IEEE Power &amp; Energy Society, "IEEE Reliability Test System: Composition and operational parameters for adequacy evaluation," </w:t>
      </w:r>
      <w:r>
        <w:rPr>
          <w:i/>
          <w:iCs/>
          <w:sz w:val="20"/>
          <w:szCs w:val="20"/>
        </w:rPr>
        <w:t>IEEE Transactions on Power Systems</w:t>
      </w:r>
      <w:r>
        <w:rPr>
          <w:sz w:val="20"/>
          <w:szCs w:val="20"/>
        </w:rPr>
        <w:t>, vol. 34, no. 3, pp. 2012–2020, 2019.</w:t>
      </w:r>
    </w:p>
    <w:p w:rsidR="009C6062" w:rsidRDefault="00FE6660">
      <w:pPr>
        <w:numPr>
          <w:ilvl w:val="0"/>
          <w:numId w:val="6"/>
        </w:numPr>
        <w:pBdr>
          <w:top w:val="nil"/>
          <w:left w:val="nil"/>
          <w:bottom w:val="nil"/>
          <w:right w:val="nil"/>
          <w:between w:val="nil"/>
        </w:pBdr>
        <w:jc w:val="both"/>
      </w:pPr>
      <w:r>
        <w:rPr>
          <w:sz w:val="20"/>
          <w:szCs w:val="20"/>
        </w:rPr>
        <w:t xml:space="preserve">[4] R. </w:t>
      </w:r>
      <w:proofErr w:type="spellStart"/>
      <w:r>
        <w:rPr>
          <w:sz w:val="20"/>
          <w:szCs w:val="20"/>
        </w:rPr>
        <w:t>Billinton</w:t>
      </w:r>
      <w:proofErr w:type="spellEnd"/>
      <w:r>
        <w:rPr>
          <w:sz w:val="20"/>
          <w:szCs w:val="20"/>
        </w:rPr>
        <w:t xml:space="preserve"> and R. N. Allan, </w:t>
      </w:r>
      <w:r>
        <w:rPr>
          <w:i/>
          <w:iCs/>
          <w:sz w:val="20"/>
          <w:szCs w:val="20"/>
        </w:rPr>
        <w:t>Reliability Evaluation of Power Systems</w:t>
      </w:r>
      <w:r>
        <w:rPr>
          <w:sz w:val="20"/>
          <w:szCs w:val="20"/>
        </w:rPr>
        <w:t xml:space="preserve">, 2nd </w:t>
      </w:r>
      <w:proofErr w:type="gramStart"/>
      <w:r>
        <w:rPr>
          <w:sz w:val="20"/>
          <w:szCs w:val="20"/>
        </w:rPr>
        <w:t>ed</w:t>
      </w:r>
      <w:proofErr w:type="gramEnd"/>
      <w:r>
        <w:rPr>
          <w:sz w:val="20"/>
          <w:szCs w:val="20"/>
        </w:rPr>
        <w:t>. New York: Plenum Press, 1996.</w:t>
      </w:r>
    </w:p>
    <w:p w:rsidR="009C6062" w:rsidRDefault="00FE6660">
      <w:pPr>
        <w:numPr>
          <w:ilvl w:val="0"/>
          <w:numId w:val="6"/>
        </w:numPr>
        <w:pBdr>
          <w:top w:val="nil"/>
          <w:left w:val="nil"/>
          <w:bottom w:val="nil"/>
          <w:right w:val="nil"/>
          <w:between w:val="nil"/>
        </w:pBdr>
        <w:spacing w:after="60"/>
        <w:jc w:val="both"/>
      </w:pPr>
      <w:r>
        <w:rPr>
          <w:sz w:val="20"/>
          <w:szCs w:val="20"/>
        </w:rPr>
        <w:t xml:space="preserve">[5] M. </w:t>
      </w:r>
      <w:proofErr w:type="spellStart"/>
      <w:r>
        <w:rPr>
          <w:sz w:val="20"/>
          <w:szCs w:val="20"/>
        </w:rPr>
        <w:t>Álvarez</w:t>
      </w:r>
      <w:proofErr w:type="spellEnd"/>
      <w:r>
        <w:rPr>
          <w:sz w:val="20"/>
          <w:szCs w:val="20"/>
        </w:rPr>
        <w:t xml:space="preserve">-Alvarado and D. A. </w:t>
      </w:r>
      <w:proofErr w:type="spellStart"/>
      <w:r>
        <w:rPr>
          <w:sz w:val="20"/>
          <w:szCs w:val="20"/>
        </w:rPr>
        <w:t>Jelavic</w:t>
      </w:r>
      <w:proofErr w:type="spellEnd"/>
      <w:r>
        <w:rPr>
          <w:sz w:val="20"/>
          <w:szCs w:val="20"/>
        </w:rPr>
        <w:t xml:space="preserve">, "Stochastic modeling of renewable energy integration in modern generation adequacy assessment," </w:t>
      </w:r>
      <w:r>
        <w:rPr>
          <w:i/>
          <w:iCs/>
          <w:sz w:val="20"/>
          <w:szCs w:val="20"/>
        </w:rPr>
        <w:t>Electric Power Systems Research</w:t>
      </w:r>
      <w:r>
        <w:rPr>
          <w:sz w:val="20"/>
          <w:szCs w:val="20"/>
        </w:rPr>
        <w:t>, vol. 190, p. 106840, 2021.</w:t>
      </w:r>
    </w:p>
    <w:sectPr w:rsidR="009C606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CD22BE-3AAC-4E26-901A-E700F5DDF68B}"/>
  </w:font>
  <w:font w:name="Cambria Math">
    <w:panose1 w:val="02040503050406030204"/>
    <w:charset w:val="00"/>
    <w:family w:val="roman"/>
    <w:pitch w:val="variable"/>
    <w:sig w:usb0="E00006FF" w:usb1="420024FF" w:usb2="02000000" w:usb3="00000000" w:csb0="0000019F" w:csb1="00000000"/>
    <w:embedItalic r:id="rId2" w:fontKey="{F16C94B8-AA7A-41F9-A858-27B74C25467F}"/>
  </w:font>
  <w:font w:name="Courier">
    <w:panose1 w:val="02070409020205020404"/>
    <w:charset w:val="00"/>
    <w:family w:val="auto"/>
    <w:pitch w:val="default"/>
  </w:font>
  <w:font w:name="Calibri">
    <w:panose1 w:val="020F0502020204030204"/>
    <w:charset w:val="00"/>
    <w:family w:val="swiss"/>
    <w:pitch w:val="variable"/>
    <w:sig w:usb0="E4002EFF" w:usb1="C000247B" w:usb2="00000009" w:usb3="00000000" w:csb0="000001FF" w:csb1="00000000"/>
    <w:embedRegular r:id="rId3" w:fontKey="{4F368539-852E-41F2-A763-2584539B9326}"/>
  </w:font>
  <w:font w:name="Cambria">
    <w:panose1 w:val="02040503050406030204"/>
    <w:charset w:val="00"/>
    <w:family w:val="roman"/>
    <w:pitch w:val="variable"/>
    <w:sig w:usb0="E00006FF" w:usb1="420024FF" w:usb2="02000000" w:usb3="00000000" w:csb0="0000019F" w:csb1="00000000"/>
    <w:embedRegular r:id="rId4" w:fontKey="{AC53B98A-8D1A-4935-945E-CE02F822599F}"/>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D6D93"/>
    <w:multiLevelType w:val="multilevel"/>
    <w:tmpl w:val="CBE47F30"/>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2653305"/>
    <w:multiLevelType w:val="multilevel"/>
    <w:tmpl w:val="161CAA1E"/>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5310417A"/>
    <w:multiLevelType w:val="multilevel"/>
    <w:tmpl w:val="6C72B4AC"/>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62053543"/>
    <w:multiLevelType w:val="multilevel"/>
    <w:tmpl w:val="1C068F0A"/>
    <w:lvl w:ilvl="0">
      <w:start w:val="1"/>
      <w:numFmt w:val="decimal"/>
      <w:lvlText w:val="%1."/>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603537D"/>
    <w:multiLevelType w:val="multilevel"/>
    <w:tmpl w:val="63425534"/>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79A318C"/>
    <w:multiLevelType w:val="multilevel"/>
    <w:tmpl w:val="2DC078D4"/>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62"/>
    <w:rsid w:val="00187F1D"/>
    <w:rsid w:val="00226D01"/>
    <w:rsid w:val="00372882"/>
    <w:rsid w:val="00453093"/>
    <w:rsid w:val="004673C6"/>
    <w:rsid w:val="004A3075"/>
    <w:rsid w:val="004B7DD3"/>
    <w:rsid w:val="005E69D5"/>
    <w:rsid w:val="006E165F"/>
    <w:rsid w:val="00952FCF"/>
    <w:rsid w:val="009C6062"/>
    <w:rsid w:val="00B063B1"/>
    <w:rsid w:val="00BA50E0"/>
    <w:rsid w:val="00DB2302"/>
    <w:rsid w:val="00EC5193"/>
    <w:rsid w:val="00ED5F17"/>
    <w:rsid w:val="00FC3D5C"/>
    <w:rsid w:val="00FE6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D2FF"/>
  <w15:docId w15:val="{91FFE8CF-6944-4C03-9A76-65306E4B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spacing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pBdr>
        <w:top w:val="nil"/>
        <w:left w:val="nil"/>
        <w:bottom w:val="nil"/>
        <w:right w:val="nil"/>
        <w:between w:val="nil"/>
      </w:pBdr>
      <w:spacing w:before="240" w:after="180"/>
      <w:jc w:val="center"/>
      <w:outlineLvl w:val="0"/>
    </w:pPr>
    <w:rPr>
      <w:b/>
      <w:bCs/>
      <w:color w:val="1F4E79"/>
      <w:sz w:val="36"/>
      <w:szCs w:val="36"/>
    </w:rPr>
  </w:style>
  <w:style w:type="paragraph" w:styleId="Ttulo2">
    <w:name w:val="heading 2"/>
    <w:basedOn w:val="Normal"/>
    <w:next w:val="Normal"/>
    <w:pPr>
      <w:pBdr>
        <w:top w:val="nil"/>
        <w:left w:val="nil"/>
        <w:bottom w:val="nil"/>
        <w:right w:val="nil"/>
        <w:between w:val="nil"/>
      </w:pBdr>
      <w:spacing w:before="270" w:after="165"/>
      <w:outlineLvl w:val="1"/>
    </w:pPr>
    <w:rPr>
      <w:b/>
      <w:bCs/>
      <w:color w:val="1F4E79"/>
      <w:sz w:val="24"/>
      <w:szCs w:val="24"/>
    </w:rPr>
  </w:style>
  <w:style w:type="paragraph" w:styleId="Ttulo3">
    <w:name w:val="heading 3"/>
    <w:basedOn w:val="Normal"/>
    <w:next w:val="Normal"/>
    <w:pPr>
      <w:pBdr>
        <w:top w:val="nil"/>
        <w:left w:val="nil"/>
        <w:bottom w:val="nil"/>
        <w:right w:val="nil"/>
        <w:between w:val="nil"/>
      </w:pBdr>
      <w:spacing w:before="180" w:after="90"/>
      <w:outlineLvl w:val="2"/>
    </w:pPr>
    <w:rPr>
      <w:b/>
      <w:bCs/>
      <w:color w:val="262626"/>
      <w:sz w:val="20"/>
      <w:szCs w:val="20"/>
    </w:rPr>
  </w:style>
  <w:style w:type="paragraph" w:styleId="Ttulo4">
    <w:name w:val="heading 4"/>
    <w:basedOn w:val="Normal"/>
    <w:next w:val="Normal"/>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2042</Words>
  <Characters>11645</Characters>
  <Application>Microsoft Office Word</Application>
  <DocSecurity>0</DocSecurity>
  <Lines>97</Lines>
  <Paragraphs>27</Paragraphs>
  <ScaleCrop>false</ScaleCrop>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academico</cp:lastModifiedBy>
  <cp:revision>20</cp:revision>
  <dcterms:created xsi:type="dcterms:W3CDTF">2026-08-08T18:31:00Z</dcterms:created>
  <dcterms:modified xsi:type="dcterms:W3CDTF">2026-08-15T16:22:00Z</dcterms:modified>
</cp:coreProperties>
</file>