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C084B5" w14:textId="6A307BBB" w:rsidR="001348A0" w:rsidRPr="006003EA" w:rsidRDefault="001348A0" w:rsidP="001348A0">
      <w:pPr>
        <w:pStyle w:val="Captulo"/>
        <w:rPr>
          <w:color w:val="000000" w:themeColor="text1"/>
        </w:rPr>
      </w:pPr>
      <w:r w:rsidRPr="006003EA">
        <w:rPr>
          <w:color w:val="000000" w:themeColor="text1"/>
        </w:rPr>
        <w:t>Capítulo XXX</w:t>
      </w:r>
    </w:p>
    <w:p w14:paraId="53F485B9" w14:textId="106708A8" w:rsidR="0015066B" w:rsidRPr="006003EA" w:rsidRDefault="00D03221" w:rsidP="0015066B">
      <w:pPr>
        <w:pStyle w:val="TtCap"/>
        <w:rPr>
          <w:color w:val="000000" w:themeColor="text1"/>
        </w:rPr>
      </w:pPr>
      <w:r w:rsidRPr="006003EA">
        <w:rPr>
          <w:color w:val="000000" w:themeColor="text1"/>
        </w:rPr>
        <w:t>El Antidumping: una Alternativa frente a los Gravámenes en Ecuador</w:t>
      </w:r>
    </w:p>
    <w:p w14:paraId="402F2AE6" w14:textId="0E89FAF9" w:rsidR="0015066B" w:rsidRPr="006003EA" w:rsidRDefault="00D03221" w:rsidP="0015066B">
      <w:pPr>
        <w:pStyle w:val="Autor"/>
        <w:rPr>
          <w:color w:val="000000" w:themeColor="text1"/>
        </w:rPr>
      </w:pPr>
      <w:r w:rsidRPr="006003EA">
        <w:rPr>
          <w:color w:val="000000" w:themeColor="text1"/>
        </w:rPr>
        <w:t>Víctor Ángel Murillo Ordóñez</w:t>
      </w:r>
    </w:p>
    <w:p w14:paraId="45F0C8E5" w14:textId="101A1381" w:rsidR="009C0DFA" w:rsidRPr="006003EA" w:rsidRDefault="00D03221" w:rsidP="0015066B">
      <w:pPr>
        <w:pStyle w:val="Adscripcin"/>
        <w:rPr>
          <w:color w:val="000000" w:themeColor="text1"/>
        </w:rPr>
      </w:pPr>
      <w:r w:rsidRPr="006003EA">
        <w:rPr>
          <w:color w:val="000000" w:themeColor="text1"/>
        </w:rPr>
        <w:t>Universidad Católica de Santiago de Guayaquil</w:t>
      </w:r>
    </w:p>
    <w:p w14:paraId="7FB42A6F" w14:textId="536AFA94" w:rsidR="009C0DFA" w:rsidRPr="006003EA" w:rsidRDefault="00721EBE" w:rsidP="00C45F7D">
      <w:pPr>
        <w:pStyle w:val="Ttulo1"/>
        <w:rPr>
          <w:color w:val="000000" w:themeColor="text1"/>
        </w:rPr>
      </w:pPr>
      <w:r w:rsidRPr="006003EA">
        <w:rPr>
          <w:color w:val="000000" w:themeColor="text1"/>
        </w:rPr>
        <w:t xml:space="preserve">1. </w:t>
      </w:r>
      <w:r w:rsidR="0015066B" w:rsidRPr="006003EA">
        <w:rPr>
          <w:color w:val="000000" w:themeColor="text1"/>
        </w:rPr>
        <w:t>Introducción</w:t>
      </w:r>
    </w:p>
    <w:p w14:paraId="7D9C0942" w14:textId="42791E3B" w:rsidR="00D03221" w:rsidRPr="006003EA" w:rsidRDefault="005F4E29" w:rsidP="00D03221">
      <w:pPr>
        <w:rPr>
          <w:color w:val="000000" w:themeColor="text1"/>
        </w:rPr>
      </w:pPr>
      <w:r>
        <w:rPr>
          <w:color w:val="000000" w:themeColor="text1"/>
        </w:rPr>
        <w:t xml:space="preserve">El </w:t>
      </w:r>
      <w:r w:rsidR="00D03221" w:rsidRPr="006003EA">
        <w:rPr>
          <w:color w:val="000000" w:themeColor="text1"/>
        </w:rPr>
        <w:t>antidumping</w:t>
      </w:r>
      <w:r w:rsidR="00CA40E7">
        <w:rPr>
          <w:color w:val="000000" w:themeColor="text1"/>
        </w:rPr>
        <w:t xml:space="preserve"> </w:t>
      </w:r>
      <w:r>
        <w:rPr>
          <w:color w:val="000000" w:themeColor="text1"/>
        </w:rPr>
        <w:t>nace en</w:t>
      </w:r>
      <w:r w:rsidR="00D03221" w:rsidRPr="006003EA">
        <w:rPr>
          <w:color w:val="000000" w:themeColor="text1"/>
        </w:rPr>
        <w:t xml:space="preserve"> 1.904 en Canadá </w:t>
      </w:r>
      <w:r>
        <w:rPr>
          <w:color w:val="000000" w:themeColor="text1"/>
        </w:rPr>
        <w:t xml:space="preserve">como una </w:t>
      </w:r>
      <w:r w:rsidRPr="006003EA">
        <w:rPr>
          <w:color w:val="000000" w:themeColor="text1"/>
        </w:rPr>
        <w:t xml:space="preserve">respuesta al reclamo de industriales por protección frente a las importaciones </w:t>
      </w:r>
      <w:r w:rsidR="00D03221" w:rsidRPr="006003EA">
        <w:rPr>
          <w:color w:val="000000" w:themeColor="text1"/>
        </w:rPr>
        <w:t>y fue rápidamente acogida por otras legislaciones</w:t>
      </w:r>
      <w:r w:rsidR="00CA40E7">
        <w:rPr>
          <w:color w:val="000000" w:themeColor="text1"/>
        </w:rPr>
        <w:t xml:space="preserve">, </w:t>
      </w:r>
      <w:r w:rsidR="00CA40E7" w:rsidRPr="006003EA">
        <w:rPr>
          <w:color w:val="000000" w:themeColor="text1"/>
        </w:rPr>
        <w:t>incluyen</w:t>
      </w:r>
      <w:r w:rsidR="00CA40E7">
        <w:rPr>
          <w:color w:val="000000" w:themeColor="text1"/>
        </w:rPr>
        <w:t>do</w:t>
      </w:r>
      <w:r w:rsidR="00CA40E7" w:rsidRPr="006003EA">
        <w:rPr>
          <w:color w:val="000000" w:themeColor="text1"/>
        </w:rPr>
        <w:t xml:space="preserve"> Australia, Nueva Zelanda</w:t>
      </w:r>
      <w:r w:rsidR="00CA40E7">
        <w:rPr>
          <w:color w:val="000000" w:themeColor="text1"/>
        </w:rPr>
        <w:t xml:space="preserve"> y </w:t>
      </w:r>
      <w:r w:rsidR="00CA40E7" w:rsidRPr="006003EA">
        <w:rPr>
          <w:color w:val="000000" w:themeColor="text1"/>
        </w:rPr>
        <w:t>Estados Unidos</w:t>
      </w:r>
      <w:r w:rsidR="00D03221" w:rsidRPr="006003EA">
        <w:rPr>
          <w:color w:val="000000" w:themeColor="text1"/>
        </w:rPr>
        <w:t xml:space="preserve"> (Viner, 1923). </w:t>
      </w:r>
      <w:r w:rsidR="00CA40E7">
        <w:rPr>
          <w:color w:val="000000" w:themeColor="text1"/>
        </w:rPr>
        <w:t>Posteriormente</w:t>
      </w:r>
      <w:r w:rsidR="00D03221" w:rsidRPr="006003EA">
        <w:rPr>
          <w:color w:val="000000" w:themeColor="text1"/>
        </w:rPr>
        <w:t xml:space="preserve"> la legislación antidumping fue acogida </w:t>
      </w:r>
      <w:r w:rsidR="00CA40E7">
        <w:rPr>
          <w:color w:val="000000" w:themeColor="text1"/>
        </w:rPr>
        <w:t>por las Partes Contratantes del GATT y luego en</w:t>
      </w:r>
      <w:r w:rsidR="00D03221" w:rsidRPr="006003EA">
        <w:rPr>
          <w:color w:val="000000" w:themeColor="text1"/>
        </w:rPr>
        <w:t xml:space="preserve"> la Organización Mundial del Comercio (“OMC”). </w:t>
      </w:r>
      <w:r w:rsidR="00CA40E7">
        <w:rPr>
          <w:color w:val="000000" w:themeColor="text1"/>
        </w:rPr>
        <w:t>H</w:t>
      </w:r>
      <w:r w:rsidR="00CA40E7" w:rsidRPr="00CA40E7">
        <w:rPr>
          <w:color w:val="000000" w:themeColor="text1"/>
        </w:rPr>
        <w:t>asta abril de 2026</w:t>
      </w:r>
      <w:r w:rsidR="00CA40E7">
        <w:rPr>
          <w:color w:val="000000" w:themeColor="text1"/>
        </w:rPr>
        <w:t xml:space="preserve">, </w:t>
      </w:r>
      <w:r w:rsidR="00D03221" w:rsidRPr="006003EA">
        <w:rPr>
          <w:color w:val="000000" w:themeColor="text1"/>
        </w:rPr>
        <w:t>106 Miembros de la OMC ha</w:t>
      </w:r>
      <w:r>
        <w:rPr>
          <w:color w:val="000000" w:themeColor="text1"/>
        </w:rPr>
        <w:t>bían</w:t>
      </w:r>
      <w:r w:rsidR="00D03221" w:rsidRPr="006003EA">
        <w:rPr>
          <w:color w:val="000000" w:themeColor="text1"/>
        </w:rPr>
        <w:t xml:space="preserve"> notificado</w:t>
      </w:r>
      <w:r w:rsidR="00CA40E7">
        <w:rPr>
          <w:color w:val="000000" w:themeColor="text1"/>
        </w:rPr>
        <w:t xml:space="preserve"> </w:t>
      </w:r>
      <w:r w:rsidR="00D03221" w:rsidRPr="006003EA">
        <w:rPr>
          <w:color w:val="000000" w:themeColor="text1"/>
        </w:rPr>
        <w:t>que cuentan con legislación interna para aplica</w:t>
      </w:r>
      <w:r>
        <w:rPr>
          <w:color w:val="000000" w:themeColor="text1"/>
        </w:rPr>
        <w:t>r</w:t>
      </w:r>
      <w:r w:rsidR="00D03221" w:rsidRPr="006003EA">
        <w:rPr>
          <w:color w:val="000000" w:themeColor="text1"/>
        </w:rPr>
        <w:t xml:space="preserve"> medidas antidumpin</w:t>
      </w:r>
      <w:r w:rsidR="00CA40E7">
        <w:rPr>
          <w:color w:val="000000" w:themeColor="text1"/>
        </w:rPr>
        <w:t>g</w:t>
      </w:r>
      <w:r w:rsidR="00D03221" w:rsidRPr="006003EA">
        <w:rPr>
          <w:color w:val="000000" w:themeColor="text1"/>
        </w:rPr>
        <w:t xml:space="preserve">. </w:t>
      </w:r>
      <w:r>
        <w:rPr>
          <w:color w:val="000000" w:themeColor="text1"/>
        </w:rPr>
        <w:t>E</w:t>
      </w:r>
      <w:r w:rsidRPr="006003EA">
        <w:rPr>
          <w:color w:val="000000" w:themeColor="text1"/>
        </w:rPr>
        <w:t xml:space="preserve">l antidumping </w:t>
      </w:r>
      <w:r>
        <w:rPr>
          <w:color w:val="000000" w:themeColor="text1"/>
        </w:rPr>
        <w:t>se ha convertido en</w:t>
      </w:r>
      <w:r w:rsidRPr="006003EA">
        <w:rPr>
          <w:color w:val="000000" w:themeColor="text1"/>
        </w:rPr>
        <w:t xml:space="preserve"> un proceso usual en el comercio internacional</w:t>
      </w:r>
      <w:r>
        <w:rPr>
          <w:color w:val="000000" w:themeColor="text1"/>
        </w:rPr>
        <w:t>, tal es así, que</w:t>
      </w:r>
      <w:r w:rsidR="00CA40E7">
        <w:rPr>
          <w:color w:val="000000" w:themeColor="text1"/>
        </w:rPr>
        <w:t xml:space="preserve"> </w:t>
      </w:r>
      <w:r>
        <w:rPr>
          <w:color w:val="000000" w:themeColor="text1"/>
        </w:rPr>
        <w:t>entre el</w:t>
      </w:r>
      <w:r w:rsidR="00D03221" w:rsidRPr="006003EA">
        <w:rPr>
          <w:color w:val="000000" w:themeColor="text1"/>
        </w:rPr>
        <w:t xml:space="preserve"> 1 de enero de 1995</w:t>
      </w:r>
      <w:r w:rsidR="00CA40E7">
        <w:rPr>
          <w:color w:val="000000" w:themeColor="text1"/>
        </w:rPr>
        <w:t xml:space="preserve"> </w:t>
      </w:r>
      <w:r>
        <w:rPr>
          <w:color w:val="000000" w:themeColor="text1"/>
        </w:rPr>
        <w:t>y</w:t>
      </w:r>
      <w:r w:rsidR="00CA40E7">
        <w:rPr>
          <w:color w:val="000000" w:themeColor="text1"/>
        </w:rPr>
        <w:t xml:space="preserve"> el</w:t>
      </w:r>
      <w:r w:rsidR="00D03221" w:rsidRPr="006003EA">
        <w:rPr>
          <w:color w:val="000000" w:themeColor="text1"/>
        </w:rPr>
        <w:t xml:space="preserve"> 30 de junio de 2025, los Miembros de </w:t>
      </w:r>
      <w:r w:rsidR="00CA40E7">
        <w:rPr>
          <w:color w:val="000000" w:themeColor="text1"/>
        </w:rPr>
        <w:t>la OMC</w:t>
      </w:r>
      <w:r w:rsidR="00D03221" w:rsidRPr="006003EA">
        <w:rPr>
          <w:color w:val="000000" w:themeColor="text1"/>
        </w:rPr>
        <w:t xml:space="preserve"> han notificado el inicio de 7,295 investigaciones antidumping.</w:t>
      </w:r>
    </w:p>
    <w:p w14:paraId="661C2F66" w14:textId="4F614A32" w:rsidR="00D03221" w:rsidRPr="006003EA" w:rsidRDefault="00D03221" w:rsidP="00D03221">
      <w:pPr>
        <w:rPr>
          <w:color w:val="000000" w:themeColor="text1"/>
        </w:rPr>
      </w:pPr>
      <w:r w:rsidRPr="006003EA">
        <w:rPr>
          <w:color w:val="000000" w:themeColor="text1"/>
        </w:rPr>
        <w:t>Ecuador</w:t>
      </w:r>
      <w:r w:rsidR="005F4E29">
        <w:rPr>
          <w:color w:val="000000" w:themeColor="text1"/>
        </w:rPr>
        <w:t>, por su parte,</w:t>
      </w:r>
      <w:r w:rsidRPr="006003EA">
        <w:rPr>
          <w:color w:val="000000" w:themeColor="text1"/>
        </w:rPr>
        <w:t xml:space="preserve"> ha notificado tres (3) investigaciones desde su adhesión a la OMC en 1.996</w:t>
      </w:r>
      <w:r w:rsidR="005F4E29">
        <w:rPr>
          <w:color w:val="000000" w:themeColor="text1"/>
        </w:rPr>
        <w:t xml:space="preserve"> mientras que los</w:t>
      </w:r>
      <w:r w:rsidRPr="006003EA">
        <w:rPr>
          <w:color w:val="000000" w:themeColor="text1"/>
        </w:rPr>
        <w:t xml:space="preserve"> exportadores ecuatorianos han sido sujetos de cinco (5) investigaciones, tres (3) de las cuales terminaron con la imposición de medidas antidumping. En términos relativos al número global de investigaciones Ecuador no es un usuario regular del antidumping ni ha sido objeto de un elevado número de estos procesos. </w:t>
      </w:r>
      <w:r w:rsidR="005F4E29">
        <w:rPr>
          <w:color w:val="000000" w:themeColor="text1"/>
        </w:rPr>
        <w:t xml:space="preserve">Esta situación se </w:t>
      </w:r>
      <w:proofErr w:type="gramStart"/>
      <w:r w:rsidR="005F4E29">
        <w:rPr>
          <w:color w:val="000000" w:themeColor="text1"/>
        </w:rPr>
        <w:t>observa</w:t>
      </w:r>
      <w:proofErr w:type="gramEnd"/>
      <w:r w:rsidR="005F4E29">
        <w:rPr>
          <w:color w:val="000000" w:themeColor="text1"/>
        </w:rPr>
        <w:t xml:space="preserve"> aunque Ecuador sí </w:t>
      </w:r>
      <w:r w:rsidRPr="006003EA">
        <w:rPr>
          <w:color w:val="000000" w:themeColor="text1"/>
        </w:rPr>
        <w:t>cuenta con la normativa</w:t>
      </w:r>
      <w:r w:rsidR="005F4E29">
        <w:rPr>
          <w:color w:val="000000" w:themeColor="text1"/>
        </w:rPr>
        <w:t xml:space="preserve"> para llevar a cabo investigaciones antidumping, tanto normativa multilateral de OMC, como normativa</w:t>
      </w:r>
      <w:r w:rsidRPr="006003EA">
        <w:rPr>
          <w:color w:val="000000" w:themeColor="text1"/>
        </w:rPr>
        <w:t xml:space="preserve"> andina</w:t>
      </w:r>
      <w:r w:rsidR="005F4E29">
        <w:rPr>
          <w:color w:val="000000" w:themeColor="text1"/>
        </w:rPr>
        <w:t xml:space="preserve">, </w:t>
      </w:r>
      <w:r w:rsidRPr="006003EA">
        <w:rPr>
          <w:color w:val="000000" w:themeColor="text1"/>
        </w:rPr>
        <w:t xml:space="preserve">legislación nacional </w:t>
      </w:r>
      <w:r w:rsidR="005F4E29">
        <w:rPr>
          <w:color w:val="000000" w:themeColor="text1"/>
        </w:rPr>
        <w:t>y procedimientos específicos para el efecto.</w:t>
      </w:r>
    </w:p>
    <w:p w14:paraId="62533F08" w14:textId="3525703E" w:rsidR="00D03221" w:rsidRPr="006003EA" w:rsidRDefault="00D03221" w:rsidP="00D03221">
      <w:pPr>
        <w:rPr>
          <w:color w:val="000000" w:themeColor="text1"/>
        </w:rPr>
      </w:pPr>
      <w:r w:rsidRPr="006003EA">
        <w:rPr>
          <w:color w:val="000000" w:themeColor="text1"/>
        </w:rPr>
        <w:lastRenderedPageBreak/>
        <w:t>Al respecto, el marco constitucional ecuatoriano es monista en su relación con el derecho internacional conforme el artículo 425 de su Constitución. Entonces, el Acuerdo General sobre Aranceles Aduaneros y Comercio de 1994 (“GATT de 1994”), el Acuerdo relativo a la Aplicación del Artículo VI del Acuerdo General sobre Aranceles Aduaneros y Comercio de 1994 (“Acuerdo Antidumping de la OMC”), las decisiones andinas y la legislación interna se aplican en conjunto y de forma directa. Este sistema prevé un procedimiento administrativo controvertido en el cual una rama de producción nacional acusa a exportadores extranjeros –debidamente identificados– de «volcar» (</w:t>
      </w:r>
      <w:proofErr w:type="spellStart"/>
      <w:r w:rsidRPr="006003EA">
        <w:rPr>
          <w:color w:val="000000" w:themeColor="text1"/>
        </w:rPr>
        <w:t>to</w:t>
      </w:r>
      <w:proofErr w:type="spellEnd"/>
      <w:r w:rsidRPr="006003EA">
        <w:rPr>
          <w:color w:val="000000" w:themeColor="text1"/>
        </w:rPr>
        <w:t xml:space="preserve"> </w:t>
      </w:r>
      <w:proofErr w:type="spellStart"/>
      <w:r w:rsidRPr="006003EA">
        <w:rPr>
          <w:color w:val="000000" w:themeColor="text1"/>
        </w:rPr>
        <w:t>dump</w:t>
      </w:r>
      <w:proofErr w:type="spellEnd"/>
      <w:r w:rsidRPr="006003EA">
        <w:rPr>
          <w:color w:val="000000" w:themeColor="text1"/>
        </w:rPr>
        <w:t xml:space="preserve">) productos al mercado ecuatoriano a precios que no son «normales». En estos procedimientos los exportadores extranjeros deben ser notificados para que contesten las acusaciones de la industria nacional. </w:t>
      </w:r>
      <w:r w:rsidR="006003EA">
        <w:rPr>
          <w:color w:val="000000" w:themeColor="text1"/>
        </w:rPr>
        <w:t>D</w:t>
      </w:r>
      <w:r w:rsidRPr="006003EA">
        <w:rPr>
          <w:color w:val="000000" w:themeColor="text1"/>
        </w:rPr>
        <w:t>e resolverse el caso en favor de los acusadores, la autoridad administrativa dictará un acto</w:t>
      </w:r>
      <w:r w:rsidR="00AA2965">
        <w:rPr>
          <w:color w:val="000000" w:themeColor="text1"/>
        </w:rPr>
        <w:t xml:space="preserve"> administrativo</w:t>
      </w:r>
      <w:r w:rsidRPr="006003EA">
        <w:rPr>
          <w:color w:val="000000" w:themeColor="text1"/>
        </w:rPr>
        <w:t xml:space="preserve"> </w:t>
      </w:r>
      <w:proofErr w:type="spellStart"/>
      <w:r w:rsidRPr="006003EA">
        <w:rPr>
          <w:color w:val="000000" w:themeColor="text1"/>
        </w:rPr>
        <w:t>plurindividual</w:t>
      </w:r>
      <w:proofErr w:type="spellEnd"/>
      <w:r w:rsidRPr="006003EA">
        <w:rPr>
          <w:color w:val="000000" w:themeColor="text1"/>
        </w:rPr>
        <w:t xml:space="preserve"> estableciendo tarifas adicionales para </w:t>
      </w:r>
      <w:r w:rsidR="003C207B">
        <w:rPr>
          <w:color w:val="000000" w:themeColor="text1"/>
        </w:rPr>
        <w:t>importar</w:t>
      </w:r>
      <w:r w:rsidRPr="006003EA">
        <w:rPr>
          <w:color w:val="000000" w:themeColor="text1"/>
        </w:rPr>
        <w:t xml:space="preserve"> los productos objeto de investigación, </w:t>
      </w:r>
      <w:r w:rsidR="006003EA">
        <w:rPr>
          <w:color w:val="000000" w:themeColor="text1"/>
        </w:rPr>
        <w:t>con</w:t>
      </w:r>
      <w:r w:rsidRPr="006003EA">
        <w:rPr>
          <w:color w:val="000000" w:themeColor="text1"/>
        </w:rPr>
        <w:t xml:space="preserve"> diferente</w:t>
      </w:r>
      <w:r w:rsidR="006003EA">
        <w:rPr>
          <w:color w:val="000000" w:themeColor="text1"/>
        </w:rPr>
        <w:t>s cuantías</w:t>
      </w:r>
      <w:r w:rsidRPr="006003EA">
        <w:rPr>
          <w:color w:val="000000" w:themeColor="text1"/>
        </w:rPr>
        <w:t xml:space="preserve"> p</w:t>
      </w:r>
      <w:r w:rsidR="003C207B">
        <w:rPr>
          <w:color w:val="000000" w:themeColor="text1"/>
        </w:rPr>
        <w:t>or</w:t>
      </w:r>
      <w:r w:rsidRPr="006003EA">
        <w:rPr>
          <w:color w:val="000000" w:themeColor="text1"/>
        </w:rPr>
        <w:t xml:space="preserve"> cada exportador </w:t>
      </w:r>
      <w:r w:rsidR="003C207B">
        <w:rPr>
          <w:color w:val="000000" w:themeColor="text1"/>
        </w:rPr>
        <w:t>conforme a</w:t>
      </w:r>
      <w:r w:rsidRPr="006003EA">
        <w:rPr>
          <w:color w:val="000000" w:themeColor="text1"/>
        </w:rPr>
        <w:t xml:space="preserve"> los resultados del procedimiento administrativo.</w:t>
      </w:r>
    </w:p>
    <w:p w14:paraId="6F7D5D5E" w14:textId="3D03D81A" w:rsidR="00477173" w:rsidRPr="006003EA" w:rsidRDefault="00D03221" w:rsidP="00D03221">
      <w:pPr>
        <w:rPr>
          <w:color w:val="000000" w:themeColor="text1"/>
        </w:rPr>
      </w:pPr>
      <w:r w:rsidRPr="006003EA">
        <w:rPr>
          <w:color w:val="000000" w:themeColor="text1"/>
        </w:rPr>
        <w:t xml:space="preserve">El Ecuador no ha aplicado esta legislación o lo ha hecho de forma marginal; sin embargo, sí ha aplicado medidas justificadas en la necesidad de proteger a una determinada rama de producción nacional, como se verá en este </w:t>
      </w:r>
      <w:r w:rsidR="00AA2965">
        <w:rPr>
          <w:color w:val="000000" w:themeColor="text1"/>
        </w:rPr>
        <w:t>artículo</w:t>
      </w:r>
      <w:r w:rsidRPr="006003EA">
        <w:rPr>
          <w:color w:val="000000" w:themeColor="text1"/>
        </w:rPr>
        <w:t>. Entre las medidas adoptadas se observará que existen antecedentes de solicitudes presentadas por industrias o por asociaciones de productores que buscaban la protección del Estado; y, entre sus alegaciones se argumenta sobre los precios de los productos importados como un factor relevante. También se verá que dichas medidas han sido materia de litigios locales e internacionales llevando a su eliminación e inclusive la devolución de valores percibidos por el Estado. A partir de los casos analizados se concluye sobre la posibilidad de que las investigaciones antidumping provean una alternativa que pudiese mitigar ciertos efectos colaterales de las medidas tradicionalmente implementadas</w:t>
      </w:r>
      <w:r w:rsidR="00477173" w:rsidRPr="006003EA">
        <w:rPr>
          <w:color w:val="000000" w:themeColor="text1"/>
        </w:rPr>
        <w:t>.</w:t>
      </w:r>
    </w:p>
    <w:p w14:paraId="5D8DC444" w14:textId="5686019B" w:rsidR="00607EE3" w:rsidRPr="006003EA" w:rsidRDefault="00607EE3" w:rsidP="00607EE3">
      <w:pPr>
        <w:pStyle w:val="Ttulo1"/>
        <w:rPr>
          <w:color w:val="000000" w:themeColor="text1"/>
        </w:rPr>
      </w:pPr>
      <w:r w:rsidRPr="006003EA">
        <w:rPr>
          <w:color w:val="000000" w:themeColor="text1"/>
        </w:rPr>
        <w:lastRenderedPageBreak/>
        <w:t xml:space="preserve">2. </w:t>
      </w:r>
      <w:r w:rsidR="00D03221" w:rsidRPr="006003EA">
        <w:rPr>
          <w:color w:val="000000" w:themeColor="text1"/>
        </w:rPr>
        <w:t>ESTUDIOS DE CASO de medidas adoptadas por el Ecuador para proteger a la industria nacional</w:t>
      </w:r>
    </w:p>
    <w:p w14:paraId="0999A1A4" w14:textId="459E3406" w:rsidR="00D03221" w:rsidRPr="006003EA" w:rsidRDefault="00D03221" w:rsidP="00D03221">
      <w:pPr>
        <w:rPr>
          <w:color w:val="000000" w:themeColor="text1"/>
        </w:rPr>
      </w:pPr>
      <w:r w:rsidRPr="006003EA">
        <w:rPr>
          <w:color w:val="000000" w:themeColor="text1"/>
        </w:rPr>
        <w:t>El Ecuador ha adoptado varias medidas restrictivas al comercio internacional entre las cuales se ha seleccionado tres para este análisis, considerando los siguientes parámetros: (i) el caso tuvo como antecedente una solicitud de una rama de producción nacional o de empresas; (</w:t>
      </w:r>
      <w:proofErr w:type="spellStart"/>
      <w:r w:rsidRPr="006003EA">
        <w:rPr>
          <w:color w:val="000000" w:themeColor="text1"/>
        </w:rPr>
        <w:t>ii</w:t>
      </w:r>
      <w:proofErr w:type="spellEnd"/>
      <w:r w:rsidRPr="006003EA">
        <w:rPr>
          <w:color w:val="000000" w:themeColor="text1"/>
        </w:rPr>
        <w:t>) se adoptó medidas con la finalidad de proteger a la industria nacional; (</w:t>
      </w:r>
      <w:proofErr w:type="spellStart"/>
      <w:r w:rsidRPr="006003EA">
        <w:rPr>
          <w:color w:val="000000" w:themeColor="text1"/>
        </w:rPr>
        <w:t>iii</w:t>
      </w:r>
      <w:proofErr w:type="spellEnd"/>
      <w:r w:rsidRPr="006003EA">
        <w:rPr>
          <w:color w:val="000000" w:themeColor="text1"/>
        </w:rPr>
        <w:t>) las medidas que se aplicaron tuvieron la forma de una sobretasa o gravamen; (</w:t>
      </w:r>
      <w:proofErr w:type="spellStart"/>
      <w:r w:rsidRPr="006003EA">
        <w:rPr>
          <w:color w:val="000000" w:themeColor="text1"/>
        </w:rPr>
        <w:t>iv</w:t>
      </w:r>
      <w:proofErr w:type="spellEnd"/>
      <w:r w:rsidRPr="006003EA">
        <w:rPr>
          <w:color w:val="000000" w:themeColor="text1"/>
        </w:rPr>
        <w:t>) los casos fueron impugnados ante autoridades administrativas y judiciales; (v) se cuenta con pronunciamientos definitivos de altas cortes; y, (vi) tales pronunciamientos establecieron un precedente jurisprudencial en sentido amplio que cuente con una interpretación de la norma que exceda su simple repetición, contenga un presupuesto y un efecto jurídico y que sea extrapolable a casos análogos.</w:t>
      </w:r>
    </w:p>
    <w:p w14:paraId="1111C73C" w14:textId="3734CA5B" w:rsidR="00D03221" w:rsidRPr="006003EA" w:rsidRDefault="00D03221" w:rsidP="00D03221">
      <w:pPr>
        <w:rPr>
          <w:color w:val="000000" w:themeColor="text1"/>
        </w:rPr>
      </w:pPr>
      <w:r w:rsidRPr="006003EA">
        <w:rPr>
          <w:color w:val="000000" w:themeColor="text1"/>
        </w:rPr>
        <w:t xml:space="preserve">Para seleccionar el primer caso también se </w:t>
      </w:r>
      <w:r w:rsidR="003C207B">
        <w:rPr>
          <w:color w:val="000000" w:themeColor="text1"/>
        </w:rPr>
        <w:t>consideró</w:t>
      </w:r>
      <w:r w:rsidRPr="006003EA">
        <w:rPr>
          <w:color w:val="000000" w:themeColor="text1"/>
        </w:rPr>
        <w:t xml:space="preserve"> la relevancia cuantitativa </w:t>
      </w:r>
      <w:r w:rsidR="003C207B">
        <w:rPr>
          <w:color w:val="000000" w:themeColor="text1"/>
        </w:rPr>
        <w:t>por</w:t>
      </w:r>
      <w:r w:rsidRPr="006003EA">
        <w:rPr>
          <w:color w:val="000000" w:themeColor="text1"/>
        </w:rPr>
        <w:t xml:space="preserve"> el elevado número de procesos judiciales análogos </w:t>
      </w:r>
      <w:r w:rsidR="003C207B">
        <w:rPr>
          <w:color w:val="000000" w:themeColor="text1"/>
        </w:rPr>
        <w:t>a este caso</w:t>
      </w:r>
      <w:r w:rsidRPr="006003EA">
        <w:rPr>
          <w:color w:val="000000" w:themeColor="text1"/>
        </w:rPr>
        <w:t>. Para el segundo caso</w:t>
      </w:r>
      <w:r w:rsidR="003C207B">
        <w:rPr>
          <w:color w:val="000000" w:themeColor="text1"/>
        </w:rPr>
        <w:t xml:space="preserve"> </w:t>
      </w:r>
      <w:r w:rsidRPr="006003EA">
        <w:rPr>
          <w:color w:val="000000" w:themeColor="text1"/>
        </w:rPr>
        <w:t xml:space="preserve">se consideró la relevancia cualitativa de haber sentado, vía precedente, la competencia del Tribunal de Justicia de la Comunidad Andina para conocer la impugnación directa de actos administrativos de autoridades nacionales. El tercer caso seleccionado dio lugar a una jurisprudencia vinculante del Pleno de la Corte Nacional de Justicia del Ecuador respecto a la devolución de medidas provisionales. Un aspecto común de todos </w:t>
      </w:r>
      <w:r w:rsidR="003C207B">
        <w:rPr>
          <w:color w:val="000000" w:themeColor="text1"/>
        </w:rPr>
        <w:t>esto</w:t>
      </w:r>
      <w:r w:rsidRPr="006003EA">
        <w:rPr>
          <w:color w:val="000000" w:themeColor="text1"/>
        </w:rPr>
        <w:t>s casos es la imposición directa de los gravámenes sin un procedimiento controvertido.</w:t>
      </w:r>
    </w:p>
    <w:p w14:paraId="54B3FF41" w14:textId="495E49E8" w:rsidR="00607EE3" w:rsidRPr="006003EA" w:rsidRDefault="00607EE3" w:rsidP="00182667">
      <w:pPr>
        <w:pStyle w:val="Ttulo2"/>
        <w:rPr>
          <w:color w:val="000000" w:themeColor="text1"/>
        </w:rPr>
      </w:pPr>
      <w:r w:rsidRPr="006003EA">
        <w:rPr>
          <w:color w:val="000000" w:themeColor="text1"/>
        </w:rPr>
        <w:t>2.</w:t>
      </w:r>
      <w:r w:rsidR="00154737" w:rsidRPr="006003EA">
        <w:rPr>
          <w:color w:val="000000" w:themeColor="text1"/>
        </w:rPr>
        <w:t>1</w:t>
      </w:r>
      <w:r w:rsidRPr="006003EA">
        <w:rPr>
          <w:color w:val="000000" w:themeColor="text1"/>
        </w:rPr>
        <w:t xml:space="preserve">. </w:t>
      </w:r>
      <w:r w:rsidR="00D03221" w:rsidRPr="006003EA">
        <w:rPr>
          <w:color w:val="000000" w:themeColor="text1"/>
        </w:rPr>
        <w:t>Arancel mixto sobre perfiles de</w:t>
      </w:r>
      <w:r w:rsidR="00154737" w:rsidRPr="006003EA">
        <w:rPr>
          <w:color w:val="000000" w:themeColor="text1"/>
        </w:rPr>
        <w:t xml:space="preserve"> aluminio</w:t>
      </w:r>
    </w:p>
    <w:p w14:paraId="5BC51FC7" w14:textId="00BC6D18" w:rsidR="00D03221" w:rsidRPr="006003EA" w:rsidRDefault="00D03221" w:rsidP="00D03221">
      <w:pPr>
        <w:rPr>
          <w:color w:val="000000" w:themeColor="text1"/>
        </w:rPr>
      </w:pPr>
      <w:r w:rsidRPr="006003EA">
        <w:rPr>
          <w:color w:val="000000" w:themeColor="text1"/>
        </w:rPr>
        <w:t xml:space="preserve">El 30 de marzo de 2016 dos </w:t>
      </w:r>
      <w:r w:rsidR="003C207B">
        <w:rPr>
          <w:color w:val="000000" w:themeColor="text1"/>
        </w:rPr>
        <w:t xml:space="preserve">industrias </w:t>
      </w:r>
      <w:r w:rsidRPr="006003EA">
        <w:rPr>
          <w:color w:val="000000" w:themeColor="text1"/>
        </w:rPr>
        <w:t>nacional</w:t>
      </w:r>
      <w:r w:rsidR="003C207B">
        <w:rPr>
          <w:color w:val="000000" w:themeColor="text1"/>
        </w:rPr>
        <w:t>es</w:t>
      </w:r>
      <w:r w:rsidRPr="006003EA">
        <w:rPr>
          <w:color w:val="000000" w:themeColor="text1"/>
        </w:rPr>
        <w:t xml:space="preserve"> de perfiles de aluminio presentaron al entonces Ministerio de Comercio Exterior (actual Ministerio de Producción. Comercio Exterior e Inversiones) del Ecuador, una solicitud para la adopción de una medida de defensa comercial (Comité de Comercio Exterior COMEX, 2017b). Sin embargo, no se inició un proceso de defensa comercial, sino que</w:t>
      </w:r>
      <w:r w:rsidR="003C207B">
        <w:rPr>
          <w:color w:val="000000" w:themeColor="text1"/>
        </w:rPr>
        <w:t>, m</w:t>
      </w:r>
      <w:r w:rsidRPr="006003EA">
        <w:rPr>
          <w:color w:val="000000" w:themeColor="text1"/>
        </w:rPr>
        <w:t xml:space="preserve">ediante la Resolución Nro. 005-2017 de 23 de febrero de 2017 el Comité de Comercio Exterior (COMEX) </w:t>
      </w:r>
      <w:r w:rsidR="003C207B">
        <w:rPr>
          <w:color w:val="000000" w:themeColor="text1"/>
        </w:rPr>
        <w:t>se aplicó</w:t>
      </w:r>
      <w:r w:rsidRPr="006003EA">
        <w:rPr>
          <w:color w:val="000000" w:themeColor="text1"/>
        </w:rPr>
        <w:t xml:space="preserve"> un arancel mixto de 5% </w:t>
      </w:r>
      <w:r w:rsidRPr="003C207B">
        <w:rPr>
          <w:i/>
          <w:iCs/>
          <w:color w:val="000000" w:themeColor="text1"/>
        </w:rPr>
        <w:t xml:space="preserve">ad </w:t>
      </w:r>
      <w:proofErr w:type="spellStart"/>
      <w:r w:rsidRPr="003C207B">
        <w:rPr>
          <w:i/>
          <w:iCs/>
          <w:color w:val="000000" w:themeColor="text1"/>
        </w:rPr>
        <w:t>valorem</w:t>
      </w:r>
      <w:proofErr w:type="spellEnd"/>
      <w:r w:rsidRPr="006003EA">
        <w:rPr>
          <w:color w:val="000000" w:themeColor="text1"/>
        </w:rPr>
        <w:t xml:space="preserve"> más USD 1</w:t>
      </w:r>
      <w:r w:rsidR="003C207B">
        <w:rPr>
          <w:color w:val="000000" w:themeColor="text1"/>
        </w:rPr>
        <w:t>.</w:t>
      </w:r>
      <w:r w:rsidRPr="006003EA">
        <w:rPr>
          <w:color w:val="000000" w:themeColor="text1"/>
        </w:rPr>
        <w:t xml:space="preserve">20 por </w:t>
      </w:r>
      <w:r w:rsidRPr="006003EA">
        <w:rPr>
          <w:color w:val="000000" w:themeColor="text1"/>
        </w:rPr>
        <w:lastRenderedPageBreak/>
        <w:t>kilogramo. El 26 de febrero de 2024 las mismas empresas presentaron otra solicitud para iniciar una investigación sobre defensa comercial a las importaciones de perfiles de aluminio (Comité de Comercio Exterior COMEX, 2024). La industria nacional argumentó que las importaciones afect</w:t>
      </w:r>
      <w:r w:rsidR="003C207B">
        <w:rPr>
          <w:color w:val="000000" w:themeColor="text1"/>
        </w:rPr>
        <w:t>aban</w:t>
      </w:r>
      <w:r w:rsidRPr="006003EA">
        <w:rPr>
          <w:color w:val="000000" w:themeColor="text1"/>
        </w:rPr>
        <w:t xml:space="preserve"> gravemente </w:t>
      </w:r>
      <w:r w:rsidR="003C207B">
        <w:rPr>
          <w:color w:val="000000" w:themeColor="text1"/>
        </w:rPr>
        <w:t>a</w:t>
      </w:r>
      <w:r w:rsidRPr="006003EA">
        <w:rPr>
          <w:color w:val="000000" w:themeColor="text1"/>
        </w:rPr>
        <w:t xml:space="preserve"> su rama de producción. Por segunda ocasión no se abrió </w:t>
      </w:r>
      <w:r w:rsidR="003C207B">
        <w:rPr>
          <w:color w:val="000000" w:themeColor="text1"/>
        </w:rPr>
        <w:t>l</w:t>
      </w:r>
      <w:r w:rsidRPr="006003EA">
        <w:rPr>
          <w:color w:val="000000" w:themeColor="text1"/>
        </w:rPr>
        <w:t>a investigación</w:t>
      </w:r>
      <w:r w:rsidR="003C207B">
        <w:rPr>
          <w:color w:val="000000" w:themeColor="text1"/>
        </w:rPr>
        <w:t xml:space="preserve"> y</w:t>
      </w:r>
      <w:r w:rsidRPr="006003EA">
        <w:rPr>
          <w:color w:val="000000" w:themeColor="text1"/>
        </w:rPr>
        <w:t xml:space="preserve"> se reformó el arancel aplicando una tarifa de 2% ad </w:t>
      </w:r>
      <w:proofErr w:type="spellStart"/>
      <w:r w:rsidRPr="006003EA">
        <w:rPr>
          <w:color w:val="000000" w:themeColor="text1"/>
        </w:rPr>
        <w:t>valorem</w:t>
      </w:r>
      <w:proofErr w:type="spellEnd"/>
      <w:r w:rsidRPr="006003EA">
        <w:rPr>
          <w:color w:val="000000" w:themeColor="text1"/>
        </w:rPr>
        <w:t xml:space="preserve"> más USD 2</w:t>
      </w:r>
      <w:r w:rsidR="003C207B">
        <w:rPr>
          <w:color w:val="000000" w:themeColor="text1"/>
        </w:rPr>
        <w:t>.</w:t>
      </w:r>
      <w:r w:rsidRPr="006003EA">
        <w:rPr>
          <w:color w:val="000000" w:themeColor="text1"/>
        </w:rPr>
        <w:t xml:space="preserve">40 por kilogramo, </w:t>
      </w:r>
      <w:r w:rsidR="003C207B">
        <w:rPr>
          <w:color w:val="000000" w:themeColor="text1"/>
        </w:rPr>
        <w:t xml:space="preserve">esto </w:t>
      </w:r>
      <w:r w:rsidRPr="006003EA">
        <w:rPr>
          <w:color w:val="000000" w:themeColor="text1"/>
        </w:rPr>
        <w:t>mediante la Resolución Nro. 006-2024 de 28 de agosto de 2024 del COMEX.</w:t>
      </w:r>
    </w:p>
    <w:p w14:paraId="05C8FA8D" w14:textId="0841EDBA" w:rsidR="00D03221" w:rsidRPr="006003EA" w:rsidRDefault="00D03221" w:rsidP="00D03221">
      <w:pPr>
        <w:rPr>
          <w:color w:val="000000" w:themeColor="text1"/>
        </w:rPr>
      </w:pPr>
      <w:r w:rsidRPr="006003EA">
        <w:rPr>
          <w:color w:val="000000" w:themeColor="text1"/>
        </w:rPr>
        <w:t xml:space="preserve">El Ecuador es Miembro de la OMC desde 1996 (Organización Mundial del Comercio, </w:t>
      </w:r>
      <w:proofErr w:type="spellStart"/>
      <w:r w:rsidRPr="006003EA">
        <w:rPr>
          <w:color w:val="000000" w:themeColor="text1"/>
        </w:rPr>
        <w:t>n.d</w:t>
      </w:r>
      <w:proofErr w:type="spellEnd"/>
      <w:r w:rsidRPr="006003EA">
        <w:rPr>
          <w:color w:val="000000" w:themeColor="text1"/>
        </w:rPr>
        <w:t>.). Al momento de la firma Ecuador presentó su lista de compromisos que pasó a formar parte integrante del GATT de 1994 (</w:t>
      </w:r>
      <w:r w:rsidR="003C207B">
        <w:rPr>
          <w:color w:val="000000" w:themeColor="text1"/>
        </w:rPr>
        <w:t xml:space="preserve">la </w:t>
      </w:r>
      <w:r w:rsidRPr="006003EA">
        <w:rPr>
          <w:color w:val="000000" w:themeColor="text1"/>
        </w:rPr>
        <w:t>“Lista”), public</w:t>
      </w:r>
      <w:r w:rsidR="003C207B">
        <w:rPr>
          <w:color w:val="000000" w:themeColor="text1"/>
        </w:rPr>
        <w:t xml:space="preserve">ada </w:t>
      </w:r>
      <w:r w:rsidRPr="006003EA">
        <w:rPr>
          <w:color w:val="000000" w:themeColor="text1"/>
        </w:rPr>
        <w:t xml:space="preserve">en el Registro Oficial Nro. 977 del 28 de junio de 1996. En la Lista se consolidó los aranceles en términos </w:t>
      </w:r>
      <w:r w:rsidRPr="003C207B">
        <w:rPr>
          <w:i/>
          <w:iCs/>
          <w:color w:val="000000" w:themeColor="text1"/>
        </w:rPr>
        <w:t xml:space="preserve">ad </w:t>
      </w:r>
      <w:proofErr w:type="spellStart"/>
      <w:r w:rsidRPr="003C207B">
        <w:rPr>
          <w:i/>
          <w:iCs/>
          <w:color w:val="000000" w:themeColor="text1"/>
        </w:rPr>
        <w:t>valorem</w:t>
      </w:r>
      <w:proofErr w:type="spellEnd"/>
      <w:r w:rsidRPr="006003EA">
        <w:rPr>
          <w:color w:val="000000" w:themeColor="text1"/>
        </w:rPr>
        <w:t xml:space="preserve"> y no se consolidó ninguna tarifa específica ni se registró ningún valor en la </w:t>
      </w:r>
      <w:proofErr w:type="spellStart"/>
      <w:r w:rsidRPr="006003EA">
        <w:rPr>
          <w:color w:val="000000" w:themeColor="text1"/>
        </w:rPr>
        <w:t>subcolumna</w:t>
      </w:r>
      <w:proofErr w:type="spellEnd"/>
      <w:r w:rsidRPr="006003EA">
        <w:rPr>
          <w:color w:val="000000" w:themeColor="text1"/>
        </w:rPr>
        <w:t xml:space="preserve"> “otros derechos y cargas”. El párrafo 7 del Entendimiento relativo a la interpretación del párrafo 1 b) del artículo II del GATT de 1994, publicado en el mismo registro oficial de la Lista, indica que no se puede añadir posteriormente otras cargas en dicha </w:t>
      </w:r>
      <w:proofErr w:type="spellStart"/>
      <w:r w:rsidRPr="006003EA">
        <w:rPr>
          <w:color w:val="000000" w:themeColor="text1"/>
        </w:rPr>
        <w:t>subcolumna</w:t>
      </w:r>
      <w:proofErr w:type="spellEnd"/>
      <w:r w:rsidRPr="006003EA">
        <w:rPr>
          <w:color w:val="000000" w:themeColor="text1"/>
        </w:rPr>
        <w:t xml:space="preserve">. Ahora bien, el efecto de un arancel específico es opuesto al de un </w:t>
      </w:r>
      <w:r w:rsidRPr="003C207B">
        <w:rPr>
          <w:i/>
          <w:iCs/>
          <w:color w:val="000000" w:themeColor="text1"/>
        </w:rPr>
        <w:t xml:space="preserve">ad </w:t>
      </w:r>
      <w:proofErr w:type="spellStart"/>
      <w:r w:rsidRPr="003C207B">
        <w:rPr>
          <w:i/>
          <w:iCs/>
          <w:color w:val="000000" w:themeColor="text1"/>
        </w:rPr>
        <w:t>valorem</w:t>
      </w:r>
      <w:proofErr w:type="spellEnd"/>
      <w:r w:rsidRPr="006003EA">
        <w:rPr>
          <w:color w:val="000000" w:themeColor="text1"/>
        </w:rPr>
        <w:t xml:space="preserve">; </w:t>
      </w:r>
      <w:r w:rsidR="003C207B">
        <w:rPr>
          <w:color w:val="000000" w:themeColor="text1"/>
        </w:rPr>
        <w:t>el primero</w:t>
      </w:r>
      <w:r w:rsidRPr="003C207B">
        <w:rPr>
          <w:i/>
          <w:iCs/>
          <w:color w:val="000000" w:themeColor="text1"/>
        </w:rPr>
        <w:t xml:space="preserve"> </w:t>
      </w:r>
      <w:r w:rsidRPr="006003EA">
        <w:rPr>
          <w:color w:val="000000" w:themeColor="text1"/>
        </w:rPr>
        <w:t>es proporcional al valor de la mercancía, el específico es inversamente proporcional</w:t>
      </w:r>
      <w:r w:rsidR="003C207B">
        <w:rPr>
          <w:color w:val="000000" w:themeColor="text1"/>
        </w:rPr>
        <w:t>,</w:t>
      </w:r>
      <w:r w:rsidRPr="006003EA">
        <w:rPr>
          <w:color w:val="000000" w:themeColor="text1"/>
        </w:rPr>
        <w:t xml:space="preserve"> mientras más bajo el precio el arancel específico </w:t>
      </w:r>
      <w:r w:rsidR="003C207B">
        <w:rPr>
          <w:color w:val="000000" w:themeColor="text1"/>
        </w:rPr>
        <w:t>es</w:t>
      </w:r>
      <w:r w:rsidRPr="006003EA">
        <w:rPr>
          <w:color w:val="000000" w:themeColor="text1"/>
        </w:rPr>
        <w:t xml:space="preserve"> una carga mayor </w:t>
      </w:r>
      <w:r w:rsidR="003C207B">
        <w:rPr>
          <w:color w:val="000000" w:themeColor="text1"/>
        </w:rPr>
        <w:t>respecto a dicho</w:t>
      </w:r>
      <w:r w:rsidRPr="006003EA">
        <w:rPr>
          <w:color w:val="000000" w:themeColor="text1"/>
        </w:rPr>
        <w:t xml:space="preserve"> precio. </w:t>
      </w:r>
      <w:r w:rsidR="003C207B">
        <w:rPr>
          <w:color w:val="000000" w:themeColor="text1"/>
        </w:rPr>
        <w:t xml:space="preserve">Este efecto se </w:t>
      </w:r>
      <w:r w:rsidRPr="006003EA">
        <w:rPr>
          <w:color w:val="000000" w:themeColor="text1"/>
        </w:rPr>
        <w:t xml:space="preserve">pude </w:t>
      </w:r>
      <w:r w:rsidR="003C207B">
        <w:rPr>
          <w:color w:val="000000" w:themeColor="text1"/>
        </w:rPr>
        <w:t>ejemplificar</w:t>
      </w:r>
      <w:r w:rsidRPr="006003EA">
        <w:rPr>
          <w:color w:val="000000" w:themeColor="text1"/>
        </w:rPr>
        <w:t xml:space="preserve"> con una mercancía del mismo peso y diferente precio: </w:t>
      </w:r>
    </w:p>
    <w:p w14:paraId="7D157B3B" w14:textId="65083C74" w:rsidR="00532371" w:rsidRPr="006003EA" w:rsidRDefault="00532371" w:rsidP="00532371">
      <w:pPr>
        <w:pStyle w:val="Figuras"/>
        <w:rPr>
          <w:color w:val="000000" w:themeColor="text1"/>
        </w:rPr>
      </w:pPr>
      <w:r w:rsidRPr="006003EA">
        <w:rPr>
          <w:rStyle w:val="negrita"/>
          <w:i w:val="0"/>
          <w:iCs/>
          <w:color w:val="000000" w:themeColor="text1"/>
        </w:rPr>
        <w:t>TABLA 1</w:t>
      </w:r>
      <w:r w:rsidRPr="006003EA">
        <w:rPr>
          <w:color w:val="000000" w:themeColor="text1"/>
        </w:rPr>
        <w:t>. Efecto de los aranceles mixtos ante la variación de precio de una mercancía</w:t>
      </w:r>
    </w:p>
    <w:tbl>
      <w:tblPr>
        <w:tblW w:w="6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567"/>
        <w:gridCol w:w="708"/>
        <w:gridCol w:w="1134"/>
        <w:gridCol w:w="851"/>
        <w:gridCol w:w="850"/>
        <w:gridCol w:w="1469"/>
      </w:tblGrid>
      <w:tr w:rsidR="00532371" w:rsidRPr="006003EA" w14:paraId="6BB335A1" w14:textId="77777777" w:rsidTr="00154737">
        <w:trPr>
          <w:trHeight w:val="219"/>
          <w:jc w:val="center"/>
        </w:trPr>
        <w:tc>
          <w:tcPr>
            <w:tcW w:w="988" w:type="dxa"/>
            <w:noWrap/>
            <w:vAlign w:val="bottom"/>
            <w:hideMark/>
          </w:tcPr>
          <w:p w14:paraId="0FBAB8A4" w14:textId="70676D49" w:rsidR="00532371" w:rsidRPr="006003EA" w:rsidRDefault="00532371" w:rsidP="006E0C65">
            <w:pPr>
              <w:spacing w:after="0" w:line="240" w:lineRule="auto"/>
              <w:jc w:val="left"/>
              <w:rPr>
                <w:rFonts w:ascii="Arial Narrow" w:eastAsia="Times New Roman" w:hAnsi="Arial Narrow" w:cs="Times New Roman"/>
                <w:i/>
                <w:iCs/>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Mercancía</w:t>
            </w:r>
          </w:p>
        </w:tc>
        <w:tc>
          <w:tcPr>
            <w:tcW w:w="567" w:type="dxa"/>
            <w:noWrap/>
            <w:vAlign w:val="bottom"/>
            <w:hideMark/>
          </w:tcPr>
          <w:p w14:paraId="094A3756" w14:textId="789D3B2F" w:rsidR="00532371" w:rsidRPr="006003EA" w:rsidRDefault="00532371" w:rsidP="006E0C65">
            <w:pPr>
              <w:spacing w:after="0" w:line="240" w:lineRule="auto"/>
              <w:jc w:val="left"/>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Peso</w:t>
            </w:r>
          </w:p>
        </w:tc>
        <w:tc>
          <w:tcPr>
            <w:tcW w:w="708" w:type="dxa"/>
            <w:noWrap/>
            <w:vAlign w:val="bottom"/>
            <w:hideMark/>
          </w:tcPr>
          <w:p w14:paraId="7F3983DA" w14:textId="62813EAC" w:rsidR="00532371" w:rsidRPr="006003EA" w:rsidRDefault="00532371" w:rsidP="006E0C65">
            <w:pPr>
              <w:spacing w:after="0" w:line="240" w:lineRule="auto"/>
              <w:jc w:val="left"/>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Precio</w:t>
            </w:r>
          </w:p>
        </w:tc>
        <w:tc>
          <w:tcPr>
            <w:tcW w:w="1134" w:type="dxa"/>
            <w:noWrap/>
            <w:vAlign w:val="bottom"/>
            <w:hideMark/>
          </w:tcPr>
          <w:p w14:paraId="5C844971" w14:textId="7331927B" w:rsidR="00532371" w:rsidRPr="006003EA" w:rsidRDefault="00532371" w:rsidP="006E0C65">
            <w:pPr>
              <w:spacing w:after="0" w:line="240" w:lineRule="auto"/>
              <w:contextualSpacing/>
              <w:jc w:val="left"/>
              <w:rPr>
                <w:rFonts w:ascii="Arial Narrow" w:eastAsia="Times New Roman" w:hAnsi="Arial Narrow" w:cs="Times New Roman"/>
                <w:i/>
                <w:iCs/>
                <w:color w:val="000000" w:themeColor="text1"/>
                <w:sz w:val="16"/>
                <w:szCs w:val="16"/>
                <w:lang w:val="es-ES_tradnl" w:eastAsia="es-ES"/>
              </w:rPr>
            </w:pPr>
            <w:r w:rsidRPr="006003EA">
              <w:rPr>
                <w:rFonts w:ascii="Arial Narrow" w:eastAsia="Times New Roman" w:hAnsi="Arial Narrow" w:cs="Times New Roman"/>
                <w:i/>
                <w:iCs/>
                <w:color w:val="000000" w:themeColor="text1"/>
                <w:sz w:val="16"/>
                <w:szCs w:val="16"/>
                <w:lang w:val="es-ES_tradnl" w:eastAsia="es-ES"/>
              </w:rPr>
              <w:t xml:space="preserve">Ad </w:t>
            </w:r>
            <w:proofErr w:type="spellStart"/>
            <w:r w:rsidRPr="006003EA">
              <w:rPr>
                <w:rFonts w:ascii="Arial Narrow" w:eastAsia="Times New Roman" w:hAnsi="Arial Narrow" w:cs="Times New Roman"/>
                <w:i/>
                <w:iCs/>
                <w:color w:val="000000" w:themeColor="text1"/>
                <w:sz w:val="16"/>
                <w:szCs w:val="16"/>
                <w:lang w:val="es-ES_tradnl" w:eastAsia="es-ES"/>
              </w:rPr>
              <w:t>valorem</w:t>
            </w:r>
            <w:proofErr w:type="spellEnd"/>
            <w:r w:rsidRPr="006003EA">
              <w:rPr>
                <w:rFonts w:ascii="Arial Narrow" w:eastAsia="Times New Roman" w:hAnsi="Arial Narrow" w:cs="Times New Roman"/>
                <w:i/>
                <w:iCs/>
                <w:color w:val="000000" w:themeColor="text1"/>
                <w:sz w:val="16"/>
                <w:szCs w:val="16"/>
                <w:lang w:val="es-ES_tradnl" w:eastAsia="es-ES"/>
              </w:rPr>
              <w:t> </w:t>
            </w:r>
          </w:p>
        </w:tc>
        <w:tc>
          <w:tcPr>
            <w:tcW w:w="851" w:type="dxa"/>
            <w:noWrap/>
            <w:vAlign w:val="bottom"/>
            <w:hideMark/>
          </w:tcPr>
          <w:p w14:paraId="5A0248A5" w14:textId="682AF423" w:rsidR="00532371" w:rsidRPr="006003EA" w:rsidRDefault="00532371" w:rsidP="006E0C65">
            <w:pPr>
              <w:spacing w:after="0" w:line="240" w:lineRule="auto"/>
              <w:contextualSpacing/>
              <w:jc w:val="left"/>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Específico</w:t>
            </w:r>
          </w:p>
        </w:tc>
        <w:tc>
          <w:tcPr>
            <w:tcW w:w="850" w:type="dxa"/>
            <w:noWrap/>
            <w:vAlign w:val="bottom"/>
            <w:hideMark/>
          </w:tcPr>
          <w:p w14:paraId="24A9BE8E" w14:textId="2FA0AF7F" w:rsidR="00532371" w:rsidRPr="006003EA" w:rsidRDefault="00532371" w:rsidP="006E0C65">
            <w:pPr>
              <w:spacing w:after="0" w:line="240" w:lineRule="auto"/>
              <w:contextualSpacing/>
              <w:jc w:val="left"/>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Arancel mixto</w:t>
            </w:r>
          </w:p>
        </w:tc>
        <w:tc>
          <w:tcPr>
            <w:tcW w:w="1469" w:type="dxa"/>
            <w:noWrap/>
            <w:vAlign w:val="bottom"/>
            <w:hideMark/>
          </w:tcPr>
          <w:p w14:paraId="1F00148C" w14:textId="497DD75B" w:rsidR="00532371" w:rsidRPr="006003EA" w:rsidRDefault="00532371" w:rsidP="006E0C65">
            <w:pPr>
              <w:spacing w:after="0" w:line="240" w:lineRule="auto"/>
              <w:contextualSpacing/>
              <w:jc w:val="left"/>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Relación del arancel frente al precio </w:t>
            </w:r>
          </w:p>
        </w:tc>
      </w:tr>
      <w:tr w:rsidR="00154737" w:rsidRPr="006003EA" w14:paraId="315E03CD" w14:textId="77777777" w:rsidTr="00154737">
        <w:trPr>
          <w:trHeight w:val="219"/>
          <w:jc w:val="center"/>
        </w:trPr>
        <w:tc>
          <w:tcPr>
            <w:tcW w:w="988" w:type="dxa"/>
            <w:vMerge w:val="restart"/>
            <w:noWrap/>
            <w:vAlign w:val="bottom"/>
            <w:hideMark/>
          </w:tcPr>
          <w:p w14:paraId="47EFAF73" w14:textId="0DFAF136" w:rsidR="00154737" w:rsidRPr="006003EA" w:rsidRDefault="00154737" w:rsidP="006E0C65">
            <w:pPr>
              <w:spacing w:after="0" w:line="240" w:lineRule="auto"/>
              <w:jc w:val="left"/>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Perfil de aluminio de 2m.</w:t>
            </w:r>
          </w:p>
        </w:tc>
        <w:tc>
          <w:tcPr>
            <w:tcW w:w="567" w:type="dxa"/>
            <w:noWrap/>
            <w:vAlign w:val="center"/>
            <w:hideMark/>
          </w:tcPr>
          <w:p w14:paraId="512AAF49" w14:textId="7C555FAD" w:rsidR="00154737" w:rsidRPr="006003EA" w:rsidRDefault="00154737" w:rsidP="00154737">
            <w:pPr>
              <w:spacing w:after="0" w:line="240" w:lineRule="auto"/>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1 kg.</w:t>
            </w:r>
          </w:p>
        </w:tc>
        <w:tc>
          <w:tcPr>
            <w:tcW w:w="708" w:type="dxa"/>
            <w:noWrap/>
            <w:vAlign w:val="center"/>
            <w:hideMark/>
          </w:tcPr>
          <w:p w14:paraId="6D935B8F" w14:textId="54E70FF9" w:rsidR="00154737" w:rsidRPr="006003EA" w:rsidRDefault="00154737" w:rsidP="00532371">
            <w:pPr>
              <w:spacing w:after="0" w:line="240" w:lineRule="auto"/>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10</w:t>
            </w:r>
          </w:p>
        </w:tc>
        <w:tc>
          <w:tcPr>
            <w:tcW w:w="1134" w:type="dxa"/>
            <w:noWrap/>
            <w:vAlign w:val="center"/>
            <w:hideMark/>
          </w:tcPr>
          <w:p w14:paraId="492C6733" w14:textId="73D0D9ED" w:rsidR="00154737" w:rsidRPr="006003EA" w:rsidRDefault="00154737" w:rsidP="00532371">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5% = USD 0.50</w:t>
            </w:r>
          </w:p>
        </w:tc>
        <w:tc>
          <w:tcPr>
            <w:tcW w:w="851" w:type="dxa"/>
            <w:noWrap/>
            <w:vAlign w:val="center"/>
            <w:hideMark/>
          </w:tcPr>
          <w:p w14:paraId="477FD8BB" w14:textId="2EBBAFA8"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1.20</w:t>
            </w:r>
          </w:p>
        </w:tc>
        <w:tc>
          <w:tcPr>
            <w:tcW w:w="850" w:type="dxa"/>
            <w:noWrap/>
            <w:vAlign w:val="center"/>
            <w:hideMark/>
          </w:tcPr>
          <w:p w14:paraId="0EAA6989" w14:textId="2AC94D24"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1.70*</w:t>
            </w:r>
          </w:p>
        </w:tc>
        <w:tc>
          <w:tcPr>
            <w:tcW w:w="1469" w:type="dxa"/>
            <w:noWrap/>
            <w:vAlign w:val="center"/>
            <w:hideMark/>
          </w:tcPr>
          <w:p w14:paraId="3A9F59F4" w14:textId="08998C25"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1.70 ÷ 10 = 17%</w:t>
            </w:r>
          </w:p>
        </w:tc>
      </w:tr>
      <w:tr w:rsidR="00154737" w:rsidRPr="006003EA" w14:paraId="7E4FCB35" w14:textId="77777777" w:rsidTr="00154737">
        <w:trPr>
          <w:trHeight w:val="219"/>
          <w:jc w:val="center"/>
        </w:trPr>
        <w:tc>
          <w:tcPr>
            <w:tcW w:w="988" w:type="dxa"/>
            <w:vMerge/>
            <w:noWrap/>
            <w:vAlign w:val="bottom"/>
          </w:tcPr>
          <w:p w14:paraId="0896BED2" w14:textId="77777777" w:rsidR="00154737" w:rsidRPr="006003EA" w:rsidRDefault="00154737" w:rsidP="006E0C65">
            <w:pPr>
              <w:spacing w:after="0" w:line="240" w:lineRule="auto"/>
              <w:jc w:val="left"/>
              <w:rPr>
                <w:rFonts w:ascii="Arial Narrow" w:eastAsia="Times New Roman" w:hAnsi="Arial Narrow" w:cs="Times New Roman"/>
                <w:color w:val="000000" w:themeColor="text1"/>
                <w:sz w:val="16"/>
                <w:szCs w:val="16"/>
                <w:lang w:val="es-ES_tradnl" w:eastAsia="es-ES"/>
              </w:rPr>
            </w:pPr>
          </w:p>
        </w:tc>
        <w:tc>
          <w:tcPr>
            <w:tcW w:w="567" w:type="dxa"/>
            <w:noWrap/>
            <w:vAlign w:val="center"/>
          </w:tcPr>
          <w:p w14:paraId="1A23258E" w14:textId="63ADAB70" w:rsidR="00154737" w:rsidRPr="006003EA" w:rsidRDefault="00154737" w:rsidP="00154737">
            <w:pPr>
              <w:spacing w:after="0" w:line="240" w:lineRule="auto"/>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1 kg.</w:t>
            </w:r>
          </w:p>
        </w:tc>
        <w:tc>
          <w:tcPr>
            <w:tcW w:w="708" w:type="dxa"/>
            <w:noWrap/>
            <w:vAlign w:val="center"/>
          </w:tcPr>
          <w:p w14:paraId="516472F4" w14:textId="512F6DFC" w:rsidR="00154737" w:rsidRPr="006003EA" w:rsidRDefault="00154737" w:rsidP="00532371">
            <w:pPr>
              <w:spacing w:after="0" w:line="240" w:lineRule="auto"/>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3</w:t>
            </w:r>
          </w:p>
        </w:tc>
        <w:tc>
          <w:tcPr>
            <w:tcW w:w="1134" w:type="dxa"/>
            <w:noWrap/>
            <w:vAlign w:val="center"/>
          </w:tcPr>
          <w:p w14:paraId="159AE797" w14:textId="215D2E4C" w:rsidR="00154737" w:rsidRPr="006003EA" w:rsidRDefault="00154737" w:rsidP="00532371">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5% = USD 0.15</w:t>
            </w:r>
          </w:p>
        </w:tc>
        <w:tc>
          <w:tcPr>
            <w:tcW w:w="851" w:type="dxa"/>
            <w:noWrap/>
            <w:vAlign w:val="center"/>
          </w:tcPr>
          <w:p w14:paraId="72B34360" w14:textId="49699A37"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1.20</w:t>
            </w:r>
          </w:p>
        </w:tc>
        <w:tc>
          <w:tcPr>
            <w:tcW w:w="850" w:type="dxa"/>
            <w:noWrap/>
            <w:vAlign w:val="center"/>
          </w:tcPr>
          <w:p w14:paraId="622CAA91" w14:textId="07A122CB"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1.35*</w:t>
            </w:r>
          </w:p>
        </w:tc>
        <w:tc>
          <w:tcPr>
            <w:tcW w:w="1469" w:type="dxa"/>
            <w:noWrap/>
            <w:vAlign w:val="center"/>
          </w:tcPr>
          <w:p w14:paraId="66985DB5" w14:textId="1BF5784B"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1.35 ÷ 3 = 45%</w:t>
            </w:r>
          </w:p>
        </w:tc>
      </w:tr>
      <w:tr w:rsidR="00154737" w:rsidRPr="006003EA" w14:paraId="266CD823" w14:textId="77777777" w:rsidTr="00154737">
        <w:trPr>
          <w:trHeight w:val="219"/>
          <w:jc w:val="center"/>
        </w:trPr>
        <w:tc>
          <w:tcPr>
            <w:tcW w:w="988" w:type="dxa"/>
            <w:vMerge/>
            <w:noWrap/>
            <w:vAlign w:val="bottom"/>
          </w:tcPr>
          <w:p w14:paraId="260C60ED" w14:textId="77777777" w:rsidR="00154737" w:rsidRPr="006003EA" w:rsidRDefault="00154737" w:rsidP="006E0C65">
            <w:pPr>
              <w:spacing w:after="0" w:line="240" w:lineRule="auto"/>
              <w:jc w:val="left"/>
              <w:rPr>
                <w:rFonts w:ascii="Arial Narrow" w:eastAsia="Times New Roman" w:hAnsi="Arial Narrow" w:cs="Times New Roman"/>
                <w:color w:val="000000" w:themeColor="text1"/>
                <w:sz w:val="16"/>
                <w:szCs w:val="16"/>
                <w:lang w:val="es-ES_tradnl" w:eastAsia="es-ES"/>
              </w:rPr>
            </w:pPr>
          </w:p>
        </w:tc>
        <w:tc>
          <w:tcPr>
            <w:tcW w:w="567" w:type="dxa"/>
            <w:noWrap/>
            <w:vAlign w:val="center"/>
          </w:tcPr>
          <w:p w14:paraId="43EF2091" w14:textId="1DCB728B" w:rsidR="00154737" w:rsidRPr="006003EA" w:rsidRDefault="00154737" w:rsidP="00154737">
            <w:pPr>
              <w:spacing w:after="0" w:line="240" w:lineRule="auto"/>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1 kg.</w:t>
            </w:r>
          </w:p>
        </w:tc>
        <w:tc>
          <w:tcPr>
            <w:tcW w:w="708" w:type="dxa"/>
            <w:noWrap/>
            <w:vAlign w:val="center"/>
          </w:tcPr>
          <w:p w14:paraId="47C1248E" w14:textId="50BEE9ED" w:rsidR="00154737" w:rsidRPr="006003EA" w:rsidRDefault="00154737" w:rsidP="00532371">
            <w:pPr>
              <w:spacing w:after="0" w:line="240" w:lineRule="auto"/>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3</w:t>
            </w:r>
          </w:p>
        </w:tc>
        <w:tc>
          <w:tcPr>
            <w:tcW w:w="1134" w:type="dxa"/>
            <w:noWrap/>
            <w:vAlign w:val="center"/>
          </w:tcPr>
          <w:p w14:paraId="57A4392C" w14:textId="1C4AC0F7" w:rsidR="00154737" w:rsidRPr="006003EA" w:rsidRDefault="00154737" w:rsidP="00532371">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2% = USD 0.06</w:t>
            </w:r>
          </w:p>
        </w:tc>
        <w:tc>
          <w:tcPr>
            <w:tcW w:w="851" w:type="dxa"/>
            <w:noWrap/>
            <w:vAlign w:val="center"/>
          </w:tcPr>
          <w:p w14:paraId="523221CD" w14:textId="5133C0B9"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2.40</w:t>
            </w:r>
          </w:p>
        </w:tc>
        <w:tc>
          <w:tcPr>
            <w:tcW w:w="850" w:type="dxa"/>
            <w:noWrap/>
            <w:vAlign w:val="center"/>
          </w:tcPr>
          <w:p w14:paraId="6847A6FD" w14:textId="2F764E38"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USD 2.46**</w:t>
            </w:r>
          </w:p>
        </w:tc>
        <w:tc>
          <w:tcPr>
            <w:tcW w:w="1469" w:type="dxa"/>
            <w:noWrap/>
            <w:vAlign w:val="center"/>
          </w:tcPr>
          <w:p w14:paraId="1FDE18DF" w14:textId="0D01A061" w:rsidR="00154737" w:rsidRPr="006003EA" w:rsidRDefault="00154737" w:rsidP="00154737">
            <w:pPr>
              <w:spacing w:after="0" w:line="240" w:lineRule="auto"/>
              <w:contextualSpacing/>
              <w:rPr>
                <w:rFonts w:ascii="Arial Narrow" w:eastAsia="Times New Roman" w:hAnsi="Arial Narrow" w:cs="Times New Roman"/>
                <w:color w:val="000000" w:themeColor="text1"/>
                <w:sz w:val="16"/>
                <w:szCs w:val="16"/>
                <w:lang w:val="es-ES_tradnl" w:eastAsia="es-ES"/>
              </w:rPr>
            </w:pPr>
            <w:r w:rsidRPr="006003EA">
              <w:rPr>
                <w:rFonts w:ascii="Arial Narrow" w:eastAsia="Times New Roman" w:hAnsi="Arial Narrow" w:cs="Times New Roman"/>
                <w:color w:val="000000" w:themeColor="text1"/>
                <w:sz w:val="16"/>
                <w:szCs w:val="16"/>
                <w:lang w:val="es-ES_tradnl" w:eastAsia="es-ES"/>
              </w:rPr>
              <w:t>2.46 ÷ 3 = 82%</w:t>
            </w:r>
          </w:p>
        </w:tc>
      </w:tr>
    </w:tbl>
    <w:p w14:paraId="49390032" w14:textId="74DC737D" w:rsidR="00154737" w:rsidRPr="006003EA" w:rsidRDefault="00154737" w:rsidP="00154737">
      <w:pPr>
        <w:pStyle w:val="Fuente"/>
        <w:jc w:val="right"/>
        <w:rPr>
          <w:color w:val="000000" w:themeColor="text1"/>
          <w:sz w:val="16"/>
          <w:szCs w:val="16"/>
        </w:rPr>
      </w:pPr>
      <w:r w:rsidRPr="006003EA">
        <w:rPr>
          <w:color w:val="000000" w:themeColor="text1"/>
          <w:sz w:val="16"/>
          <w:szCs w:val="16"/>
        </w:rPr>
        <w:t>*Arancel mixto de la Resolución 012-2017: 5% + USD 1,20 por kg.</w:t>
      </w:r>
    </w:p>
    <w:p w14:paraId="7B75E6AD" w14:textId="4D260E99" w:rsidR="00154737" w:rsidRPr="006003EA" w:rsidRDefault="00154737" w:rsidP="00154737">
      <w:pPr>
        <w:pStyle w:val="Fuente"/>
        <w:jc w:val="right"/>
        <w:rPr>
          <w:color w:val="000000" w:themeColor="text1"/>
          <w:sz w:val="16"/>
          <w:szCs w:val="16"/>
        </w:rPr>
      </w:pPr>
      <w:r w:rsidRPr="006003EA">
        <w:rPr>
          <w:color w:val="000000" w:themeColor="text1"/>
          <w:sz w:val="16"/>
          <w:szCs w:val="16"/>
        </w:rPr>
        <w:t>**Arancel mixto de la Resolución 006-2024: 2% + USD 2.40 por kg.</w:t>
      </w:r>
    </w:p>
    <w:p w14:paraId="3FB3D242" w14:textId="1272627D" w:rsidR="00532371" w:rsidRPr="006003EA" w:rsidRDefault="00532371" w:rsidP="00532371">
      <w:pPr>
        <w:pStyle w:val="Fuente"/>
        <w:rPr>
          <w:color w:val="000000" w:themeColor="text1"/>
          <w:lang w:eastAsia="es-ES"/>
        </w:rPr>
      </w:pPr>
      <w:r w:rsidRPr="006003EA">
        <w:rPr>
          <w:color w:val="000000" w:themeColor="text1"/>
        </w:rPr>
        <w:t>Fuente: elaboración propia</w:t>
      </w:r>
    </w:p>
    <w:p w14:paraId="3AA58DC0" w14:textId="77777777" w:rsidR="00154737" w:rsidRPr="006003EA" w:rsidRDefault="00154737" w:rsidP="00154737">
      <w:pPr>
        <w:rPr>
          <w:color w:val="000000" w:themeColor="text1"/>
        </w:rPr>
      </w:pPr>
      <w:r w:rsidRPr="006003EA">
        <w:rPr>
          <w:color w:val="000000" w:themeColor="text1"/>
        </w:rPr>
        <w:lastRenderedPageBreak/>
        <w:t xml:space="preserve">En la Lista de concesiones del Ecuador el arancel máximo para perfiles de aluminio es 15% </w:t>
      </w:r>
      <w:r w:rsidRPr="006003EA">
        <w:rPr>
          <w:i/>
          <w:iCs/>
          <w:color w:val="000000" w:themeColor="text1"/>
        </w:rPr>
        <w:t xml:space="preserve">ad </w:t>
      </w:r>
      <w:proofErr w:type="spellStart"/>
      <w:r w:rsidRPr="006003EA">
        <w:rPr>
          <w:i/>
          <w:iCs/>
          <w:color w:val="000000" w:themeColor="text1"/>
        </w:rPr>
        <w:t>valorem</w:t>
      </w:r>
      <w:proofErr w:type="spellEnd"/>
      <w:r w:rsidRPr="006003EA">
        <w:rPr>
          <w:color w:val="000000" w:themeColor="text1"/>
        </w:rPr>
        <w:t>. Entonces, el arancel mixto en los ejemplos tendría como efecto un valor mayor al que resultaría para el mismo producto si se aplicase la tarifa máxima de la Lista y cabe recordar que en el sistema constitucional ecuatoriano el derecho internacional se aplica directamente lo cual ha sido reconocido así por la jurisprudencia (Murillo, 2025, p. 167). Al respecto, mediante sentencia de 19 de mayo de 2023 de la Sala Especializada de lo Contencioso Tributario de la Corte Nacional de Justicia del Ecuador dentro del juicio No. 17510­-2020-­00223 se reconoció la aplicación directa del derecho internacional y se estableció que, si bien el arancel mixto no viola la Lista directamente, “en su aplicación debe   velarse   por   aplicar   el   arancel   mixto hasta   por el   porcentaje   arancelario   consolidado” (Corte Nacional de Justicia del Ecuador, 2023). La Corte Nacional en este caso estableció que es responsabilidad de la autoridad aduanera aplicar de forma integral el ordenamiento jurídico, en este caso, aplicar la tarifa establecida por el COMEX, pero jamás cobrar un valor cuyo efecto sea exceder la tarifa máxima consolidada en la Lista.</w:t>
      </w:r>
    </w:p>
    <w:p w14:paraId="7C3BE4F3" w14:textId="77777777" w:rsidR="00154737" w:rsidRPr="006003EA" w:rsidRDefault="00154737" w:rsidP="00154737">
      <w:pPr>
        <w:rPr>
          <w:color w:val="000000" w:themeColor="text1"/>
        </w:rPr>
      </w:pPr>
      <w:r w:rsidRPr="006003EA">
        <w:rPr>
          <w:color w:val="000000" w:themeColor="text1"/>
        </w:rPr>
        <w:t xml:space="preserve">En este contexto, el arancel del Ecuador incorporó aranceles mixtos en 2012, arancel publicado en el Registro Oficial del Ecuador el 28 de diciembre de 2012. Estos aranceles se han mantenido y constan en el arancel vigente aprobado mediante Resolución Nro. 002-2023 del COMEX publicada en el Registro Oficial del 2 de mayo de 2023. Existiendo varias demandas judiciales para obtener la devolución de valores pagados en exceso por estos aranceles, aunque no se han publicado estadísticas oficiales, de la revisión del autor a la página de la función judicial (https://procesosjudiciales.funcionjudicial.gob.ec/busqueda-filtros) se pudo identificar más de 120 causas por este motivo iniciadas en 2024 ante el Tribunal Distrital de lo Contencioso Tributario de Guayaquil. Es decir, el Ecuador está aplicando una restricción a la importación que, al menos en el caso de perfiles de aluminio, tiene como antecedente una solicitud de la industria nacional para aplicar una medida de defensa comercial. Entonces, es relevante analizar si una medida Antidumping pudo haber brindado una mejor respuesta que la reforma directa del arancel, ya que, si legalmente no se debe cobrar el exceso sobre la tarifa </w:t>
      </w:r>
      <w:r w:rsidRPr="006003EA">
        <w:rPr>
          <w:color w:val="000000" w:themeColor="text1"/>
        </w:rPr>
        <w:lastRenderedPageBreak/>
        <w:t>prevista en la Lista, los productos de precios más bajos percibirían un mayor beneficio, inclusive en detrimento de productos importados de mayor precio. Si entre las importaciones hubiese operaciones a precios de dumping, éstos serían los más baratos y conseguirían las tarifas arancelarias más bajas.</w:t>
      </w:r>
    </w:p>
    <w:p w14:paraId="70DA0308" w14:textId="444AF6C7" w:rsidR="00607EE3" w:rsidRPr="006003EA" w:rsidRDefault="00154737" w:rsidP="00154737">
      <w:pPr>
        <w:rPr>
          <w:color w:val="000000" w:themeColor="text1"/>
        </w:rPr>
      </w:pPr>
      <w:r w:rsidRPr="006003EA">
        <w:rPr>
          <w:color w:val="000000" w:themeColor="text1"/>
        </w:rPr>
        <w:t>Partiendo de que existen pedidos de la producción nacional para implementar medidas de defensa comercial, una investigación Antidumping permitiría establecer si en efecto dicha rama de producción presenta un daño o amenaza de daño lo cual legitimaría constitucionalmente la aplicación de una medida. Luego, permitiría investigar si el producto importado está ingresando a precios por debajo del “precio normal” en el mercado de origen a partir de lo cual se podría establecer el margen de dumping y el consecuente derecho antidumping. Una medida en esta línea se encuentra constitucionalmente justificada, amparada por el GATT de 1994 y regulada en la legislación nacional. Mientras que la medida actual ha sido cuestionada y ha dado lugar a un efecto colateral negativo. Inclusive existen cuestionamientos de socios comerciales, el diario El Comercio publicó el 9 de abril de 2025 una noticia titulada “Los aranceles mixtos del Ecuador bajo la lupa” donde se indica que durante los diálogos en materia comercial entre Ecuador y los Estados Unidos de América, la autoridad de comercio de este último habría cuestionado los aranceles mixtos del Ecuador.</w:t>
      </w:r>
    </w:p>
    <w:p w14:paraId="29E998F4" w14:textId="3406BA48" w:rsidR="00154737" w:rsidRPr="006003EA" w:rsidRDefault="00154737" w:rsidP="00154737">
      <w:pPr>
        <w:pStyle w:val="Ttulo2"/>
        <w:rPr>
          <w:color w:val="000000" w:themeColor="text1"/>
        </w:rPr>
      </w:pPr>
      <w:r w:rsidRPr="006003EA">
        <w:rPr>
          <w:color w:val="000000" w:themeColor="text1"/>
        </w:rPr>
        <w:t>2.2. Salvaguardia al azúcar</w:t>
      </w:r>
    </w:p>
    <w:p w14:paraId="552090C8" w14:textId="77777777" w:rsidR="00154737" w:rsidRPr="006003EA" w:rsidRDefault="00154737" w:rsidP="00154737">
      <w:pPr>
        <w:rPr>
          <w:color w:val="000000" w:themeColor="text1"/>
        </w:rPr>
      </w:pPr>
      <w:r w:rsidRPr="006003EA">
        <w:rPr>
          <w:color w:val="000000" w:themeColor="text1"/>
        </w:rPr>
        <w:t xml:space="preserve">El 18 de septiembre de 2017 una asociación de productores nacionales solicitó al entonces Ministerio de Comercio Exterior (actual Ministerio de Producción, Comercio Exterior e Inversiones) protección para la industria nacional del azúcar frente a la competencia de importaciones provenientes de Colombia (Comité de Comercio Exterior COMEX, 2017a). Este caso es más técnico que el precedente, puesto que el Ecuador invocó el artículo 97 del Acuerdo de Cartagena de 1969 por el cual se establece la Comunidad Andina (“Acuerdo de Cartagena”), el cual prevé la posibilidad de aplicar medidas correctivas de carácter temporal a productos provenientes de la subregión andina. Mediante Resolución </w:t>
      </w:r>
      <w:r w:rsidRPr="006003EA">
        <w:rPr>
          <w:color w:val="000000" w:themeColor="text1"/>
        </w:rPr>
        <w:lastRenderedPageBreak/>
        <w:t>Nro. 030-2017 el COMEX estableció una medida correctiva no discriminatoria y temporal a las importaciones de azúcar originarias de los Países Miembros de la Comunidad Andina (“CAN”) y conforme el mismo Acuerdo de Cartagena notificó a la Secretaría General de la CAN, autoridad que «verificará la perturbación y el origen de las importaciones causantes de la misma y emitirá su pronunciamiento, ya sea para suspender, modificar o autorizar dichas medidas» (Comisión de la Comunidad Andina, 2003). La Secretaría General se pronunció mediante la Resolución Nro. 2005, publicada en la Gaceta Oficial del Acuerdo de Cartagena Nro. 3291 de 25 de mayo de 2018, en la cual mediante un análisis agregado de las importaciones concluyó que los precios del azúcar importado se habían incrementado en el periodo que sirvió de base al Ecuador para establecer la medida ya que el análisis agregado llevó a considerar precios promedio para el total de importaciones (Secretaría General de la Comunidad Andina, 2018, paras. 99, 144 a 152). Finalmente, la Secretaría analizó los indicadores de la industria ecuatoriana para concluir que no existió una perturbación (Secretaría General de la Comunidad Andina, 2018, para. 172).</w:t>
      </w:r>
    </w:p>
    <w:p w14:paraId="5D5F3EBE" w14:textId="77777777" w:rsidR="00154737" w:rsidRPr="006003EA" w:rsidRDefault="00154737" w:rsidP="00154737">
      <w:pPr>
        <w:rPr>
          <w:color w:val="000000" w:themeColor="text1"/>
        </w:rPr>
      </w:pPr>
      <w:r w:rsidRPr="006003EA">
        <w:rPr>
          <w:color w:val="000000" w:themeColor="text1"/>
        </w:rPr>
        <w:t xml:space="preserve">La Secretaría General de la CAN justifica el análisis agregado de acuerdo con la naturaleza no discriminatoria de la medida correctiva. Pero en el caso de medidas antidumping se analiza los precios de forma individual, al respecto se puede ver el artículo 24 de la Resolución 10-2018 del COMEX que aprueba los Mecanismos y Procedimientos para las Investigaciones de Dumping y Aplicación de Medidas Antidumping (Comité de Comercio Exterior COMEX, 2018). Una medida no discriminatoria debe considerar el total de las importaciones de un periodo en forma agregada pudiendo pasar por alto prácticas de ciertos actores que sí serían identificadas en una investigación de precios individuales como el antidumping. La Secretaría General también valora datos de otras fuentes que no fueron consideradas al imponer la medida correctiva y hace menciona reiteradamente diferencias entre la información proporcionada por el Ecuador y la información analizada en su conjunto. Entre las razones de estas diferencias está la selección de la muestra, ya que para la imposición de la medida se consideró datos de un grupo de empresas lo que genera resultados diferentes a un análisis </w:t>
      </w:r>
      <w:r w:rsidRPr="006003EA">
        <w:rPr>
          <w:color w:val="000000" w:themeColor="text1"/>
        </w:rPr>
        <w:lastRenderedPageBreak/>
        <w:t>agregado. Sobre este aspecto se puede ver los párrafos 133, 144 y 166 de la citada resolución (Secretaría General de la Comunidad Andina, 2018). Por su parte, el artículo 76 de la Resolución 10-2018 del COMEX establece que, en el caso de antidumping, se puede analizar muestras establecidas por la Autoridad Investigadora.</w:t>
      </w:r>
    </w:p>
    <w:p w14:paraId="29F6E30E" w14:textId="77777777" w:rsidR="00154737" w:rsidRPr="006003EA" w:rsidRDefault="00154737" w:rsidP="00154737">
      <w:pPr>
        <w:rPr>
          <w:color w:val="000000" w:themeColor="text1"/>
        </w:rPr>
      </w:pPr>
      <w:r w:rsidRPr="006003EA">
        <w:rPr>
          <w:color w:val="000000" w:themeColor="text1"/>
        </w:rPr>
        <w:t>Adicionalmente, la investigación antidumping es de carácter adversarial, la Autoridad Investigadora debe notificar a las partes interesadas incluyendo gobiernos, exportadores acusados de dumping e importadores conforme al artículo 37 de la Resolución 10-2018 del COMEX. Esto permitiría encausar el conflicto, en lugar de que los importadores y exportadores se enfrenten a una situación consolidada con una medida ya impuesta, el antidumping ofrece la oportunidad de presentar sus argumentos y pruebas con antelación y además puede cerrarse mediante compromisos de precios por parte de los exportadores para corregir la práctica investigada.</w:t>
      </w:r>
    </w:p>
    <w:p w14:paraId="4B4A249C" w14:textId="7F71565D" w:rsidR="00154737" w:rsidRPr="006003EA" w:rsidRDefault="00154737" w:rsidP="00154737">
      <w:pPr>
        <w:rPr>
          <w:color w:val="000000" w:themeColor="text1"/>
        </w:rPr>
      </w:pPr>
      <w:r w:rsidRPr="006003EA">
        <w:rPr>
          <w:color w:val="000000" w:themeColor="text1"/>
        </w:rPr>
        <w:t>En el presente artículo no se pretende establecer si el caso de la medida correctiva a las importaciones de azúcar hubiese dado lugar a la imposición de una medida antidumping compatible con el ordenamiento ecuatoriano y andino. En su lugar, lo que se analiza es si el procedimiento en sí mismo hubiese ofrecido una alternativa más adecuada para atender los planteamientos de las partes. La realidad que se evidencia en la imposición de medidas para proteger a la industria nacional es que este tipo de procesos son parte de la propia naturaleza del comercio. Por lo tanto, un procedimiento contradictorio donde las partes tienen oportunidad de exponer sus argumentos de forma escrita y oral, presentar pruebas y arribar a acuerdos, ofrece una opción para canalizar las controversias. Adicionalmente, al contar con la información y pruebas de las diferentes partes interesadas, en un caso como el analizado sobre las importaciones de azúcar, la determinación de la Autoridad Investigadora hubiese debido tener en cuenta aquellos factores que recién observa la Secretaría General de la CAN cuando la medida correctiva ya estaba impuesta.</w:t>
      </w:r>
    </w:p>
    <w:p w14:paraId="3293BF51" w14:textId="76F41082" w:rsidR="00154737" w:rsidRPr="006003EA" w:rsidRDefault="00154737" w:rsidP="00154737">
      <w:pPr>
        <w:pStyle w:val="Ttulo2"/>
        <w:rPr>
          <w:color w:val="000000" w:themeColor="text1"/>
        </w:rPr>
      </w:pPr>
      <w:r w:rsidRPr="006003EA">
        <w:rPr>
          <w:color w:val="000000" w:themeColor="text1"/>
        </w:rPr>
        <w:t>2.3. Salvaguardia al polvo base para detergente</w:t>
      </w:r>
    </w:p>
    <w:p w14:paraId="5DA386C2" w14:textId="77777777" w:rsidR="00154737" w:rsidRPr="006003EA" w:rsidRDefault="00154737" w:rsidP="00154737">
      <w:pPr>
        <w:rPr>
          <w:color w:val="000000" w:themeColor="text1"/>
        </w:rPr>
      </w:pPr>
      <w:r w:rsidRPr="006003EA">
        <w:rPr>
          <w:color w:val="000000" w:themeColor="text1"/>
        </w:rPr>
        <w:lastRenderedPageBreak/>
        <w:t xml:space="preserve">El 6 de marzo de 2017 la rama de producción nacional de polvo base para elaboración de detergente solicitó al entonces Ministerio de Comercio Exterior (actual Ministerio de Producción, Comercio Exterior e Inversiones) la aplicación de una medida de defensa comercial para proteger a la industria nacional frente a importaciones de Colombia y Perú. El 27 de marzo la Autoridad Investigadora recomendó aplicar una medida provisional y el 31 de marzo se dictó la Resolución 012-2017 del Comité de Comercio Exterior COMEX (2017c) mediante la cual se impuso dicha medida bajo la forma de una tarifa del 15% ad </w:t>
      </w:r>
      <w:proofErr w:type="spellStart"/>
      <w:r w:rsidRPr="006003EA">
        <w:rPr>
          <w:color w:val="000000" w:themeColor="text1"/>
        </w:rPr>
        <w:t>valorem</w:t>
      </w:r>
      <w:proofErr w:type="spellEnd"/>
      <w:r w:rsidRPr="006003EA">
        <w:rPr>
          <w:color w:val="000000" w:themeColor="text1"/>
        </w:rPr>
        <w:t>. El Ecuador invocó el artículo 97 del Acuerdo de Cartagena, relativo a la protección de la industria nacional y notificó a la Secretaría General de la CAN como lo ordena el propio artículo. La Secretaría General se pronunció mediante Resolución 1948 publicada en la Gaceta Oficial del Acuerdo de Cartagena el 17 de septiembre de 2017 (Secretaría General de la Comunidad Andina, 2017), en la cual se cuestiona aspectos de la metodología de aplicada por la Autoridad Investigadora, aunque acepta la similitud de los productos analizados y la definición de la rama de producción nacional conformada por una única compañía. Entre los aspectos que valoró la Secretaría consta el uso de datos combinados de producto terminado (detergente) y del producto investigado (polvo base para la elaboración de detergente). Al hacer la segregación de los datos los resultados son materialmente diferentes a los tenidos en cuenta cuando se impuso la medida provisional.</w:t>
      </w:r>
    </w:p>
    <w:p w14:paraId="6575B3A4" w14:textId="77777777" w:rsidR="00154737" w:rsidRPr="006003EA" w:rsidRDefault="00154737" w:rsidP="00154737">
      <w:pPr>
        <w:rPr>
          <w:color w:val="000000" w:themeColor="text1"/>
        </w:rPr>
      </w:pPr>
      <w:r w:rsidRPr="006003EA">
        <w:rPr>
          <w:color w:val="000000" w:themeColor="text1"/>
        </w:rPr>
        <w:t xml:space="preserve">La Secretaría General de la CAN concluyó que la comparación de precios efectuada para imponer la medida provisional se hizo sobre del precio de importación con el costo de producción unitario local, lo cual no es razonable; toda vez que la comparación debe ser sobre precios de mercado. Además, valorando la información provista por todas las partes y la visita a las industrias ecuatorianas, estableció que no existía una perturbación a la rama de producción nacional al analizar los indicadores de empleo, capacidad instalada, inventarios y utilidades. Entonces, uno de los principales importadores de polvo de detergente inició procesos judiciales designados con los números 13802-201900060 y13802-2019-00061 (Murillo, 2025, pp. 167–168) para la devolución de los valores pagados. Los casos fueron resueltos en la Corte Nacional de Justicia </w:t>
      </w:r>
      <w:r w:rsidRPr="006003EA">
        <w:rPr>
          <w:color w:val="000000" w:themeColor="text1"/>
        </w:rPr>
        <w:lastRenderedPageBreak/>
        <w:t xml:space="preserve">del Ecuador abriendo paso a un precedente jurisprudencial que fue aprobado mediante Resolución 21-2024 del Pleno de esta alta corte. Este caso se analiza en mayor detalle en el artículo Judicial </w:t>
      </w:r>
      <w:proofErr w:type="spellStart"/>
      <w:r w:rsidRPr="006003EA">
        <w:rPr>
          <w:color w:val="000000" w:themeColor="text1"/>
        </w:rPr>
        <w:t>Review</w:t>
      </w:r>
      <w:proofErr w:type="spellEnd"/>
      <w:r w:rsidRPr="006003EA">
        <w:rPr>
          <w:color w:val="000000" w:themeColor="text1"/>
        </w:rPr>
        <w:t xml:space="preserve"> and </w:t>
      </w:r>
      <w:proofErr w:type="spellStart"/>
      <w:r w:rsidRPr="006003EA">
        <w:rPr>
          <w:color w:val="000000" w:themeColor="text1"/>
        </w:rPr>
        <w:t>Refund</w:t>
      </w:r>
      <w:proofErr w:type="spellEnd"/>
      <w:r w:rsidRPr="006003EA">
        <w:rPr>
          <w:color w:val="000000" w:themeColor="text1"/>
        </w:rPr>
        <w:t xml:space="preserve"> </w:t>
      </w:r>
      <w:proofErr w:type="spellStart"/>
      <w:r w:rsidRPr="006003EA">
        <w:rPr>
          <w:color w:val="000000" w:themeColor="text1"/>
        </w:rPr>
        <w:t>of</w:t>
      </w:r>
      <w:proofErr w:type="spellEnd"/>
      <w:r w:rsidRPr="006003EA">
        <w:rPr>
          <w:color w:val="000000" w:themeColor="text1"/>
        </w:rPr>
        <w:t xml:space="preserve"> </w:t>
      </w:r>
      <w:proofErr w:type="spellStart"/>
      <w:r w:rsidRPr="006003EA">
        <w:rPr>
          <w:color w:val="000000" w:themeColor="text1"/>
        </w:rPr>
        <w:t>Trade</w:t>
      </w:r>
      <w:proofErr w:type="spellEnd"/>
      <w:r w:rsidRPr="006003EA">
        <w:rPr>
          <w:color w:val="000000" w:themeColor="text1"/>
        </w:rPr>
        <w:t xml:space="preserve"> Remedies in Ecuador publicado en el Global </w:t>
      </w:r>
      <w:proofErr w:type="spellStart"/>
      <w:r w:rsidRPr="006003EA">
        <w:rPr>
          <w:color w:val="000000" w:themeColor="text1"/>
        </w:rPr>
        <w:t>Trade</w:t>
      </w:r>
      <w:proofErr w:type="spellEnd"/>
      <w:r w:rsidRPr="006003EA">
        <w:rPr>
          <w:color w:val="000000" w:themeColor="text1"/>
        </w:rPr>
        <w:t xml:space="preserve"> and </w:t>
      </w:r>
      <w:proofErr w:type="spellStart"/>
      <w:r w:rsidRPr="006003EA">
        <w:rPr>
          <w:color w:val="000000" w:themeColor="text1"/>
        </w:rPr>
        <w:t>Customs</w:t>
      </w:r>
      <w:proofErr w:type="spellEnd"/>
      <w:r w:rsidRPr="006003EA">
        <w:rPr>
          <w:color w:val="000000" w:themeColor="text1"/>
        </w:rPr>
        <w:t xml:space="preserve"> </w:t>
      </w:r>
      <w:proofErr w:type="spellStart"/>
      <w:r w:rsidRPr="006003EA">
        <w:rPr>
          <w:color w:val="000000" w:themeColor="text1"/>
        </w:rPr>
        <w:t>Journal</w:t>
      </w:r>
      <w:proofErr w:type="spellEnd"/>
      <w:r w:rsidRPr="006003EA">
        <w:rPr>
          <w:color w:val="000000" w:themeColor="text1"/>
        </w:rPr>
        <w:t>, Volumen 20, Número 3.</w:t>
      </w:r>
    </w:p>
    <w:p w14:paraId="5C1DBB91" w14:textId="6F797B62" w:rsidR="00154737" w:rsidRPr="006003EA" w:rsidRDefault="00154737" w:rsidP="00154737">
      <w:pPr>
        <w:rPr>
          <w:color w:val="000000" w:themeColor="text1"/>
        </w:rPr>
      </w:pPr>
      <w:r w:rsidRPr="006003EA">
        <w:rPr>
          <w:color w:val="000000" w:themeColor="text1"/>
        </w:rPr>
        <w:t>Este escenario muestra que siempre existen dos visiones en el comercio internacional, por un lado, los industriales locales que solicitan la protección de sus Gobiernos y por otro los importadores de los productos que aspiran un libre acceso a productos importados, éstos últimos alineados con los exportadores del país fuente que son sus proveedores. Esto conduce a que las medidas de defensa comercial en general estén naturalmente expuestas al cuestionamiento de las partes, por lo cual es posible derivar que un procedimiento adversarial permitiría canalizar la controversia por canales institucionales antes de llegar a una revisión judicial. En el caso concreto, varios aspectos técnicos y económicos criticados por la Secretaría General de la CAN resultan evidentes al contar con información objetiva provista por las diversas partes interesadas.</w:t>
      </w:r>
    </w:p>
    <w:p w14:paraId="2708A763" w14:textId="5290C1FC" w:rsidR="005A43E3" w:rsidRPr="006003EA" w:rsidRDefault="005A43E3" w:rsidP="005A43E3">
      <w:pPr>
        <w:pStyle w:val="Ttulo1"/>
        <w:rPr>
          <w:color w:val="000000" w:themeColor="text1"/>
        </w:rPr>
      </w:pPr>
      <w:r w:rsidRPr="006003EA">
        <w:rPr>
          <w:color w:val="000000" w:themeColor="text1"/>
        </w:rPr>
        <w:t xml:space="preserve">3. </w:t>
      </w:r>
      <w:r w:rsidR="00154737" w:rsidRPr="006003EA">
        <w:rPr>
          <w:color w:val="000000" w:themeColor="text1"/>
        </w:rPr>
        <w:t>Conclusión</w:t>
      </w:r>
    </w:p>
    <w:p w14:paraId="7B134BC4" w14:textId="77777777" w:rsidR="00154737" w:rsidRPr="006003EA" w:rsidRDefault="00154737" w:rsidP="00154737">
      <w:pPr>
        <w:rPr>
          <w:color w:val="000000" w:themeColor="text1"/>
        </w:rPr>
      </w:pPr>
      <w:r w:rsidRPr="006003EA">
        <w:rPr>
          <w:color w:val="000000" w:themeColor="text1"/>
        </w:rPr>
        <w:t>Se observa que el Ecuador ha aplicado en más de una ocasión medidas pensadas o justificadas en la protección de su industria nacional teniendo como resultado que dichas medidas sean cuestionadas o dadas de baja e inclusive que los valores recaudados deban devolverse con intereses. Una revisión de otras medidas impuestas por el COMEX incluye casos con la investigación y consecuente salvaguardia a las importaciones de pisos de madera, impuesta mediante Resolución 022-2015 (Comité de Comercio Exterior COMEX, 2015), en la cual se notificó a las partes interesadas, se realizó visitas in situ a las industrias nacionales y se recibió información de los importadores. Esta medida no registra posteriores cuestionamientos judiciales.</w:t>
      </w:r>
    </w:p>
    <w:p w14:paraId="2E4E9C02" w14:textId="77777777" w:rsidR="00154737" w:rsidRPr="006003EA" w:rsidRDefault="00154737" w:rsidP="00154737">
      <w:pPr>
        <w:rPr>
          <w:color w:val="000000" w:themeColor="text1"/>
        </w:rPr>
      </w:pPr>
      <w:r w:rsidRPr="006003EA">
        <w:rPr>
          <w:color w:val="000000" w:themeColor="text1"/>
        </w:rPr>
        <w:t xml:space="preserve">Frente a los casos propuestos, una investigación al amparo del Acuerdo Antidumping de la OMC, la Decisión 283 de la Comunidad Andina y la Resolución 10-2018 del COMEX hubiese ofrecido, un procedimiento </w:t>
      </w:r>
      <w:r w:rsidRPr="006003EA">
        <w:rPr>
          <w:color w:val="000000" w:themeColor="text1"/>
        </w:rPr>
        <w:lastRenderedPageBreak/>
        <w:t>contradictorio permitiendo el espacio para valorar la información de todas las partes interesadas a la vez que amparado legalmente y con un sustento constitucional. Estos aspectos hubiesen evitado la elevada litigiosidad causada por las medidas como los aranceles mixtos con el contingente que esto representa para el Estado al tener que devolver montos relevantes.</w:t>
      </w:r>
    </w:p>
    <w:p w14:paraId="18C3D1AB" w14:textId="755E5D86" w:rsidR="00154737" w:rsidRPr="006003EA" w:rsidRDefault="00154737" w:rsidP="00154737">
      <w:pPr>
        <w:rPr>
          <w:color w:val="000000" w:themeColor="text1"/>
        </w:rPr>
      </w:pPr>
      <w:r w:rsidRPr="006003EA">
        <w:rPr>
          <w:color w:val="000000" w:themeColor="text1"/>
        </w:rPr>
        <w:t xml:space="preserve">Se debe considerar que la predisposición de los gobiernos a proteger a su industria nacional es una característica de éstos. No se trata de una cuestión particular de un país u otro, al igual que la búsqueda de protección por parte de las industrias es generalizada. Al respecto se puede consultar a Finger (1998), </w:t>
      </w:r>
      <w:proofErr w:type="spellStart"/>
      <w:r w:rsidRPr="006003EA">
        <w:rPr>
          <w:color w:val="000000" w:themeColor="text1"/>
        </w:rPr>
        <w:t>Sandkamp</w:t>
      </w:r>
      <w:proofErr w:type="spellEnd"/>
      <w:r w:rsidRPr="006003EA">
        <w:rPr>
          <w:color w:val="000000" w:themeColor="text1"/>
        </w:rPr>
        <w:t xml:space="preserve"> et al. (2020) y al propio Viner (1923) que fue el primero en presentar un estudio comprehensivo del dumping y explica cómo el antidumping es una respuesta de los gobiernos frente a la presión de la industria por protección.</w:t>
      </w:r>
    </w:p>
    <w:p w14:paraId="2B4F57E7" w14:textId="77777777" w:rsidR="00154737" w:rsidRPr="006003EA" w:rsidRDefault="00154737" w:rsidP="00154737">
      <w:pPr>
        <w:rPr>
          <w:color w:val="000000" w:themeColor="text1"/>
        </w:rPr>
      </w:pPr>
      <w:r w:rsidRPr="006003EA">
        <w:rPr>
          <w:color w:val="000000" w:themeColor="text1"/>
        </w:rPr>
        <w:t>Entonces, el antidumping no es la respuesta para todos los casos, pero sí ofrece una alternativa para encausar en un marco institucional los conflictos comerciales. La contradicción entre productores locales e importadores es natural a la competencia por el mercado, así que no es esperable que cese, así como tampoco la búsqueda de éstos limitar la capacidad de sus competidores. En el caso de las industrias nacionales, al tener una capacidad de impulsar acciones de sus gobiernos, es poco realista esperar que eviten voluntariamente usar dicha influencia y cedan el mercado ante los importadores. En este escenario, el antidumping es presenta como un mecanismo institucional para canalizar los intereses, que, de otra forma, pueden dar lugar a medidas arbitrarias. El proceso en sí provee una respuesta las partes interesadas a la vez que se mitiga la perturbación sobre el libre comercio.</w:t>
      </w:r>
    </w:p>
    <w:p w14:paraId="205200AA" w14:textId="0070DE01" w:rsidR="005A43E3" w:rsidRPr="006003EA" w:rsidRDefault="00154737" w:rsidP="00154737">
      <w:pPr>
        <w:rPr>
          <w:color w:val="000000" w:themeColor="text1"/>
        </w:rPr>
      </w:pPr>
      <w:r w:rsidRPr="006003EA">
        <w:rPr>
          <w:color w:val="000000" w:themeColor="text1"/>
        </w:rPr>
        <w:t>En conclusión, el antidumping es una forma para limitar el libre comercio, pero de entre todas las demás medidas proteccionistas que los Estados pueden aplicar, es una que ofrece la posibilidad de llegar a acuerdos en la propia fase de investigación, cuenta con la participación de todos los interesados y, llegado el caso, se impone como gravámenes calculados de forma individual de forma que los productos que se en</w:t>
      </w:r>
      <w:r w:rsidRPr="006003EA">
        <w:rPr>
          <w:color w:val="000000" w:themeColor="text1"/>
        </w:rPr>
        <w:lastRenderedPageBreak/>
        <w:t>cuentren dentro de precios de mercado no serán afectados como sí ocurre en el caso de medidas no discriminatorias que ha aplicado el Ecuador en el pasado</w:t>
      </w:r>
      <w:r w:rsidR="0015066B" w:rsidRPr="006003EA">
        <w:rPr>
          <w:color w:val="000000" w:themeColor="text1"/>
        </w:rPr>
        <w:t>.</w:t>
      </w:r>
    </w:p>
    <w:p w14:paraId="703B2935" w14:textId="4E78535F" w:rsidR="004307D4" w:rsidRPr="006003EA" w:rsidRDefault="00154737" w:rsidP="00721EBE">
      <w:pPr>
        <w:pStyle w:val="Ttulo1"/>
        <w:rPr>
          <w:color w:val="000000" w:themeColor="text1"/>
        </w:rPr>
      </w:pPr>
      <w:r w:rsidRPr="006003EA">
        <w:rPr>
          <w:caps w:val="0"/>
          <w:color w:val="000000" w:themeColor="text1"/>
        </w:rPr>
        <w:t>4</w:t>
      </w:r>
      <w:r w:rsidR="00721EBE" w:rsidRPr="006003EA">
        <w:rPr>
          <w:caps w:val="0"/>
          <w:color w:val="000000" w:themeColor="text1"/>
        </w:rPr>
        <w:t>.</w:t>
      </w:r>
      <w:r w:rsidR="00721EBE" w:rsidRPr="006003EA">
        <w:rPr>
          <w:color w:val="000000" w:themeColor="text1"/>
        </w:rPr>
        <w:t xml:space="preserve"> </w:t>
      </w:r>
      <w:r w:rsidR="002F3733" w:rsidRPr="006003EA">
        <w:rPr>
          <w:color w:val="000000" w:themeColor="text1"/>
        </w:rPr>
        <w:t>Referencias</w:t>
      </w:r>
      <w:r w:rsidR="005417EB" w:rsidRPr="006003EA">
        <w:rPr>
          <w:color w:val="000000" w:themeColor="text1"/>
        </w:rPr>
        <w:t xml:space="preserve"> (</w:t>
      </w:r>
      <w:r w:rsidR="00BF50C0" w:rsidRPr="006003EA">
        <w:rPr>
          <w:caps w:val="0"/>
          <w:color w:val="000000" w:themeColor="text1"/>
        </w:rPr>
        <w:t xml:space="preserve">si se usan enlaces emplear el servicio </w:t>
      </w:r>
      <w:hyperlink r:id="rId9" w:history="1">
        <w:r w:rsidR="00BF50C0" w:rsidRPr="006003EA">
          <w:rPr>
            <w:caps w:val="0"/>
            <w:color w:val="000000" w:themeColor="text1"/>
          </w:rPr>
          <w:t>https://bitly.com/</w:t>
        </w:r>
      </w:hyperlink>
      <w:r w:rsidR="00BF50C0" w:rsidRPr="006003EA">
        <w:rPr>
          <w:caps w:val="0"/>
          <w:color w:val="000000" w:themeColor="text1"/>
        </w:rPr>
        <w:t xml:space="preserve"> para acortarlos o enlaces </w:t>
      </w:r>
      <w:r w:rsidR="00D36F76" w:rsidRPr="006003EA">
        <w:rPr>
          <w:caps w:val="0"/>
          <w:color w:val="000000" w:themeColor="text1"/>
        </w:rPr>
        <w:t>DOI</w:t>
      </w:r>
      <w:r w:rsidR="00BF50C0" w:rsidRPr="006003EA">
        <w:rPr>
          <w:caps w:val="0"/>
          <w:color w:val="000000" w:themeColor="text1"/>
        </w:rPr>
        <w:t xml:space="preserve"> o equivalentes)</w:t>
      </w:r>
    </w:p>
    <w:p w14:paraId="49AFEE8D"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Comisión de la Comunidad Andina. (2003). Decisión 563 Codificación del Acuerdo de Integración Subregional Andino. 1–28.</w:t>
      </w:r>
    </w:p>
    <w:p w14:paraId="7D5F757B"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 xml:space="preserve">Comité de Comercio Exterior COMEX. (2015). </w:t>
      </w:r>
      <w:proofErr w:type="spellStart"/>
      <w:r w:rsidRPr="006003EA">
        <w:rPr>
          <w:rStyle w:val="14Versalitas"/>
          <w:smallCaps w:val="0"/>
          <w:color w:val="000000" w:themeColor="text1"/>
        </w:rPr>
        <w:t>Resolucion</w:t>
      </w:r>
      <w:proofErr w:type="spellEnd"/>
      <w:r w:rsidRPr="006003EA">
        <w:rPr>
          <w:rStyle w:val="14Versalitas"/>
          <w:smallCaps w:val="0"/>
          <w:color w:val="000000" w:themeColor="text1"/>
        </w:rPr>
        <w:t xml:space="preserve"> 022-2015.</w:t>
      </w:r>
    </w:p>
    <w:p w14:paraId="522ADCDA"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 xml:space="preserve">Comité de Comercio Exterior COMEX. (2017a). 2017 COMEX </w:t>
      </w:r>
      <w:proofErr w:type="spellStart"/>
      <w:r w:rsidRPr="006003EA">
        <w:rPr>
          <w:rStyle w:val="14Versalitas"/>
          <w:smallCaps w:val="0"/>
          <w:color w:val="000000" w:themeColor="text1"/>
        </w:rPr>
        <w:t>Resolucion</w:t>
      </w:r>
      <w:proofErr w:type="spellEnd"/>
      <w:r w:rsidRPr="006003EA">
        <w:rPr>
          <w:rStyle w:val="14Versalitas"/>
          <w:smallCaps w:val="0"/>
          <w:color w:val="000000" w:themeColor="text1"/>
        </w:rPr>
        <w:t xml:space="preserve"> 030-2017.</w:t>
      </w:r>
    </w:p>
    <w:p w14:paraId="51678A0F"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 xml:space="preserve">Comité de Comercio Exterior COMEX. (2017b). </w:t>
      </w:r>
      <w:proofErr w:type="spellStart"/>
      <w:r w:rsidRPr="006003EA">
        <w:rPr>
          <w:rStyle w:val="14Versalitas"/>
          <w:smallCaps w:val="0"/>
          <w:color w:val="000000" w:themeColor="text1"/>
        </w:rPr>
        <w:t>Resolución</w:t>
      </w:r>
      <w:proofErr w:type="spellEnd"/>
      <w:r w:rsidRPr="006003EA">
        <w:rPr>
          <w:rStyle w:val="14Versalitas"/>
          <w:smallCaps w:val="0"/>
          <w:color w:val="000000" w:themeColor="text1"/>
        </w:rPr>
        <w:t xml:space="preserve"> 005-2017 del COMEX.</w:t>
      </w:r>
    </w:p>
    <w:p w14:paraId="0C284CC0"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Comité de Comercio Exterior COMEX. (2017c). Resolución 12-2017 del Comité de Comercio Exterior.</w:t>
      </w:r>
    </w:p>
    <w:p w14:paraId="0115196D"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Comité de Comercio Exterior COMEX. (2018). Resolución 010 2018.</w:t>
      </w:r>
    </w:p>
    <w:p w14:paraId="217D1C81"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 xml:space="preserve">Comité de Comercio Exterior COMEX. (2024). </w:t>
      </w:r>
      <w:proofErr w:type="spellStart"/>
      <w:r w:rsidRPr="006003EA">
        <w:rPr>
          <w:rStyle w:val="14Versalitas"/>
          <w:smallCaps w:val="0"/>
          <w:color w:val="000000" w:themeColor="text1"/>
        </w:rPr>
        <w:t>Resolucion</w:t>
      </w:r>
      <w:proofErr w:type="spellEnd"/>
      <w:r w:rsidRPr="006003EA">
        <w:rPr>
          <w:rStyle w:val="14Versalitas"/>
          <w:smallCaps w:val="0"/>
          <w:color w:val="000000" w:themeColor="text1"/>
        </w:rPr>
        <w:t>-COMEX 006-2024.</w:t>
      </w:r>
    </w:p>
    <w:p w14:paraId="57BB334A"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Corte Nacional de Justicia del Ecuador. (2023). Sentencia de 19 de mayo de 2023 caso 17510-2020-0223.</w:t>
      </w:r>
    </w:p>
    <w:p w14:paraId="43AB8C97"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 xml:space="preserve">Finger, J. M. (1998). Antidumping How </w:t>
      </w:r>
      <w:proofErr w:type="spellStart"/>
      <w:r w:rsidRPr="006003EA">
        <w:rPr>
          <w:rStyle w:val="14Versalitas"/>
          <w:smallCaps w:val="0"/>
          <w:color w:val="000000" w:themeColor="text1"/>
        </w:rPr>
        <w:t>It</w:t>
      </w:r>
      <w:proofErr w:type="spellEnd"/>
      <w:r w:rsidRPr="006003EA">
        <w:rPr>
          <w:rStyle w:val="14Versalitas"/>
          <w:smallCaps w:val="0"/>
          <w:color w:val="000000" w:themeColor="text1"/>
        </w:rPr>
        <w:t xml:space="preserve"> Works and Who </w:t>
      </w:r>
      <w:proofErr w:type="spellStart"/>
      <w:r w:rsidRPr="006003EA">
        <w:rPr>
          <w:rStyle w:val="14Versalitas"/>
          <w:smallCaps w:val="0"/>
          <w:color w:val="000000" w:themeColor="text1"/>
        </w:rPr>
        <w:t>Get</w:t>
      </w:r>
      <w:proofErr w:type="spellEnd"/>
      <w:r w:rsidRPr="006003EA">
        <w:rPr>
          <w:rStyle w:val="14Versalitas"/>
          <w:smallCaps w:val="0"/>
          <w:color w:val="000000" w:themeColor="text1"/>
        </w:rPr>
        <w:t xml:space="preserve"> Hurts. </w:t>
      </w:r>
      <w:proofErr w:type="spellStart"/>
      <w:r w:rsidRPr="006003EA">
        <w:rPr>
          <w:rStyle w:val="14Versalitas"/>
          <w:smallCaps w:val="0"/>
          <w:color w:val="000000" w:themeColor="text1"/>
        </w:rPr>
        <w:t>University</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of</w:t>
      </w:r>
      <w:proofErr w:type="spellEnd"/>
      <w:r w:rsidRPr="006003EA">
        <w:rPr>
          <w:rStyle w:val="14Versalitas"/>
          <w:smallCaps w:val="0"/>
          <w:color w:val="000000" w:themeColor="text1"/>
        </w:rPr>
        <w:t xml:space="preserve"> Michigan Press, 1–267.</w:t>
      </w:r>
    </w:p>
    <w:p w14:paraId="273D51E7"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 xml:space="preserve">Murillo, V. A. (2025). Judicial </w:t>
      </w:r>
      <w:proofErr w:type="spellStart"/>
      <w:r w:rsidRPr="006003EA">
        <w:rPr>
          <w:rStyle w:val="14Versalitas"/>
          <w:smallCaps w:val="0"/>
          <w:color w:val="000000" w:themeColor="text1"/>
        </w:rPr>
        <w:t>Review</w:t>
      </w:r>
      <w:proofErr w:type="spellEnd"/>
      <w:r w:rsidRPr="006003EA">
        <w:rPr>
          <w:rStyle w:val="14Versalitas"/>
          <w:smallCaps w:val="0"/>
          <w:color w:val="000000" w:themeColor="text1"/>
        </w:rPr>
        <w:t xml:space="preserve"> and </w:t>
      </w:r>
      <w:proofErr w:type="spellStart"/>
      <w:r w:rsidRPr="006003EA">
        <w:rPr>
          <w:rStyle w:val="14Versalitas"/>
          <w:smallCaps w:val="0"/>
          <w:color w:val="000000" w:themeColor="text1"/>
        </w:rPr>
        <w:t>Refund</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of</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Trade</w:t>
      </w:r>
      <w:proofErr w:type="spellEnd"/>
      <w:r w:rsidRPr="006003EA">
        <w:rPr>
          <w:rStyle w:val="14Versalitas"/>
          <w:smallCaps w:val="0"/>
          <w:color w:val="000000" w:themeColor="text1"/>
        </w:rPr>
        <w:t xml:space="preserve"> Remedies in Ecuador. Global </w:t>
      </w:r>
      <w:proofErr w:type="spellStart"/>
      <w:r w:rsidRPr="006003EA">
        <w:rPr>
          <w:rStyle w:val="14Versalitas"/>
          <w:smallCaps w:val="0"/>
          <w:color w:val="000000" w:themeColor="text1"/>
        </w:rPr>
        <w:t>Trade</w:t>
      </w:r>
      <w:proofErr w:type="spellEnd"/>
      <w:r w:rsidRPr="006003EA">
        <w:rPr>
          <w:rStyle w:val="14Versalitas"/>
          <w:smallCaps w:val="0"/>
          <w:color w:val="000000" w:themeColor="text1"/>
        </w:rPr>
        <w:t xml:space="preserve"> and </w:t>
      </w:r>
      <w:proofErr w:type="spellStart"/>
      <w:r w:rsidRPr="006003EA">
        <w:rPr>
          <w:rStyle w:val="14Versalitas"/>
          <w:smallCaps w:val="0"/>
          <w:color w:val="000000" w:themeColor="text1"/>
        </w:rPr>
        <w:t>Customs</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Journal</w:t>
      </w:r>
      <w:proofErr w:type="spellEnd"/>
      <w:r w:rsidRPr="006003EA">
        <w:rPr>
          <w:rStyle w:val="14Versalitas"/>
          <w:smallCaps w:val="0"/>
          <w:color w:val="000000" w:themeColor="text1"/>
        </w:rPr>
        <w:t>, 20(3). https://doi.org/10.54648/gtcj2025020</w:t>
      </w:r>
    </w:p>
    <w:p w14:paraId="767BC49C" w14:textId="35C606B5"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Organización Mundial del Comercio. (</w:t>
      </w:r>
      <w:proofErr w:type="spellStart"/>
      <w:r w:rsidRPr="006003EA">
        <w:rPr>
          <w:rStyle w:val="14Versalitas"/>
          <w:smallCaps w:val="0"/>
          <w:color w:val="000000" w:themeColor="text1"/>
        </w:rPr>
        <w:t>n.d</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Adhesion</w:t>
      </w:r>
      <w:proofErr w:type="spellEnd"/>
      <w:r w:rsidRPr="006003EA">
        <w:rPr>
          <w:rStyle w:val="14Versalitas"/>
          <w:smallCaps w:val="0"/>
          <w:color w:val="000000" w:themeColor="text1"/>
        </w:rPr>
        <w:t xml:space="preserve"> Ecuador. </w:t>
      </w:r>
      <w:r w:rsidR="006003EA" w:rsidRPr="006003EA">
        <w:rPr>
          <w:rStyle w:val="14Versalitas"/>
          <w:smallCaps w:val="0"/>
          <w:color w:val="000000" w:themeColor="text1"/>
        </w:rPr>
        <w:t>https://bit.ly/4vLp4xL</w:t>
      </w:r>
    </w:p>
    <w:p w14:paraId="05328FA2" w14:textId="77777777" w:rsidR="00154737" w:rsidRPr="006003EA" w:rsidRDefault="00154737" w:rsidP="00154737">
      <w:pPr>
        <w:pStyle w:val="Bibliografa"/>
        <w:rPr>
          <w:rStyle w:val="14Versalitas"/>
          <w:smallCaps w:val="0"/>
          <w:color w:val="000000" w:themeColor="text1"/>
        </w:rPr>
      </w:pPr>
      <w:proofErr w:type="spellStart"/>
      <w:r w:rsidRPr="006003EA">
        <w:rPr>
          <w:rStyle w:val="14Versalitas"/>
          <w:smallCaps w:val="0"/>
          <w:color w:val="000000" w:themeColor="text1"/>
        </w:rPr>
        <w:t>Sandkamp</w:t>
      </w:r>
      <w:proofErr w:type="spellEnd"/>
      <w:r w:rsidRPr="006003EA">
        <w:rPr>
          <w:rStyle w:val="14Versalitas"/>
          <w:smallCaps w:val="0"/>
          <w:color w:val="000000" w:themeColor="text1"/>
        </w:rPr>
        <w:t xml:space="preserve">, A., &amp; Yalcin, E. (2020). </w:t>
      </w:r>
      <w:proofErr w:type="spellStart"/>
      <w:r w:rsidRPr="006003EA">
        <w:rPr>
          <w:rStyle w:val="14Versalitas"/>
          <w:smallCaps w:val="0"/>
          <w:color w:val="000000" w:themeColor="text1"/>
        </w:rPr>
        <w:t>Different</w:t>
      </w:r>
      <w:proofErr w:type="spellEnd"/>
      <w:r w:rsidRPr="006003EA">
        <w:rPr>
          <w:rStyle w:val="14Versalitas"/>
          <w:smallCaps w:val="0"/>
          <w:color w:val="000000" w:themeColor="text1"/>
        </w:rPr>
        <w:t xml:space="preserve"> Antidumping </w:t>
      </w:r>
      <w:proofErr w:type="spellStart"/>
      <w:r w:rsidRPr="006003EA">
        <w:rPr>
          <w:rStyle w:val="14Versalitas"/>
          <w:smallCaps w:val="0"/>
          <w:color w:val="000000" w:themeColor="text1"/>
        </w:rPr>
        <w:t>Legislations</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within</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the</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WTO</w:t>
      </w:r>
      <w:proofErr w:type="spellEnd"/>
      <w:r w:rsidRPr="006003EA">
        <w:rPr>
          <w:rStyle w:val="14Versalitas"/>
          <w:smallCaps w:val="0"/>
          <w:color w:val="000000" w:themeColor="text1"/>
        </w:rPr>
        <w:t xml:space="preserve">: </w:t>
      </w:r>
      <w:proofErr w:type="spellStart"/>
      <w:proofErr w:type="gramStart"/>
      <w:r w:rsidRPr="006003EA">
        <w:rPr>
          <w:rStyle w:val="14Versalitas"/>
          <w:smallCaps w:val="0"/>
          <w:color w:val="000000" w:themeColor="text1"/>
        </w:rPr>
        <w:t>What</w:t>
      </w:r>
      <w:proofErr w:type="spellEnd"/>
      <w:r w:rsidRPr="006003EA">
        <w:rPr>
          <w:rStyle w:val="14Versalitas"/>
          <w:smallCaps w:val="0"/>
          <w:color w:val="000000" w:themeColor="text1"/>
        </w:rPr>
        <w:t xml:space="preserve"> Can </w:t>
      </w:r>
      <w:proofErr w:type="spellStart"/>
      <w:r w:rsidRPr="006003EA">
        <w:rPr>
          <w:rStyle w:val="14Versalitas"/>
          <w:smallCaps w:val="0"/>
          <w:color w:val="000000" w:themeColor="text1"/>
        </w:rPr>
        <w:t>We</w:t>
      </w:r>
      <w:proofErr w:type="spellEnd"/>
      <w:r w:rsidRPr="006003EA">
        <w:rPr>
          <w:rStyle w:val="14Versalitas"/>
          <w:smallCaps w:val="0"/>
          <w:color w:val="000000" w:themeColor="text1"/>
        </w:rPr>
        <w:t xml:space="preserve"> Learn </w:t>
      </w:r>
      <w:proofErr w:type="spellStart"/>
      <w:r w:rsidRPr="006003EA">
        <w:rPr>
          <w:rStyle w:val="14Versalitas"/>
          <w:smallCaps w:val="0"/>
          <w:color w:val="000000" w:themeColor="text1"/>
        </w:rPr>
        <w:t>from</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China’s</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Varying</w:t>
      </w:r>
      <w:proofErr w:type="spellEnd"/>
      <w:r w:rsidRPr="006003EA">
        <w:rPr>
          <w:rStyle w:val="14Versalitas"/>
          <w:smallCaps w:val="0"/>
          <w:color w:val="000000" w:themeColor="text1"/>
        </w:rPr>
        <w:t xml:space="preserve"> Market Economy Status?</w:t>
      </w:r>
      <w:proofErr w:type="gramEnd"/>
      <w:r w:rsidRPr="006003EA">
        <w:rPr>
          <w:rStyle w:val="14Versalitas"/>
          <w:smallCaps w:val="0"/>
          <w:color w:val="000000" w:themeColor="text1"/>
        </w:rPr>
        <w:t xml:space="preserve"> www.RePEc.org</w:t>
      </w:r>
    </w:p>
    <w:p w14:paraId="7FBCF02C"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Secretaría General de la Comunidad Andina. (2017). Resolución 1948.</w:t>
      </w:r>
    </w:p>
    <w:p w14:paraId="0E56BC47" w14:textId="77777777" w:rsidR="00154737" w:rsidRPr="006003EA" w:rsidRDefault="00154737" w:rsidP="00154737">
      <w:pPr>
        <w:pStyle w:val="Bibliografa"/>
        <w:rPr>
          <w:rStyle w:val="14Versalitas"/>
          <w:smallCaps w:val="0"/>
          <w:color w:val="000000" w:themeColor="text1"/>
        </w:rPr>
      </w:pPr>
      <w:r w:rsidRPr="006003EA">
        <w:rPr>
          <w:rStyle w:val="14Versalitas"/>
          <w:smallCaps w:val="0"/>
          <w:color w:val="000000" w:themeColor="text1"/>
        </w:rPr>
        <w:t>Secretaría General de la Comunidad Andina. (2018). Resolución 2005.</w:t>
      </w:r>
    </w:p>
    <w:p w14:paraId="1CED1DA4" w14:textId="46B0529E" w:rsidR="00CE0F4B" w:rsidRPr="006003EA" w:rsidRDefault="00154737" w:rsidP="006003EA">
      <w:pPr>
        <w:pStyle w:val="Bibliografa"/>
        <w:rPr>
          <w:color w:val="000000" w:themeColor="text1"/>
        </w:rPr>
      </w:pPr>
      <w:r w:rsidRPr="006003EA">
        <w:rPr>
          <w:rStyle w:val="14Versalitas"/>
          <w:smallCaps w:val="0"/>
          <w:color w:val="000000" w:themeColor="text1"/>
        </w:rPr>
        <w:t xml:space="preserve">Viner, J. (1923). Dumping, a </w:t>
      </w:r>
      <w:proofErr w:type="spellStart"/>
      <w:r w:rsidRPr="006003EA">
        <w:rPr>
          <w:rStyle w:val="14Versalitas"/>
          <w:smallCaps w:val="0"/>
          <w:color w:val="000000" w:themeColor="text1"/>
        </w:rPr>
        <w:t>problem</w:t>
      </w:r>
      <w:proofErr w:type="spellEnd"/>
      <w:r w:rsidRPr="006003EA">
        <w:rPr>
          <w:rStyle w:val="14Versalitas"/>
          <w:smallCaps w:val="0"/>
          <w:color w:val="000000" w:themeColor="text1"/>
        </w:rPr>
        <w:t xml:space="preserve"> in </w:t>
      </w:r>
      <w:proofErr w:type="spellStart"/>
      <w:r w:rsidRPr="006003EA">
        <w:rPr>
          <w:rStyle w:val="14Versalitas"/>
          <w:smallCaps w:val="0"/>
          <w:color w:val="000000" w:themeColor="text1"/>
        </w:rPr>
        <w:t>international</w:t>
      </w:r>
      <w:proofErr w:type="spellEnd"/>
      <w:r w:rsidRPr="006003EA">
        <w:rPr>
          <w:rStyle w:val="14Versalitas"/>
          <w:smallCaps w:val="0"/>
          <w:color w:val="000000" w:themeColor="text1"/>
        </w:rPr>
        <w:t xml:space="preserve"> </w:t>
      </w:r>
      <w:proofErr w:type="spellStart"/>
      <w:r w:rsidRPr="006003EA">
        <w:rPr>
          <w:rStyle w:val="14Versalitas"/>
          <w:smallCaps w:val="0"/>
          <w:color w:val="000000" w:themeColor="text1"/>
        </w:rPr>
        <w:t>trade</w:t>
      </w:r>
      <w:proofErr w:type="spellEnd"/>
      <w:r w:rsidRPr="006003EA">
        <w:rPr>
          <w:rStyle w:val="14Versalitas"/>
          <w:smallCaps w:val="0"/>
          <w:color w:val="000000" w:themeColor="text1"/>
        </w:rPr>
        <w:t xml:space="preserve"> / </w:t>
      </w:r>
      <w:proofErr w:type="spellStart"/>
      <w:r w:rsidRPr="006003EA">
        <w:rPr>
          <w:rStyle w:val="14Versalitas"/>
          <w:smallCaps w:val="0"/>
          <w:color w:val="000000" w:themeColor="text1"/>
        </w:rPr>
        <w:t>by</w:t>
      </w:r>
      <w:proofErr w:type="spellEnd"/>
      <w:r w:rsidRPr="006003EA">
        <w:rPr>
          <w:rStyle w:val="14Versalitas"/>
          <w:smallCaps w:val="0"/>
          <w:color w:val="000000" w:themeColor="text1"/>
        </w:rPr>
        <w:t xml:space="preserve"> Jacob Viner. </w:t>
      </w:r>
      <w:r w:rsidR="006003EA" w:rsidRPr="006003EA">
        <w:rPr>
          <w:rStyle w:val="14Versalitas"/>
          <w:smallCaps w:val="0"/>
          <w:color w:val="000000" w:themeColor="text1"/>
        </w:rPr>
        <w:t>https://bit.ly/4eIT8UG</w:t>
      </w:r>
    </w:p>
    <w:sectPr w:rsidR="00CE0F4B" w:rsidRPr="006003EA"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B2CD4B" w14:textId="77777777" w:rsidR="00BD6A42" w:rsidRDefault="00BD6A42" w:rsidP="00EB0247">
      <w:pPr>
        <w:spacing w:after="0" w:line="240" w:lineRule="auto"/>
      </w:pPr>
      <w:r>
        <w:separator/>
      </w:r>
    </w:p>
  </w:endnote>
  <w:endnote w:type="continuationSeparator" w:id="0">
    <w:p w14:paraId="6D23E910" w14:textId="77777777" w:rsidR="00BD6A42" w:rsidRDefault="00BD6A42"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dobe Garamond Pro">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D95B4F" w14:textId="77777777" w:rsidR="00BD6A42" w:rsidRDefault="00BD6A42" w:rsidP="00EB0247">
      <w:pPr>
        <w:spacing w:after="0" w:line="240" w:lineRule="auto"/>
      </w:pPr>
      <w:r>
        <w:separator/>
      </w:r>
    </w:p>
  </w:footnote>
  <w:footnote w:type="continuationSeparator" w:id="0">
    <w:p w14:paraId="0BA11EDF" w14:textId="77777777" w:rsidR="00BD6A42" w:rsidRDefault="00BD6A42"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8"/>
  </w:num>
  <w:num w:numId="17" w16cid:durableId="2006781074">
    <w:abstractNumId w:val="25"/>
  </w:num>
  <w:num w:numId="18" w16cid:durableId="367535750">
    <w:abstractNumId w:val="10"/>
  </w:num>
  <w:num w:numId="19" w16cid:durableId="1815218795">
    <w:abstractNumId w:val="24"/>
  </w:num>
  <w:num w:numId="20" w16cid:durableId="1407610298">
    <w:abstractNumId w:val="29"/>
  </w:num>
  <w:num w:numId="21" w16cid:durableId="1389261098">
    <w:abstractNumId w:val="30"/>
  </w:num>
  <w:num w:numId="22" w16cid:durableId="2057120259">
    <w:abstractNumId w:val="21"/>
  </w:num>
  <w:num w:numId="23" w16cid:durableId="2094281302">
    <w:abstractNumId w:val="30"/>
    <w:lvlOverride w:ilvl="0">
      <w:startOverride w:val="1"/>
    </w:lvlOverride>
  </w:num>
  <w:num w:numId="24" w16cid:durableId="1101535958">
    <w:abstractNumId w:val="30"/>
    <w:lvlOverride w:ilvl="0">
      <w:startOverride w:val="1"/>
    </w:lvlOverride>
  </w:num>
  <w:num w:numId="25" w16cid:durableId="1325545862">
    <w:abstractNumId w:val="12"/>
  </w:num>
  <w:num w:numId="26" w16cid:durableId="577521618">
    <w:abstractNumId w:val="31"/>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2"/>
  </w:num>
  <w:num w:numId="36" w16cid:durableId="1414818766">
    <w:abstractNumId w:val="30"/>
    <w:lvlOverride w:ilvl="0">
      <w:startOverride w:val="1"/>
    </w:lvlOverride>
  </w:num>
  <w:num w:numId="37" w16cid:durableId="532958873">
    <w:abstractNumId w:val="30"/>
    <w:lvlOverride w:ilvl="0">
      <w:startOverride w:val="1"/>
    </w:lvlOverride>
  </w:num>
  <w:num w:numId="38" w16cid:durableId="1155561952">
    <w:abstractNumId w:val="30"/>
    <w:lvlOverride w:ilvl="0">
      <w:startOverride w:val="1"/>
    </w:lvlOverride>
  </w:num>
  <w:num w:numId="39" w16cid:durableId="342585045">
    <w:abstractNumId w:val="32"/>
    <w:lvlOverride w:ilvl="0">
      <w:startOverride w:val="1"/>
    </w:lvlOverride>
  </w:num>
  <w:num w:numId="40" w16cid:durableId="346520185">
    <w:abstractNumId w:val="32"/>
    <w:lvlOverride w:ilvl="0">
      <w:startOverride w:val="1"/>
    </w:lvlOverride>
  </w:num>
  <w:num w:numId="41" w16cid:durableId="1703744177">
    <w:abstractNumId w:val="30"/>
    <w:lvlOverride w:ilvl="0">
      <w:startOverride w:val="1"/>
    </w:lvlOverride>
  </w:num>
  <w:num w:numId="42" w16cid:durableId="457184035">
    <w:abstractNumId w:val="32"/>
    <w:lvlOverride w:ilvl="0">
      <w:startOverride w:val="1"/>
    </w:lvlOverride>
  </w:num>
  <w:num w:numId="43" w16cid:durableId="518083198">
    <w:abstractNumId w:val="30"/>
    <w:lvlOverride w:ilvl="0">
      <w:startOverride w:val="1"/>
    </w:lvlOverride>
  </w:num>
  <w:num w:numId="44" w16cid:durableId="150829909">
    <w:abstractNumId w:val="3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4737"/>
    <w:rsid w:val="00156F2B"/>
    <w:rsid w:val="00182667"/>
    <w:rsid w:val="00185A00"/>
    <w:rsid w:val="0018654D"/>
    <w:rsid w:val="001950D8"/>
    <w:rsid w:val="00197D57"/>
    <w:rsid w:val="001A7AD8"/>
    <w:rsid w:val="002249AE"/>
    <w:rsid w:val="00235A9F"/>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207B"/>
    <w:rsid w:val="003C4D9F"/>
    <w:rsid w:val="003E66FB"/>
    <w:rsid w:val="00422CDA"/>
    <w:rsid w:val="004307D4"/>
    <w:rsid w:val="00437ED3"/>
    <w:rsid w:val="0044345A"/>
    <w:rsid w:val="00477173"/>
    <w:rsid w:val="004819D7"/>
    <w:rsid w:val="004842F0"/>
    <w:rsid w:val="00484413"/>
    <w:rsid w:val="00493A17"/>
    <w:rsid w:val="004C0202"/>
    <w:rsid w:val="004D0180"/>
    <w:rsid w:val="00532371"/>
    <w:rsid w:val="005335DF"/>
    <w:rsid w:val="005417EB"/>
    <w:rsid w:val="005430EA"/>
    <w:rsid w:val="00584BB4"/>
    <w:rsid w:val="005A43E3"/>
    <w:rsid w:val="005A4AFE"/>
    <w:rsid w:val="005A6174"/>
    <w:rsid w:val="005F4E29"/>
    <w:rsid w:val="006003EA"/>
    <w:rsid w:val="00607EE3"/>
    <w:rsid w:val="006131F7"/>
    <w:rsid w:val="00616258"/>
    <w:rsid w:val="0065053E"/>
    <w:rsid w:val="00675757"/>
    <w:rsid w:val="00680332"/>
    <w:rsid w:val="00681364"/>
    <w:rsid w:val="0068745E"/>
    <w:rsid w:val="006B7745"/>
    <w:rsid w:val="00714CBD"/>
    <w:rsid w:val="00721EBE"/>
    <w:rsid w:val="00742AC5"/>
    <w:rsid w:val="007701F1"/>
    <w:rsid w:val="00792960"/>
    <w:rsid w:val="007A0F17"/>
    <w:rsid w:val="007E4E94"/>
    <w:rsid w:val="007F0944"/>
    <w:rsid w:val="008238DE"/>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42C9D"/>
    <w:rsid w:val="00A8553F"/>
    <w:rsid w:val="00AA2965"/>
    <w:rsid w:val="00B0717D"/>
    <w:rsid w:val="00B57A4E"/>
    <w:rsid w:val="00B60DF4"/>
    <w:rsid w:val="00BA4EA8"/>
    <w:rsid w:val="00BA4FD5"/>
    <w:rsid w:val="00BB38AC"/>
    <w:rsid w:val="00BD6A42"/>
    <w:rsid w:val="00BD7178"/>
    <w:rsid w:val="00BE3D2B"/>
    <w:rsid w:val="00BE5F2C"/>
    <w:rsid w:val="00BF45D1"/>
    <w:rsid w:val="00BF50C0"/>
    <w:rsid w:val="00C21F8C"/>
    <w:rsid w:val="00C302E3"/>
    <w:rsid w:val="00C30BA1"/>
    <w:rsid w:val="00C45F7D"/>
    <w:rsid w:val="00C930F7"/>
    <w:rsid w:val="00CA0400"/>
    <w:rsid w:val="00CA40E7"/>
    <w:rsid w:val="00CC152D"/>
    <w:rsid w:val="00CD0091"/>
    <w:rsid w:val="00CE0F4B"/>
    <w:rsid w:val="00D03221"/>
    <w:rsid w:val="00D0381D"/>
    <w:rsid w:val="00D05D1F"/>
    <w:rsid w:val="00D36F76"/>
    <w:rsid w:val="00D47BD3"/>
    <w:rsid w:val="00D86CAA"/>
    <w:rsid w:val="00DA0BED"/>
    <w:rsid w:val="00DC3839"/>
    <w:rsid w:val="00DC5E7D"/>
    <w:rsid w:val="00DE0B74"/>
    <w:rsid w:val="00DF1B76"/>
    <w:rsid w:val="00E04357"/>
    <w:rsid w:val="00E05E1A"/>
    <w:rsid w:val="00E06000"/>
    <w:rsid w:val="00E26C49"/>
    <w:rsid w:val="00E649D6"/>
    <w:rsid w:val="00EB0247"/>
    <w:rsid w:val="00EC01A5"/>
    <w:rsid w:val="00F20454"/>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bitl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E:\01_LIBROS_PENDIENTES\plantilla3.dotx</Template>
  <TotalTime>5</TotalTime>
  <Pages>12</Pages>
  <Words>3955</Words>
  <Characters>21757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Víctor A. Murillo</cp:lastModifiedBy>
  <cp:revision>2</cp:revision>
  <dcterms:created xsi:type="dcterms:W3CDTF">2026-08-01T14:00:00Z</dcterms:created>
  <dcterms:modified xsi:type="dcterms:W3CDTF">2026-08-01T14:00:00Z</dcterms:modified>
  <cp:category>Categoria</cp:category>
  <cp:contentStatus>Estado</cp:contentStatus>
</cp:coreProperties>
</file>