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C084B5" w14:textId="100B7043" w:rsidR="001348A0" w:rsidRDefault="001348A0" w:rsidP="001348A0">
      <w:pPr>
        <w:pStyle w:val="Captulo"/>
      </w:pPr>
      <w:r>
        <w:t xml:space="preserve">Capítulo </w:t>
      </w:r>
      <w:r w:rsidR="00857415">
        <w:t>I</w:t>
      </w:r>
    </w:p>
    <w:p w14:paraId="779B423E" w14:textId="77777777" w:rsidR="001C3D05" w:rsidRPr="001C3D05" w:rsidRDefault="001C3D05" w:rsidP="001C3D05">
      <w:pPr>
        <w:pStyle w:val="Autor"/>
        <w:rPr>
          <w:caps/>
          <w:spacing w:val="-2"/>
          <w:sz w:val="26"/>
          <w:szCs w:val="26"/>
          <w:lang w:val="es-EC"/>
        </w:rPr>
      </w:pPr>
      <w:r w:rsidRPr="001C3D05">
        <w:rPr>
          <w:caps/>
          <w:spacing w:val="-2"/>
          <w:sz w:val="26"/>
          <w:szCs w:val="26"/>
          <w:lang w:val="es-EC"/>
        </w:rPr>
        <w:t>La soberanía fiscal en el constitucionalismo contemporáneo: tensiones entre autonomía tributaria y dependencia financiera en el Ecuador</w:t>
      </w:r>
    </w:p>
    <w:p w14:paraId="4645F320" w14:textId="7C89B2C6" w:rsidR="0015066B" w:rsidRPr="00857415" w:rsidRDefault="00857415" w:rsidP="0015066B">
      <w:pPr>
        <w:pStyle w:val="Autor"/>
        <w:rPr>
          <w:color w:val="auto"/>
        </w:rPr>
      </w:pPr>
      <w:r w:rsidRPr="00857415">
        <w:rPr>
          <w:color w:val="auto"/>
        </w:rPr>
        <w:t xml:space="preserve">ESTEFANÍA CRISTINA MAYORGA </w:t>
      </w:r>
      <w:proofErr w:type="spellStart"/>
      <w:r w:rsidRPr="00857415">
        <w:rPr>
          <w:color w:val="auto"/>
        </w:rPr>
        <w:t>MAYORGA</w:t>
      </w:r>
      <w:proofErr w:type="spellEnd"/>
    </w:p>
    <w:p w14:paraId="69FA3E26" w14:textId="00F9FDEF" w:rsidR="0015066B" w:rsidRPr="00857415" w:rsidRDefault="00857415" w:rsidP="0015066B">
      <w:pPr>
        <w:pStyle w:val="Adscripcin"/>
        <w:rPr>
          <w:color w:val="auto"/>
        </w:rPr>
      </w:pPr>
      <w:r w:rsidRPr="00857415">
        <w:rPr>
          <w:color w:val="auto"/>
        </w:rPr>
        <w:t xml:space="preserve">Universidad </w:t>
      </w:r>
      <w:r w:rsidR="001C3D05">
        <w:rPr>
          <w:color w:val="auto"/>
        </w:rPr>
        <w:t>Tecnológica Indoamérica</w:t>
      </w:r>
    </w:p>
    <w:p w14:paraId="6A02D415" w14:textId="7DE77B88" w:rsidR="0015066B" w:rsidRPr="00857415" w:rsidRDefault="0015066B" w:rsidP="0015066B">
      <w:pPr>
        <w:pStyle w:val="Adscripcin"/>
        <w:rPr>
          <w:color w:val="auto"/>
        </w:rPr>
      </w:pPr>
    </w:p>
    <w:p w14:paraId="39CBAB8D" w14:textId="7B37E800" w:rsidR="00B53432" w:rsidRDefault="00B53432" w:rsidP="00857415">
      <w:pPr>
        <w:pStyle w:val="NormalWeb"/>
        <w:spacing w:line="276" w:lineRule="auto"/>
        <w:jc w:val="both"/>
      </w:pPr>
      <w:r w:rsidRPr="00B53432">
        <w:t>1. INTRODUCCIÓN</w:t>
      </w:r>
    </w:p>
    <w:p w14:paraId="4A3DE32C" w14:textId="3729EC3B" w:rsidR="00574F87" w:rsidRPr="00574F87" w:rsidRDefault="00F25C3E" w:rsidP="00C80A45">
      <w:pPr>
        <w:pStyle w:val="NormalWeb"/>
        <w:spacing w:line="276" w:lineRule="auto"/>
        <w:jc w:val="both"/>
      </w:pPr>
      <w:bookmarkStart w:id="0" w:name="_Hlk225931306"/>
      <w:r w:rsidRPr="00F25C3E">
        <w:t>La</w:t>
      </w:r>
      <w:r w:rsidR="00574F87" w:rsidRPr="00574F87">
        <w:t xml:space="preserve"> soberanía fiscal constituye una manifestación esencial de la capacidad de autodeterminación del Estado dentro del constitucionalismo contemporáneo, al comprender la facultad de adoptar decisiones sobre ingresos públicos, gasto, tributación y financiamiento. Sin embargo, la creciente interdependencia económica y financiera ha transformado las condiciones bajo las cuales esta potestad se ejerce. En consecuencia, la soberanía fiscal no puede entenderse únicamente como la titularidad formal de competencias tributarias y financieras, sino también como la capacidad efectiva del Estado para ejercerlas dentro de escenarios condicionados por factores económicos y financieros externos.</w:t>
      </w:r>
    </w:p>
    <w:p w14:paraId="4340ED8B" w14:textId="77777777" w:rsidR="00574F87" w:rsidRPr="00574F87" w:rsidRDefault="00574F87" w:rsidP="00C80A45">
      <w:pPr>
        <w:pStyle w:val="NormalWeb"/>
        <w:spacing w:line="276" w:lineRule="auto"/>
        <w:jc w:val="both"/>
      </w:pPr>
      <w:r w:rsidRPr="00574F87">
        <w:t>En el caso ecuatoriano, esta tensión se evidencia en la coexistencia entre una potestad tributaria constitucionalmente reconocida y las obligaciones derivadas del endeudamiento público, la sostenibilidad fiscal y los compromisos financieros internacionales. El problema central consiste en determinar hasta qué punto la autonomía jurídica para definir políticas fiscales y tributarias se corresponde con una autonomía material suficiente para ejecutarlas, especialmente cuando la disponibilidad de recursos y las obligaciones previamente asumidas reducen las alternativas de decisión estatal.</w:t>
      </w:r>
    </w:p>
    <w:p w14:paraId="2CE5D02E" w14:textId="77777777" w:rsidR="00574F87" w:rsidRPr="00574F87" w:rsidRDefault="00574F87" w:rsidP="00C80A45">
      <w:pPr>
        <w:pStyle w:val="NormalWeb"/>
        <w:spacing w:line="276" w:lineRule="auto"/>
        <w:jc w:val="both"/>
      </w:pPr>
      <w:r w:rsidRPr="00574F87">
        <w:lastRenderedPageBreak/>
        <w:t xml:space="preserve">Esta problemática exige diferenciar la soberanía fiscal, la autonomía tributaria y la dependencia financiera, categorías </w:t>
      </w:r>
      <w:proofErr w:type="gramStart"/>
      <w:r w:rsidRPr="00574F87">
        <w:t>relacionadas</w:t>
      </w:r>
      <w:proofErr w:type="gramEnd"/>
      <w:r w:rsidRPr="00574F87">
        <w:t xml:space="preserve"> pero conceptualmente distintas. La existencia de competencias constitucionales para crear tributos, establecer prioridades de gasto o recurrir al endeudamiento no garantiza que puedan ejercerse con igual grado de libertad en cualquier contexto económico. Los límites a la decisión fiscal pueden provenir tanto del orden constitucional como de condiciones materiales que restringen o encarecen determinadas opciones sin eliminar formalmente las competencias estatales. Esta distinción permite superar una comprensión de la soberanía fundada exclusivamente en la existencia de atribuciones normativas.</w:t>
      </w:r>
    </w:p>
    <w:p w14:paraId="405F0407" w14:textId="2F2225BB" w:rsidR="00F25C3E" w:rsidRPr="00F25C3E" w:rsidRDefault="00574F87" w:rsidP="00C80A45">
      <w:pPr>
        <w:pStyle w:val="NormalWeb"/>
        <w:spacing w:line="276" w:lineRule="auto"/>
        <w:jc w:val="both"/>
      </w:pPr>
      <w:r w:rsidRPr="00574F87">
        <w:t>En este marco, analizar la soberanía fiscal en el Ecuador permite examinar cómo el constitucionalismo contemporáneo articula la autonomía estatal con relaciones económicas y financieras de creciente interdependencia. La relación entre potestad tributaria, endeudamiento y capacidad efectiva de decisión permite determinar hasta qué punto la soberanía conserva un contenido material propio y en qué medida su ejercicio se encuentra condicionado por factores externos. Desde esta perspectiva, la soberanía fiscal puede concebirse no como ausencia absoluta de restricciones, sino como la preservación de un margen sustancial de decisión dentro de estructuras jurídicas y económicas complejas.</w:t>
      </w:r>
    </w:p>
    <w:bookmarkEnd w:id="0"/>
    <w:p w14:paraId="5D8DC444" w14:textId="73CC29D6" w:rsidR="00607EE3" w:rsidRDefault="00607EE3" w:rsidP="00857415">
      <w:pPr>
        <w:pStyle w:val="Ttulo1"/>
        <w:jc w:val="both"/>
      </w:pPr>
      <w:r>
        <w:t>2. Objetivos</w:t>
      </w:r>
    </w:p>
    <w:p w14:paraId="4D5D1328" w14:textId="0C1D5BA6" w:rsidR="001140A7" w:rsidRPr="001140A7" w:rsidRDefault="00F10E12" w:rsidP="001140A7">
      <w:pPr>
        <w:rPr>
          <w:lang w:val="es-EC"/>
        </w:rPr>
      </w:pPr>
      <w:bookmarkStart w:id="1" w:name="_Hlk225931405"/>
      <w:r w:rsidRPr="00F10E12">
        <w:t>El presente capítulo tiene como objetivo general analizar las tensiones entre soberanía fiscal, autonomía tributaria y dependencia financiera en el Ecuador, desde una perspectiva jurídico-constitucional, a fin de determinar el alcance real de la capacidad estatal de decisión fiscal en contextos de interdependencia económica</w:t>
      </w:r>
      <w:r w:rsidR="001140A7" w:rsidRPr="001140A7">
        <w:rPr>
          <w:lang w:val="es-EC"/>
        </w:rPr>
        <w:t>.</w:t>
      </w:r>
    </w:p>
    <w:p w14:paraId="06B4C478" w14:textId="77777777" w:rsidR="001140A7" w:rsidRPr="001140A7" w:rsidRDefault="001140A7" w:rsidP="001140A7">
      <w:pPr>
        <w:rPr>
          <w:lang w:val="es-EC"/>
        </w:rPr>
      </w:pPr>
      <w:r w:rsidRPr="001140A7">
        <w:rPr>
          <w:lang w:val="es-EC"/>
        </w:rPr>
        <w:t>Como objetivos específicos, se plantean los siguientes:</w:t>
      </w:r>
    </w:p>
    <w:p w14:paraId="5A67A0E4" w14:textId="7594722B" w:rsidR="00F86491" w:rsidRDefault="00F86491" w:rsidP="00F86491">
      <w:pPr>
        <w:pStyle w:val="Listadoajustado"/>
        <w:rPr>
          <w:spacing w:val="0"/>
          <w:sz w:val="24"/>
          <w14:numForm w14:val="default"/>
        </w:rPr>
      </w:pPr>
      <w:r>
        <w:lastRenderedPageBreak/>
        <w:t>Analizar la soberanía fiscal y la autonomía tributaria como categorías diferenciadas dentro del constitucionalismo contemporáneo y del ordenamiento constitucional ecuatoriano, identificando su alcance jurídico y sus principales límites.</w:t>
      </w:r>
    </w:p>
    <w:p w14:paraId="54943E11" w14:textId="48CEA106" w:rsidR="00F86491" w:rsidRDefault="00F86491" w:rsidP="00F86491">
      <w:pPr>
        <w:pStyle w:val="Listadoajustado"/>
      </w:pPr>
      <w:r>
        <w:t>Examinar la incidencia del endeudamiento público, el financiamiento externo y la interdependencia económica sobre la capacidad estatal de adoptar decisiones fiscales y tributarias.</w:t>
      </w:r>
    </w:p>
    <w:p w14:paraId="561DF9F3" w14:textId="503853E4" w:rsidR="00F86491" w:rsidRDefault="00F86491" w:rsidP="00F86491">
      <w:pPr>
        <w:pStyle w:val="Listadoajustado"/>
      </w:pPr>
      <w:r>
        <w:t>Determinar en qué medida la dependencia financiera condiciona materialmente el ejercicio de la soberanía fiscal en el Ecuador, sin eliminar la titularidad jurídica de las competencias estatales en materia tributaria y financiera.</w:t>
      </w:r>
    </w:p>
    <w:p w14:paraId="570ACF12" w14:textId="4A91BBE7" w:rsidR="00F86491" w:rsidRDefault="00F86491" w:rsidP="00F86491">
      <w:pPr>
        <w:pStyle w:val="Listadoajustado"/>
      </w:pPr>
      <w:r>
        <w:t>Proponer una comprensión de la soberanía fiscal contemporánea que permita distinguir entre su dimensión formal, su capacidad material de ejercicio y los condicionamientos derivados de las relaciones económicas y financieras externas.</w:t>
      </w:r>
    </w:p>
    <w:bookmarkEnd w:id="1"/>
    <w:p w14:paraId="2708A763" w14:textId="4D768474" w:rsidR="005A43E3" w:rsidRPr="005A43E3" w:rsidRDefault="005A43E3" w:rsidP="00857415">
      <w:pPr>
        <w:pStyle w:val="Ttulo1"/>
        <w:jc w:val="both"/>
      </w:pPr>
      <w:r>
        <w:t>3. Metodología</w:t>
      </w:r>
    </w:p>
    <w:p w14:paraId="150DF23B" w14:textId="65C814E0" w:rsidR="00224231" w:rsidRPr="00224231" w:rsidRDefault="00721B39" w:rsidP="00224231">
      <w:pPr>
        <w:pStyle w:val="NormalWeb"/>
        <w:spacing w:line="276" w:lineRule="auto"/>
        <w:jc w:val="both"/>
      </w:pPr>
      <w:bookmarkStart w:id="2" w:name="_Hlk225931472"/>
      <w:r w:rsidRPr="00721B39">
        <w:t xml:space="preserve">La </w:t>
      </w:r>
      <w:r w:rsidR="00224231" w:rsidRPr="00224231">
        <w:t>investigación se desarrolla desde un enfoque cualitativo, orientado a interpretar las relaciones entre soberanía fiscal, autonomía tributaria y dependencia financiera en el contexto constitucional ecuatoriano. Este enfoque permite examinar tanto la configuración jurídica de las competencias fiscales como los condicionamientos económicos que inciden sobre su ejercicio efectivo.</w:t>
      </w:r>
    </w:p>
    <w:p w14:paraId="53127668" w14:textId="77777777" w:rsidR="00224231" w:rsidRPr="00224231" w:rsidRDefault="00224231" w:rsidP="00224231">
      <w:pPr>
        <w:pStyle w:val="NormalWeb"/>
        <w:spacing w:line="276" w:lineRule="auto"/>
        <w:jc w:val="both"/>
      </w:pPr>
      <w:r w:rsidRPr="00224231">
        <w:t>Desde la perspectiva metodológica del derecho, el estudio se inscribe en una investigación jurídica de carácter doctrinal. Hutchinson y Duncan (2012) señalan que este tipo de investigación se orienta al examen sistemático de las fuentes jurídicas y a la construcción de respuestas mediante su interpretación y articulación. En este caso, permite analizar el contenido constitucional de la soberanía fiscal y contrastarlo con las condiciones materiales bajo las cuales se ejerce.</w:t>
      </w:r>
    </w:p>
    <w:p w14:paraId="06555DBC" w14:textId="77777777" w:rsidR="00224231" w:rsidRPr="00224231" w:rsidRDefault="00224231" w:rsidP="00224231">
      <w:pPr>
        <w:pStyle w:val="NormalWeb"/>
        <w:spacing w:line="276" w:lineRule="auto"/>
        <w:jc w:val="both"/>
      </w:pPr>
      <w:r w:rsidRPr="00224231">
        <w:lastRenderedPageBreak/>
        <w:t>Las fuentes utilizadas son de carácter doctrinal, normativo y técnico-financiero e incluyen estudios sobre soberanía, potestad tributaria, finanzas públicas y endeudamiento; disposiciones de la Constitución ecuatoriana relacionadas con el régimen tributario, la política fiscal, el presupuesto y la deuda pública; así como documentos oficiales y financieros pertinentes.</w:t>
      </w:r>
    </w:p>
    <w:p w14:paraId="658F8A28" w14:textId="4E061664" w:rsidR="00857415" w:rsidRDefault="00224231" w:rsidP="00224231">
      <w:pPr>
        <w:pStyle w:val="NormalWeb"/>
        <w:spacing w:line="276" w:lineRule="auto"/>
        <w:jc w:val="both"/>
      </w:pPr>
      <w:r w:rsidRPr="00224231">
        <w:t>La técnica empleada corresponde al análisis documental cualitativo, entendido como un procedimiento sistemático de revisión e interpretación de documentos (Bowen, 2009). Mediante esta técnica se examinan las categorías de soberanía fiscal, autonomía tributaria, dependencia financiera, límites jurídicos y condicionamientos materiales. Finalmente, se recurre a la triangulación entre fuentes doctrinales, normativas y técnico-financieras, con el fin de contrastar la configuración jurídica de las potestades fiscales con las condiciones materiales de su ejercicio.</w:t>
      </w:r>
      <w:bookmarkEnd w:id="2"/>
    </w:p>
    <w:p w14:paraId="06911DC9" w14:textId="77777777" w:rsidR="00857415" w:rsidRDefault="00857415" w:rsidP="00857415">
      <w:pPr>
        <w:pStyle w:val="z-Principiodelformulario"/>
      </w:pPr>
      <w:r>
        <w:t>Principio del formulario</w:t>
      </w:r>
    </w:p>
    <w:p w14:paraId="08306C5C" w14:textId="77777777" w:rsidR="00857415" w:rsidRDefault="00857415" w:rsidP="00857415">
      <w:pPr>
        <w:pStyle w:val="z-Finaldelformulario"/>
      </w:pPr>
      <w:r>
        <w:t>Final del formulario</w:t>
      </w:r>
    </w:p>
    <w:p w14:paraId="1760C026" w14:textId="32871763" w:rsidR="004307D4" w:rsidRDefault="00CE0F4B" w:rsidP="00721EBE">
      <w:pPr>
        <w:pStyle w:val="Ttulo1"/>
      </w:pPr>
      <w:r>
        <w:rPr>
          <w:caps w:val="0"/>
        </w:rPr>
        <w:t>4</w:t>
      </w:r>
      <w:r w:rsidR="00721EBE" w:rsidRPr="00721EBE">
        <w:rPr>
          <w:caps w:val="0"/>
        </w:rPr>
        <w:t>.</w:t>
      </w:r>
      <w:r w:rsidR="00721EBE">
        <w:t xml:space="preserve"> </w:t>
      </w:r>
      <w:r w:rsidR="004307D4">
        <w:t>resultados</w:t>
      </w:r>
    </w:p>
    <w:p w14:paraId="69EA0C75" w14:textId="4044DAED" w:rsidR="00B62387" w:rsidRDefault="001D088A" w:rsidP="00224231">
      <w:pPr>
        <w:pStyle w:val="Ttulo2"/>
        <w:rPr>
          <w:shd w:val="clear" w:color="auto" w:fill="FFFFFF"/>
        </w:rPr>
      </w:pPr>
      <w:bookmarkStart w:id="3" w:name="_Hlk225931541"/>
      <w:r w:rsidRPr="0090564E">
        <w:rPr>
          <w:shd w:val="clear" w:color="auto" w:fill="FFFFFF"/>
          <w:lang w:val="es-EC"/>
        </w:rPr>
        <w:t xml:space="preserve">4.1. </w:t>
      </w:r>
      <w:r w:rsidR="0090564E" w:rsidRPr="0090564E">
        <w:rPr>
          <w:shd w:val="clear" w:color="auto" w:fill="FFFFFF"/>
        </w:rPr>
        <w:t>Soberanía fiscal y autonomía tributaria en el Estado constitucional</w:t>
      </w:r>
    </w:p>
    <w:p w14:paraId="1866F4D2" w14:textId="74D8A6AA" w:rsidR="00B93974" w:rsidRPr="00B93974" w:rsidRDefault="00296739" w:rsidP="00B93974">
      <w:pPr>
        <w:pStyle w:val="isselectedend"/>
        <w:spacing w:line="276" w:lineRule="auto"/>
        <w:jc w:val="both"/>
      </w:pPr>
      <w:r w:rsidRPr="00296739">
        <w:rPr>
          <w:lang w:val="es-ES"/>
        </w:rPr>
        <w:t>La soberanía fiscal dentro del Estado constitucional no puede comprenderse únicamente desde la existencia formal de potestades para establecer tributos, administrar ingresos y decidir sobre los recursos públicos, sino también desde el margen efectivo para ejercerlas. En este sentido, articula poder jurídico y capacidad material de decisión, y debe diferenciarse de la autonomía tributaria, referida específicamente a la facultad estatal para estructurar y aplicar su sistema impositivo. Esta distinción permite advertir que un Estado puede conservar sus competencias tributarias en el plano normativo y, al mismo tiempo, enfrentar restricciones que reduzcan las alternativas disponibles para conducir su política fiscal</w:t>
      </w:r>
      <w:r w:rsidR="00B93974">
        <w:t>.</w:t>
      </w:r>
    </w:p>
    <w:p w14:paraId="53BBA07F" w14:textId="5F33B359" w:rsidR="001D088A" w:rsidRPr="001D088A" w:rsidRDefault="001D088A" w:rsidP="00224231">
      <w:pPr>
        <w:pStyle w:val="Ttulo3"/>
        <w:rPr>
          <w:lang w:val="es-EC"/>
        </w:rPr>
      </w:pPr>
      <w:r w:rsidRPr="001D088A">
        <w:rPr>
          <w:lang w:val="es-EC"/>
        </w:rPr>
        <w:lastRenderedPageBreak/>
        <w:t xml:space="preserve">4.1.1. </w:t>
      </w:r>
      <w:r w:rsidR="00540734" w:rsidRPr="00540734">
        <w:t>La soberanía fiscal como manifestación contemporánea de la soberanía estatal</w:t>
      </w:r>
    </w:p>
    <w:p w14:paraId="7FA50812" w14:textId="045CE01E" w:rsidR="00B11088" w:rsidRPr="00B11088" w:rsidRDefault="00B11088" w:rsidP="00B11088">
      <w:pPr>
        <w:spacing w:before="0" w:after="0"/>
        <w:rPr>
          <w:rFonts w:eastAsia="SimSun" w:cstheme="majorBidi"/>
          <w:szCs w:val="32"/>
          <w:shd w:val="clear" w:color="auto" w:fill="FFFFFF"/>
          <w:lang w:val="es-EC"/>
          <w14:numForm w14:val="lining"/>
        </w:rPr>
      </w:pPr>
      <w:r w:rsidRPr="00B11088">
        <w:rPr>
          <w:rFonts w:eastAsia="SimSun" w:cstheme="majorBidi"/>
          <w:szCs w:val="32"/>
          <w:shd w:val="clear" w:color="auto" w:fill="FFFFFF"/>
          <w:lang w:val="es-EC"/>
          <w14:numForm w14:val="lining"/>
        </w:rPr>
        <w:t>La facultad de recaudar recursos ha estado históricamente vinculada con la existencia misma del Estado, pues la autonomía política requiere capacidad para financiar instituciones y políticas públicas. Sin embargo, en el constitucionalismo contemporáneo la soberanía fiscal no se limita al poder de exigir contribuciones, sino que comprende también la posibilidad de definir prioridades económicas y ejercerlas dentro de un margen efectivo de decisión.</w:t>
      </w:r>
    </w:p>
    <w:p w14:paraId="79338635" w14:textId="77777777" w:rsidR="00B11088" w:rsidRPr="00B11088" w:rsidRDefault="00B11088" w:rsidP="00B11088">
      <w:pPr>
        <w:spacing w:before="0" w:after="0"/>
        <w:rPr>
          <w:rFonts w:eastAsia="SimSun" w:cstheme="majorBidi"/>
          <w:szCs w:val="32"/>
          <w:shd w:val="clear" w:color="auto" w:fill="FFFFFF"/>
          <w:lang w:val="es-EC"/>
          <w14:numForm w14:val="lining"/>
        </w:rPr>
      </w:pPr>
      <w:r w:rsidRPr="00B11088">
        <w:rPr>
          <w:rFonts w:eastAsia="SimSun" w:cstheme="majorBidi"/>
          <w:szCs w:val="32"/>
          <w:shd w:val="clear" w:color="auto" w:fill="FFFFFF"/>
          <w:lang w:val="es-EC"/>
          <w14:numForm w14:val="lining"/>
        </w:rPr>
        <w:t>Dagan (2024) propone comprender la soberanía tributaria sustantiva como la capacidad de una comunidad política para diseñar su sistema fiscal de forma compatible con su autodeterminación colectiva. La soberanía no reside únicamente en imponer tributos, sino en estructurar un sistema capaz de financiar bienes públicos, promover objetivos distributivos y sostener las instituciones. Esta concepción permite distinguir entre poder tributario y soberanía fiscal: un Estado puede conservar la competencia jurídica para crear o modificar tributos y, sin embargo, ver reducido su contenido sustantivo cuando las condiciones económicas limitan las alternativas disponibles.</w:t>
      </w:r>
    </w:p>
    <w:p w14:paraId="48B0A035" w14:textId="77777777" w:rsidR="00B11088" w:rsidRPr="00B11088" w:rsidRDefault="00B11088" w:rsidP="00B11088">
      <w:pPr>
        <w:spacing w:before="0" w:after="0"/>
        <w:rPr>
          <w:rFonts w:eastAsia="SimSun" w:cstheme="majorBidi"/>
          <w:szCs w:val="32"/>
          <w:shd w:val="clear" w:color="auto" w:fill="FFFFFF"/>
          <w:lang w:val="es-EC"/>
          <w14:numForm w14:val="lining"/>
        </w:rPr>
      </w:pPr>
      <w:r w:rsidRPr="00B11088">
        <w:rPr>
          <w:rFonts w:eastAsia="SimSun" w:cstheme="majorBidi"/>
          <w:szCs w:val="32"/>
          <w:shd w:val="clear" w:color="auto" w:fill="FFFFFF"/>
          <w:lang w:val="es-EC"/>
          <w14:numForm w14:val="lining"/>
        </w:rPr>
        <w:t>Desde esta perspectiva, la soberanía fiscal no debería evaluarse únicamente por la ausencia de sustitución formal de la voluntad estatal. También puede existir una reducción material del espacio soberano cuando opciones constitucionalmente posibles dejan de ser efectivamente viables debido a restricciones económicas o financieras. La diferencia entre competencia jurídicamente atribuida y capacidad material de decisión permite entender la soberanía como una cualidad graduable, cuyo contenido depende del margen que conserva el Estado para transformar sus preferencias políticas en decisiones fiscales ejecutables.</w:t>
      </w:r>
    </w:p>
    <w:p w14:paraId="3AFEDBF5" w14:textId="77777777" w:rsidR="00B11088" w:rsidRPr="00B11088" w:rsidRDefault="00B11088" w:rsidP="00B11088">
      <w:pPr>
        <w:spacing w:before="0" w:after="0"/>
        <w:rPr>
          <w:rFonts w:eastAsia="SimSun" w:cstheme="majorBidi"/>
          <w:szCs w:val="32"/>
          <w:shd w:val="clear" w:color="auto" w:fill="FFFFFF"/>
          <w:lang w:val="es-EC"/>
          <w14:numForm w14:val="lining"/>
        </w:rPr>
      </w:pPr>
      <w:r w:rsidRPr="00B11088">
        <w:rPr>
          <w:rFonts w:eastAsia="SimSun" w:cstheme="majorBidi"/>
          <w:szCs w:val="32"/>
          <w:shd w:val="clear" w:color="auto" w:fill="FFFFFF"/>
          <w:lang w:val="es-EC"/>
          <w14:numForm w14:val="lining"/>
        </w:rPr>
        <w:t xml:space="preserve">Dietsch (2011) cuestiona una concepción de soberanía basada exclusivamente en independencia fiscal y advierte que la interdependencia entre sistemas tributarios modifica las condiciones en las que los Estados ejercen sus competencias. Su planteamiento demuestra que cooperación e interacción internacional no equivalen necesariamente a renuncia de soberanía; incluso pueden contribuir a preservar capacidades estatales frente a fenómenos que no pueden controlarse de manera aislada. </w:t>
      </w:r>
      <w:r w:rsidRPr="00B11088">
        <w:rPr>
          <w:rFonts w:eastAsia="SimSun" w:cstheme="majorBidi"/>
          <w:szCs w:val="32"/>
          <w:shd w:val="clear" w:color="auto" w:fill="FFFFFF"/>
          <w:lang w:val="es-EC"/>
          <w14:numForm w14:val="lining"/>
        </w:rPr>
        <w:lastRenderedPageBreak/>
        <w:t>Por ello, autonomía no debe confundirse con aislamiento, siempre que el Estado conserve una participación relevante en la definición de las reglas y en la protección de sus objetivos fiscales.</w:t>
      </w:r>
    </w:p>
    <w:p w14:paraId="5E492383" w14:textId="77777777" w:rsidR="00B11088" w:rsidRPr="00B11088" w:rsidRDefault="00B11088" w:rsidP="00B11088">
      <w:pPr>
        <w:spacing w:before="0" w:after="0"/>
        <w:rPr>
          <w:rFonts w:eastAsia="SimSun" w:cstheme="majorBidi"/>
          <w:szCs w:val="32"/>
          <w:shd w:val="clear" w:color="auto" w:fill="FFFFFF"/>
          <w:lang w:val="es-EC"/>
          <w14:numForm w14:val="lining"/>
        </w:rPr>
      </w:pPr>
      <w:r w:rsidRPr="00B11088">
        <w:rPr>
          <w:rFonts w:eastAsia="SimSun" w:cstheme="majorBidi"/>
          <w:szCs w:val="32"/>
          <w:shd w:val="clear" w:color="auto" w:fill="FFFFFF"/>
          <w:lang w:val="es-EC"/>
          <w14:numForm w14:val="lining"/>
        </w:rPr>
        <w:t>A partir de ello, la soberanía fiscal contemporánea puede entenderse desde una doble dimensión: formal, vinculada con el reconocimiento jurídico de competencias para obtener, administrar y asignar recursos; y sustantiva, referida a la posibilidad real de convertir esas competencias en decisiones efectivas. El debilitamiento de esta última no implica necesariamente la desaparición de la soberanía, pero sí una reducción de su contenido material.</w:t>
      </w:r>
    </w:p>
    <w:p w14:paraId="0C5A0955" w14:textId="04F450D9" w:rsidR="00395052" w:rsidRPr="001D088A" w:rsidRDefault="00B11088" w:rsidP="00B11088">
      <w:pPr>
        <w:spacing w:before="0" w:after="0"/>
        <w:rPr>
          <w:rFonts w:eastAsia="SimSun" w:cstheme="majorBidi"/>
          <w:szCs w:val="32"/>
          <w:shd w:val="clear" w:color="auto" w:fill="FFFFFF"/>
          <w:lang w:val="es-EC"/>
          <w14:numForm w14:val="lining"/>
        </w:rPr>
      </w:pPr>
      <w:r w:rsidRPr="00B11088">
        <w:rPr>
          <w:rFonts w:eastAsia="SimSun" w:cstheme="majorBidi"/>
          <w:szCs w:val="32"/>
          <w:shd w:val="clear" w:color="auto" w:fill="FFFFFF"/>
          <w:lang w:val="es-EC"/>
          <w14:numForm w14:val="lining"/>
        </w:rPr>
        <w:t>En consecuencia, la soberanía fiscal constituye una manifestación de la soberanía estatal cuyo alcance no se agota en la titularidad de potestades tributarias. Su análisis exige considerar también la capacidad real de financiar las funciones públicas y escoger entre alternativas fiscales, distinción que resulta esencial para examinar posteriormente el caso ecuatoriano.</w:t>
      </w:r>
    </w:p>
    <w:p w14:paraId="356E8815" w14:textId="76ABD19C" w:rsidR="009166C8" w:rsidRPr="009166C8" w:rsidRDefault="009166C8" w:rsidP="009166C8">
      <w:pPr>
        <w:pStyle w:val="Ttulo3"/>
        <w:jc w:val="both"/>
        <w:rPr>
          <w:lang w:val="es-EC"/>
        </w:rPr>
      </w:pPr>
      <w:r w:rsidRPr="009166C8">
        <w:rPr>
          <w:lang w:val="es-EC"/>
        </w:rPr>
        <w:t xml:space="preserve">4.1.2. </w:t>
      </w:r>
      <w:r w:rsidR="006D2B96" w:rsidRPr="006D2B96">
        <w:t>Autonomía tributaria y potestad fiscal en el constitucionalismo ecuatoriano</w:t>
      </w:r>
    </w:p>
    <w:p w14:paraId="7D65A7AB" w14:textId="740B164A" w:rsidR="00CB2C9D" w:rsidRPr="00CB2C9D" w:rsidRDefault="00B82A59" w:rsidP="00CB2C9D">
      <w:pPr>
        <w:spacing w:before="0" w:after="0"/>
        <w:rPr>
          <w:rFonts w:eastAsia="Aptos" w:cs="Times New Roman"/>
          <w:spacing w:val="0"/>
          <w:kern w:val="2"/>
          <w:sz w:val="24"/>
          <w:szCs w:val="24"/>
          <w:lang w:val="es-EC"/>
          <w14:ligatures w14:val="standardContextual"/>
          <w14:numForm w14:val="default"/>
        </w:rPr>
      </w:pPr>
      <w:r w:rsidRPr="00B82A59">
        <w:rPr>
          <w:rFonts w:eastAsia="Aptos" w:cs="Times New Roman"/>
          <w:spacing w:val="0"/>
          <w:kern w:val="2"/>
          <w:sz w:val="24"/>
          <w:szCs w:val="24"/>
          <w:lang w:val="es-EC"/>
          <w14:ligatures w14:val="standardContextual"/>
          <w14:numForm w14:val="default"/>
        </w:rPr>
        <w:t xml:space="preserve">La </w:t>
      </w:r>
      <w:r w:rsidR="00CB2C9D" w:rsidRPr="00CB2C9D">
        <w:rPr>
          <w:rFonts w:eastAsia="Aptos" w:cs="Times New Roman"/>
          <w:spacing w:val="0"/>
          <w:kern w:val="2"/>
          <w:sz w:val="24"/>
          <w:szCs w:val="24"/>
          <w:lang w:val="es-EC"/>
          <w14:ligatures w14:val="standardContextual"/>
          <w14:numForm w14:val="default"/>
        </w:rPr>
        <w:t>autonomía tributaria constituye una dimensión específica de la soberanía fiscal, pues expresa la capacidad jurídica del Estado para estructurar los mecanismos de obtención de recursos. En Ecuador, esta potestad se encuentra sometida a principios constitucionales, procedimientos legislativos y finalidades públicas, y forma parte de un marco fiscal más amplio que comprende gasto, sostenibilidad financiera y endeudamiento.</w:t>
      </w:r>
    </w:p>
    <w:p w14:paraId="3FDE451B" w14:textId="080BD122" w:rsidR="00CB2C9D" w:rsidRPr="00CB2C9D" w:rsidRDefault="00CB2C9D" w:rsidP="00CB2C9D">
      <w:pPr>
        <w:spacing w:before="0" w:after="0"/>
        <w:rPr>
          <w:rFonts w:eastAsia="Aptos" w:cs="Times New Roman"/>
          <w:spacing w:val="0"/>
          <w:kern w:val="2"/>
          <w:sz w:val="24"/>
          <w:szCs w:val="24"/>
          <w:lang w:val="es-EC"/>
          <w14:ligatures w14:val="standardContextual"/>
          <w14:numForm w14:val="default"/>
        </w:rPr>
      </w:pPr>
      <w:r w:rsidRPr="00CB2C9D">
        <w:rPr>
          <w:rFonts w:eastAsia="Aptos" w:cs="Times New Roman"/>
          <w:spacing w:val="0"/>
          <w:kern w:val="2"/>
          <w:sz w:val="24"/>
          <w:szCs w:val="24"/>
          <w:lang w:val="es-EC"/>
          <w14:ligatures w14:val="standardContextual"/>
          <w14:numForm w14:val="default"/>
        </w:rPr>
        <w:t>La Constitución de la República del Ecuador establece que el régimen tributario se rige por los principios de generalidad, progresividad, eficiencia, simplicidad administrativa, irretroactividad, equidad, transparencia y suficiencia recaudatoria, y dispone que la política tributaria debe promover la redistribución y estimular el empleo, la producción y determinadas conductas responsables (Constitución de la República del Ecuador, 2008, art. 300). Asimismo, el artículo 301 atribuye a la Función Ejecutiva la iniciativa y al legislador la aproba</w:t>
      </w:r>
      <w:r w:rsidRPr="00CB2C9D">
        <w:rPr>
          <w:rFonts w:eastAsia="Aptos" w:cs="Times New Roman"/>
          <w:spacing w:val="0"/>
          <w:kern w:val="2"/>
          <w:sz w:val="24"/>
          <w:szCs w:val="24"/>
          <w:lang w:val="es-EC"/>
          <w14:ligatures w14:val="standardContextual"/>
          <w14:numForm w14:val="default"/>
        </w:rPr>
        <w:lastRenderedPageBreak/>
        <w:t>ción de la creación, modificación, exoneración o extinción de impuestos. Estas normas muestran que la potestad tributaria no se limita a recaudar, sino que se encuentra orientada por objetivos económicos y sociales.</w:t>
      </w:r>
      <w:r w:rsidR="00BB0498" w:rsidRPr="00BB0498">
        <w:t xml:space="preserve"> </w:t>
      </w:r>
      <w:r w:rsidR="00BB0498">
        <w:t>(</w:t>
      </w:r>
      <w:r w:rsidR="00BB0498" w:rsidRPr="00BB0498">
        <w:rPr>
          <w:rFonts w:eastAsia="Aptos" w:cs="Times New Roman"/>
          <w:spacing w:val="0"/>
          <w:kern w:val="2"/>
          <w:sz w:val="24"/>
          <w:szCs w:val="24"/>
          <w:lang w:val="es-EC"/>
          <w14:ligatures w14:val="standardContextual"/>
          <w14:numForm w14:val="default"/>
        </w:rPr>
        <w:t>Constitución de la República del Ecuador, 2008, art. 301)</w:t>
      </w:r>
      <w:r w:rsidR="00BB0498">
        <w:rPr>
          <w:rFonts w:eastAsia="Aptos" w:cs="Times New Roman"/>
          <w:spacing w:val="0"/>
          <w:kern w:val="2"/>
          <w:sz w:val="24"/>
          <w:szCs w:val="24"/>
          <w:lang w:val="es-EC"/>
          <w14:ligatures w14:val="standardContextual"/>
          <w14:numForm w14:val="default"/>
        </w:rPr>
        <w:t>.</w:t>
      </w:r>
    </w:p>
    <w:p w14:paraId="4D0DEB8F" w14:textId="77777777" w:rsidR="00CB2C9D" w:rsidRPr="00CB2C9D" w:rsidRDefault="00CB2C9D" w:rsidP="00CB2C9D">
      <w:pPr>
        <w:spacing w:before="0" w:after="0"/>
        <w:rPr>
          <w:rFonts w:eastAsia="Aptos" w:cs="Times New Roman"/>
          <w:spacing w:val="0"/>
          <w:kern w:val="2"/>
          <w:sz w:val="24"/>
          <w:szCs w:val="24"/>
          <w:lang w:val="es-EC"/>
          <w14:ligatures w14:val="standardContextual"/>
          <w14:numForm w14:val="default"/>
        </w:rPr>
      </w:pPr>
      <w:r w:rsidRPr="00CB2C9D">
        <w:rPr>
          <w:rFonts w:eastAsia="Aptos" w:cs="Times New Roman"/>
          <w:spacing w:val="0"/>
          <w:kern w:val="2"/>
          <w:sz w:val="24"/>
          <w:szCs w:val="24"/>
          <w:lang w:val="es-EC"/>
          <w14:ligatures w14:val="standardContextual"/>
          <w14:numForm w14:val="default"/>
        </w:rPr>
        <w:t xml:space="preserve">De este diseño se desprende que la autonomía tributaria ecuatoriana es una autonomía jurídicamente estructurada. Los límites derivados de la Constitución no constituyen una disminución externa de soberanía, sino la forma en que el propio orden constitucional organiza su </w:t>
      </w:r>
      <w:r w:rsidRPr="00BB0498">
        <w:rPr>
          <w:rFonts w:eastAsia="Aptos" w:cs="Times New Roman"/>
          <w:spacing w:val="0"/>
          <w:kern w:val="2"/>
          <w:sz w:val="24"/>
          <w:szCs w:val="24"/>
          <w:lang w:val="es-EC"/>
          <w14:ligatures w14:val="standardContextual"/>
          <w14:numForm w14:val="default"/>
        </w:rPr>
        <w:t>ejercicio. Esta consideración permite distinguir entre autolimitación constitucional, derivada del pacto constitucional, y condicionamiento financiero externo</w:t>
      </w:r>
      <w:r w:rsidRPr="00CB2C9D">
        <w:rPr>
          <w:rFonts w:eastAsia="Aptos" w:cs="Times New Roman"/>
          <w:spacing w:val="0"/>
          <w:kern w:val="2"/>
          <w:sz w:val="24"/>
          <w:szCs w:val="24"/>
          <w:lang w:val="es-EC"/>
          <w14:ligatures w14:val="standardContextual"/>
          <w14:numForm w14:val="default"/>
        </w:rPr>
        <w:t>, producido cuando factores económicos o compromisos financieros restringen materialmente las opciones disponibles.</w:t>
      </w:r>
    </w:p>
    <w:p w14:paraId="2A12A31E" w14:textId="77777777" w:rsidR="00CB2C9D" w:rsidRPr="00CB2C9D" w:rsidRDefault="00CB2C9D" w:rsidP="00CB2C9D">
      <w:pPr>
        <w:spacing w:before="0" w:after="0"/>
        <w:rPr>
          <w:rFonts w:eastAsia="Aptos" w:cs="Times New Roman"/>
          <w:spacing w:val="0"/>
          <w:kern w:val="2"/>
          <w:sz w:val="24"/>
          <w:szCs w:val="24"/>
          <w:lang w:val="es-EC"/>
          <w14:ligatures w14:val="standardContextual"/>
          <w14:numForm w14:val="default"/>
        </w:rPr>
      </w:pPr>
      <w:r w:rsidRPr="00CB2C9D">
        <w:rPr>
          <w:rFonts w:eastAsia="Aptos" w:cs="Times New Roman"/>
          <w:spacing w:val="0"/>
          <w:kern w:val="2"/>
          <w:sz w:val="24"/>
          <w:szCs w:val="24"/>
          <w:lang w:val="es-EC"/>
          <w14:ligatures w14:val="standardContextual"/>
          <w14:numForm w14:val="default"/>
        </w:rPr>
        <w:t>La regulación de la política fiscal refuerza esta diferenciación. El artículo 285 establece objetivos vinculados con el financiamiento de servicios, inversión y bienes públicos, redistribución e incentivos para la producción; mientras que el artículo 286 exige que las finanzas públicas se conduzcan de manera sostenible, responsable y transparente (Constitución de la República del Ecuador, 2008, arts. 285–286). La autonomía tributaria se inserta, por tanto, en una política fiscal que debe compatibilizar suficiencia de recursos, redistribución y sostenibilidad.</w:t>
      </w:r>
    </w:p>
    <w:p w14:paraId="28088B65" w14:textId="77777777" w:rsidR="00CB2C9D" w:rsidRPr="00CB2C9D" w:rsidRDefault="00CB2C9D" w:rsidP="00CB2C9D">
      <w:pPr>
        <w:spacing w:before="0" w:after="0"/>
        <w:rPr>
          <w:rFonts w:eastAsia="Aptos" w:cs="Times New Roman"/>
          <w:spacing w:val="0"/>
          <w:kern w:val="2"/>
          <w:sz w:val="24"/>
          <w:szCs w:val="24"/>
          <w:lang w:val="es-EC"/>
          <w14:ligatures w14:val="standardContextual"/>
          <w14:numForm w14:val="default"/>
        </w:rPr>
      </w:pPr>
      <w:r w:rsidRPr="00CB2C9D">
        <w:rPr>
          <w:rFonts w:eastAsia="Aptos" w:cs="Times New Roman"/>
          <w:spacing w:val="0"/>
          <w:kern w:val="2"/>
          <w:sz w:val="24"/>
          <w:szCs w:val="24"/>
          <w:lang w:val="es-EC"/>
          <w14:ligatures w14:val="standardContextual"/>
          <w14:numForm w14:val="default"/>
        </w:rPr>
        <w:t>La soberanía fiscal posee, además, un alcance mayor que la potestad tributaria. El artículo 289 dispone que la contratación de deuda pública debe sujetarse a la planificación, al presupuesto y a mecanismos institucionales de autorización y control (Constitución de la República del Ecuador, 2008, art. 289). Esto confirma que las decisiones sobre financiamiento forman parte del ámbito fiscal estatal y están sometidas a reglas de responsabilidad.</w:t>
      </w:r>
    </w:p>
    <w:p w14:paraId="36B46196" w14:textId="42B1300C" w:rsidR="00EE7B3C" w:rsidRPr="00EE7B3C" w:rsidRDefault="00CB2C9D" w:rsidP="00CB2C9D">
      <w:pPr>
        <w:spacing w:before="0" w:after="0"/>
        <w:rPr>
          <w:rFonts w:eastAsia="Aptos" w:cs="Times New Roman"/>
          <w:spacing w:val="0"/>
          <w:kern w:val="2"/>
          <w:sz w:val="24"/>
          <w:szCs w:val="24"/>
          <w:lang w:val="es-EC"/>
          <w14:ligatures w14:val="standardContextual"/>
          <w14:numForm w14:val="default"/>
        </w:rPr>
      </w:pPr>
      <w:r w:rsidRPr="00CB2C9D">
        <w:rPr>
          <w:rFonts w:eastAsia="Aptos" w:cs="Times New Roman"/>
          <w:spacing w:val="0"/>
          <w:kern w:val="2"/>
          <w:sz w:val="24"/>
          <w:szCs w:val="24"/>
          <w:lang w:val="es-EC"/>
          <w14:ligatures w14:val="standardContextual"/>
          <w14:numForm w14:val="default"/>
        </w:rPr>
        <w:t xml:space="preserve">En consecuencia, la autonomía tributaria debe entenderse como una competencia constitucional específica integrada dentro de una soberanía fiscal más amplia, que comprende también gasto, presupuesto y financiamiento. Esta distinción permite establecer una base jurídica clara: el Estado ecuatoriano conserva formalmente amplias competencias fiscales; el problema radica en determinar hasta qué punto </w:t>
      </w:r>
      <w:r w:rsidRPr="00CB2C9D">
        <w:rPr>
          <w:rFonts w:eastAsia="Aptos" w:cs="Times New Roman"/>
          <w:spacing w:val="0"/>
          <w:kern w:val="2"/>
          <w:sz w:val="24"/>
          <w:szCs w:val="24"/>
          <w:lang w:val="es-EC"/>
          <w14:ligatures w14:val="standardContextual"/>
          <w14:numForm w14:val="default"/>
        </w:rPr>
        <w:lastRenderedPageBreak/>
        <w:t>puede ejercerlas con un margen material suficiente frente a necesidades de financiamiento y obligaciones de deuda.</w:t>
      </w:r>
    </w:p>
    <w:p w14:paraId="217FF7C2" w14:textId="77777777" w:rsidR="00376F64" w:rsidRDefault="007E73A0" w:rsidP="00376F64">
      <w:pPr>
        <w:pStyle w:val="Ttulo2"/>
      </w:pPr>
      <w:r w:rsidRPr="007E73A0">
        <w:rPr>
          <w:lang w:val="es-EC"/>
        </w:rPr>
        <w:t xml:space="preserve">4.2. </w:t>
      </w:r>
      <w:r w:rsidR="001466AD" w:rsidRPr="000C6568">
        <w:t>Dependencia financiera y condicionamientos de la decisión fiscal estatal</w:t>
      </w:r>
    </w:p>
    <w:p w14:paraId="3BA59984" w14:textId="3529CA85" w:rsidR="00376F64" w:rsidRDefault="00376F64" w:rsidP="00376F64">
      <w:r w:rsidRPr="00376F64">
        <w:t>El reconocimiento constitucional de potestades fiscales no determina, por sí solo, el grado efectivo de autonomía con que pueden ejercerse. Cuando los ingresos resultan insuficientes y el estado recurre al endeudamiento o al financiamiento externo, la dependencia financiera puede restringir materialmente las alternativas disponibles sin transferir formalmente las competencias fiscales. El problema se desplaza así desde la titularidad jurídica hacia el margen real de decisión, especialmente cuando parte de los recursos futuros se encuentra comprometida o el acceso a nuevas fuentes de financiamiento depende del cumplimiento de determinadas condiciones económicas</w:t>
      </w:r>
      <w:r w:rsidRPr="00E9098E">
        <w:t>.</w:t>
      </w:r>
    </w:p>
    <w:p w14:paraId="0DBFEEE2" w14:textId="77777777" w:rsidR="00D67360" w:rsidRDefault="007E73A0" w:rsidP="00D67360">
      <w:pPr>
        <w:rPr>
          <w:rFonts w:cs="Times New Roman"/>
          <w:szCs w:val="23"/>
        </w:rPr>
      </w:pPr>
      <w:r w:rsidRPr="00D67360">
        <w:rPr>
          <w:rFonts w:cs="Times New Roman"/>
          <w:szCs w:val="23"/>
        </w:rPr>
        <w:t xml:space="preserve">4.2.1. </w:t>
      </w:r>
      <w:r w:rsidR="009E6021" w:rsidRPr="00D67360">
        <w:rPr>
          <w:rFonts w:cs="Times New Roman"/>
          <w:szCs w:val="23"/>
        </w:rPr>
        <w:t>Endeudamiento público, financiamiento externo y capacidad estatal de decisión</w:t>
      </w:r>
    </w:p>
    <w:p w14:paraId="60E7892D" w14:textId="77777777" w:rsidR="00D67360" w:rsidRDefault="00F260AD" w:rsidP="00D67360">
      <w:pPr>
        <w:spacing w:before="0" w:after="0"/>
        <w:rPr>
          <w:rFonts w:cs="Times New Roman"/>
          <w:szCs w:val="23"/>
        </w:rPr>
      </w:pPr>
      <w:r w:rsidRPr="00F260AD">
        <w:rPr>
          <w:rFonts w:eastAsia="Aptos" w:cs="Times New Roman"/>
          <w:color w:val="000000" w:themeColor="text1"/>
          <w:spacing w:val="0"/>
          <w:kern w:val="2"/>
          <w:sz w:val="24"/>
          <w:szCs w:val="24"/>
          <w:lang w:val="es-EC"/>
          <w14:ligatures w14:val="standardContextual"/>
          <w14:numForm w14:val="default"/>
        </w:rPr>
        <w:t xml:space="preserve">El </w:t>
      </w:r>
      <w:r w:rsidR="006D7B13" w:rsidRPr="006D7B13">
        <w:rPr>
          <w:rFonts w:eastAsia="Aptos" w:cs="Times New Roman"/>
          <w:color w:val="000000" w:themeColor="text1"/>
          <w:spacing w:val="0"/>
          <w:kern w:val="2"/>
          <w:sz w:val="24"/>
          <w:szCs w:val="24"/>
          <w:lang w:val="es-EC"/>
          <w14:ligatures w14:val="standardContextual"/>
          <w14:numForm w14:val="default"/>
        </w:rPr>
        <w:t>endeudamiento público constituye un instrumento legítimo de política fiscal que permite obtener recursos adicionales para financiar inversiones o atender necesidades extraordinarias. Sin embargo, incorpora una particularidad relevante para la soberanía fiscal: una decisión adoptada en el presente genera obligaciones sobre presupuestos futuros. Por ello, aunque contratar deuda constituye inicialmente un ejercicio de potestad estatal, su servicio puede reducir posteriormente las alternativas fiscales disponibles.</w:t>
      </w:r>
    </w:p>
    <w:p w14:paraId="0956F52E" w14:textId="77777777" w:rsidR="00D67360" w:rsidRDefault="006D7B13" w:rsidP="00D67360">
      <w:pPr>
        <w:spacing w:before="0" w:after="0"/>
        <w:rPr>
          <w:rFonts w:cs="Times New Roman"/>
          <w:szCs w:val="23"/>
        </w:rPr>
      </w:pPr>
      <w:r w:rsidRPr="006D7B13">
        <w:rPr>
          <w:rFonts w:eastAsia="Aptos" w:cs="Times New Roman"/>
          <w:color w:val="000000" w:themeColor="text1"/>
          <w:spacing w:val="0"/>
          <w:kern w:val="2"/>
          <w:sz w:val="24"/>
          <w:szCs w:val="24"/>
          <w:lang w:val="es-EC"/>
          <w14:ligatures w14:val="standardContextual"/>
          <w14:numForm w14:val="default"/>
        </w:rPr>
        <w:t>La Constitución ecuatoriana reconoce esta tensión. El artículo 290 dispone que se recurrirá al endeudamiento cuando los ingresos fiscales y los recursos de cooperación internacional resulten insuficientes y exige que la deuda pública no afecte “a la soberanía, los derechos, el buen vivir y la preservación de la naturaleza” (Constitución de la República del Ecuador, 2008, art. 290). La norma evidencia que la deuda no constituye una operación financiera neutral, sino una decisión capaz de incidir sobre bienes constitucionalmente protegidos.</w:t>
      </w:r>
    </w:p>
    <w:p w14:paraId="01669A2A" w14:textId="77777777" w:rsidR="00D67360" w:rsidRDefault="006D7B13" w:rsidP="00D67360">
      <w:pPr>
        <w:spacing w:before="0" w:after="0"/>
        <w:rPr>
          <w:rFonts w:eastAsia="Aptos" w:cs="Times New Roman"/>
          <w:color w:val="000000" w:themeColor="text1"/>
          <w:spacing w:val="0"/>
          <w:kern w:val="2"/>
          <w:sz w:val="24"/>
          <w:szCs w:val="24"/>
          <w:lang w:val="es-EC"/>
          <w14:ligatures w14:val="standardContextual"/>
          <w14:numForm w14:val="default"/>
        </w:rPr>
      </w:pPr>
      <w:r w:rsidRPr="006D7B13">
        <w:rPr>
          <w:rFonts w:eastAsia="Aptos" w:cs="Times New Roman"/>
          <w:color w:val="000000" w:themeColor="text1"/>
          <w:spacing w:val="0"/>
          <w:kern w:val="2"/>
          <w:sz w:val="24"/>
          <w:szCs w:val="24"/>
          <w:lang w:val="es-EC"/>
          <w14:ligatures w14:val="standardContextual"/>
          <w14:numForm w14:val="default"/>
        </w:rPr>
        <w:lastRenderedPageBreak/>
        <w:t>De esta previsión se deriva una consecuencia jurídica relevante: la evaluación del endeudamiento no debería limitarse a su legalidad formal o capacidad de pago, sino considerar si las obligaciones asumidas preservan un margen suficiente para que las autoridades futuras continúen definiendo prioridades fiscales. En este sentido, la sostenibilidad de la deuda posee también una dimensión constitucional, pues interesa que el Estado pueda cumplir sus obligaciones sin vaciar de contenido otras responsabilidades previstas por la propia Constitución.</w:t>
      </w:r>
    </w:p>
    <w:p w14:paraId="7E0D1A09" w14:textId="77777777" w:rsidR="00D67360" w:rsidRDefault="006D7B13" w:rsidP="00D67360">
      <w:pPr>
        <w:spacing w:before="0" w:after="0"/>
        <w:rPr>
          <w:rFonts w:eastAsia="Aptos" w:cs="Times New Roman"/>
          <w:color w:val="000000" w:themeColor="text1"/>
          <w:spacing w:val="0"/>
          <w:kern w:val="2"/>
          <w:sz w:val="24"/>
          <w:szCs w:val="24"/>
          <w:lang w:val="es-EC"/>
          <w14:ligatures w14:val="standardContextual"/>
          <w14:numForm w14:val="default"/>
        </w:rPr>
      </w:pPr>
      <w:r w:rsidRPr="006D7B13">
        <w:rPr>
          <w:rFonts w:eastAsia="Aptos" w:cs="Times New Roman"/>
          <w:color w:val="000000" w:themeColor="text1"/>
          <w:spacing w:val="0"/>
          <w:kern w:val="2"/>
          <w:sz w:val="24"/>
          <w:szCs w:val="24"/>
          <w:lang w:val="es-EC"/>
          <w14:ligatures w14:val="standardContextual"/>
          <w14:numForm w14:val="default"/>
        </w:rPr>
        <w:t>En mayo de 2024, el Fondo Monetario Internacional aprobó para Ecuador un acuerdo de 48 meses bajo el Servicio Ampliado del Fondo por aproximadamente USD 4.000 millones. El programa incluyó objetivos de sostenibilidad fiscal y de la deuda, fortalecimiento de liquidez y reformas estructurales, y vinculó los desembolsos a revisiones periódicas sobre el cumplimiento de criterios y medidas acordadas (Fondo Monetario Internacional [FMI], 2024). En 2026, el organismo informó que la conclusión de la quinta revisión habilitaba un nuevo desembolso, confirmando la relación entre cumplimiento programático y acceso al financiamiento (FMI, 2026).</w:t>
      </w:r>
    </w:p>
    <w:p w14:paraId="345F885A" w14:textId="77777777" w:rsidR="00D67360" w:rsidRDefault="006D7B13" w:rsidP="00D67360">
      <w:pPr>
        <w:spacing w:before="0" w:after="0"/>
        <w:rPr>
          <w:rFonts w:eastAsia="Aptos" w:cs="Times New Roman"/>
          <w:color w:val="000000" w:themeColor="text1"/>
          <w:spacing w:val="0"/>
          <w:kern w:val="2"/>
          <w:sz w:val="24"/>
          <w:szCs w:val="24"/>
          <w:lang w:val="es-EC"/>
          <w14:ligatures w14:val="standardContextual"/>
          <w14:numForm w14:val="default"/>
        </w:rPr>
      </w:pPr>
      <w:r w:rsidRPr="006D7B13">
        <w:rPr>
          <w:rFonts w:eastAsia="Aptos" w:cs="Times New Roman"/>
          <w:color w:val="000000" w:themeColor="text1"/>
          <w:spacing w:val="0"/>
          <w:kern w:val="2"/>
          <w:sz w:val="24"/>
          <w:szCs w:val="24"/>
          <w:lang w:val="es-EC"/>
          <w14:ligatures w14:val="standardContextual"/>
          <w14:numForm w14:val="default"/>
        </w:rPr>
        <w:t>Esta relación no implica que el financiamiento externo elimine la potestad tributaria del Estado ni transfiera formalmente al acreedor la facultad de legislar en materia fiscal. Las autoridades nacionales conservan sus competencias constitucionales. No obstante, el acceso a recursos puede depender del cumplimiento de metas y compromisos que inciden sobre la continuidad del financiamiento y, con ello, sobre el espacio fiscal disponible.</w:t>
      </w:r>
    </w:p>
    <w:p w14:paraId="379663D7" w14:textId="1336B236" w:rsidR="006D7B13" w:rsidRPr="006D7B13" w:rsidRDefault="006D7B13" w:rsidP="00D67360">
      <w:pPr>
        <w:spacing w:before="0" w:after="0"/>
        <w:rPr>
          <w:rFonts w:eastAsia="Aptos" w:cs="Times New Roman"/>
          <w:color w:val="000000" w:themeColor="text1"/>
          <w:spacing w:val="0"/>
          <w:kern w:val="2"/>
          <w:sz w:val="24"/>
          <w:szCs w:val="24"/>
          <w:lang w:val="es-EC"/>
          <w14:ligatures w14:val="standardContextual"/>
          <w14:numForm w14:val="default"/>
        </w:rPr>
      </w:pPr>
      <w:r w:rsidRPr="006D7B13">
        <w:rPr>
          <w:rFonts w:eastAsia="Aptos" w:cs="Times New Roman"/>
          <w:color w:val="000000" w:themeColor="text1"/>
          <w:spacing w:val="0"/>
          <w:kern w:val="2"/>
          <w:sz w:val="24"/>
          <w:szCs w:val="24"/>
          <w:lang w:val="es-EC"/>
          <w14:ligatures w14:val="standardContextual"/>
          <w14:numForm w14:val="default"/>
        </w:rPr>
        <w:t xml:space="preserve">De esta interacción surge una paradoja central: el endeudamiento puede ser simultáneamente expresión y restricción de la autonomía estatal. Es expresión de autonomía porque el Estado decide recurrir al crédito; pero puede convertirse en restricción porque las obligaciones asumidas comprometen recursos futuros y delimitan decisiones posteriores. La decisión soberana inicial produce así efectos </w:t>
      </w:r>
      <w:proofErr w:type="spellStart"/>
      <w:r w:rsidRPr="006D7B13">
        <w:rPr>
          <w:rFonts w:eastAsia="Aptos" w:cs="Times New Roman"/>
          <w:color w:val="000000" w:themeColor="text1"/>
          <w:spacing w:val="0"/>
          <w:kern w:val="2"/>
          <w:sz w:val="24"/>
          <w:szCs w:val="24"/>
          <w:lang w:val="es-EC"/>
          <w14:ligatures w14:val="standardContextual"/>
          <w14:numForm w14:val="default"/>
        </w:rPr>
        <w:t>intertemporales</w:t>
      </w:r>
      <w:proofErr w:type="spellEnd"/>
      <w:r w:rsidRPr="006D7B13">
        <w:rPr>
          <w:rFonts w:eastAsia="Aptos" w:cs="Times New Roman"/>
          <w:color w:val="000000" w:themeColor="text1"/>
          <w:spacing w:val="0"/>
          <w:kern w:val="2"/>
          <w:sz w:val="24"/>
          <w:szCs w:val="24"/>
          <w:lang w:val="es-EC"/>
          <w14:ligatures w14:val="standardContextual"/>
          <w14:numForm w14:val="default"/>
        </w:rPr>
        <w:t xml:space="preserve"> que condicionan el margen material de actuación sin suprimir necesariamente la competencia jurídica.</w:t>
      </w:r>
    </w:p>
    <w:p w14:paraId="1F810619" w14:textId="77777777" w:rsidR="006D7B13" w:rsidRPr="006D7B13" w:rsidRDefault="006D7B13" w:rsidP="006D7B13">
      <w:pPr>
        <w:keepNext/>
        <w:keepLines/>
        <w:widowControl w:val="0"/>
        <w:suppressAutoHyphens/>
        <w:spacing w:before="0" w:after="0"/>
        <w:outlineLvl w:val="2"/>
        <w:rPr>
          <w:rFonts w:eastAsia="Aptos" w:cs="Times New Roman"/>
          <w:color w:val="000000" w:themeColor="text1"/>
          <w:spacing w:val="0"/>
          <w:kern w:val="2"/>
          <w:sz w:val="24"/>
          <w:szCs w:val="24"/>
          <w:lang w:val="es-EC"/>
          <w14:ligatures w14:val="standardContextual"/>
          <w14:numForm w14:val="default"/>
        </w:rPr>
      </w:pPr>
      <w:r w:rsidRPr="006D7B13">
        <w:rPr>
          <w:rFonts w:eastAsia="Aptos" w:cs="Times New Roman"/>
          <w:color w:val="000000" w:themeColor="text1"/>
          <w:spacing w:val="0"/>
          <w:kern w:val="2"/>
          <w:sz w:val="24"/>
          <w:szCs w:val="24"/>
          <w:lang w:val="es-EC"/>
          <w14:ligatures w14:val="standardContextual"/>
          <w14:numForm w14:val="default"/>
        </w:rPr>
        <w:lastRenderedPageBreak/>
        <w:t>En consecuencia, la dependencia financiera debe analizarse a partir de sus efectos sobre la capacidad efectiva de decisión. El endeudamiento no elimina por sí mismo la soberanía fiscal, pero su acumulación y las condiciones asociadas al financiamiento pueden estrechar el espacio dentro del cual se definen ingresos, gastos y prioridades públicas. La cuestión constitucional consiste en determinar cuándo esos condicionamientos son compatibles con un ejercicio responsable de la autonomía financiera y cuándo alcanzan una intensidad capaz de comprometer su contenido material.</w:t>
      </w:r>
    </w:p>
    <w:p w14:paraId="030A6837" w14:textId="46A524EC" w:rsidR="007365AB" w:rsidRPr="007365AB" w:rsidRDefault="007365AB" w:rsidP="006B1A03">
      <w:pPr>
        <w:pStyle w:val="Ttulo3"/>
        <w:jc w:val="both"/>
        <w:rPr>
          <w:lang w:val="es-EC"/>
        </w:rPr>
      </w:pPr>
      <w:r w:rsidRPr="007365AB">
        <w:rPr>
          <w:lang w:val="es-EC"/>
        </w:rPr>
        <w:t xml:space="preserve">4.2.2. </w:t>
      </w:r>
      <w:r w:rsidR="00D06B11" w:rsidRPr="00D06B11">
        <w:t>Interdependencia económica y límites materiales de la autonomía fiscal</w:t>
      </w:r>
    </w:p>
    <w:p w14:paraId="0C56E7A9" w14:textId="77777777" w:rsidR="00A71558" w:rsidRPr="00A71558" w:rsidRDefault="00A71558" w:rsidP="00A71558">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La capacidad fiscal de un Estado no depende únicamente del endeudamiento o del financiamiento externo. En economías integradas a mercados internacionales, las decisiones tributarias y presupuestarias también se encuentran condicionadas por la movilidad de capitales, el acceso al crédito, las variaciones de los mercados y la estructura monetaria interna. Estos factores no sustituyen jurídicamente a las autoridades nacionales, pero pueden reducir la viabilidad de determinadas alternativas. Por ello, conviene distinguir entre límites jurídicos, que determinan qué puede hacer válidamente el Estado, y límites materiales, que afectan qué decisiones puede ejecutar y sostener efectivamente.</w:t>
      </w:r>
    </w:p>
    <w:p w14:paraId="7D01FB4F" w14:textId="77777777" w:rsidR="00A71558" w:rsidRPr="00A71558" w:rsidRDefault="00A71558" w:rsidP="00A71558">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Dietsch (2015) sostiene que la competencia tributaria internacional puede disminuir la capacidad de las comunidades políticas para decidir sobre el tamaño del Estado y el nivel de redistribución, especialmente cuando la movilidad del capital genera incentivos para modificar las políticas fiscales con el propósito de conservar o atraer bases imponibles. Esta perspectiva demuestra que la potestad normativa puede mantenerse intacta mientras las condiciones económicas elevan el costo de ejercer determinadas opciones. La autonomía, por tanto, no desaparece, pero su margen material puede reducirse.</w:t>
      </w:r>
    </w:p>
    <w:p w14:paraId="5012F963" w14:textId="77777777" w:rsidR="00A71558" w:rsidRPr="00A71558" w:rsidRDefault="00A71558" w:rsidP="00A71558">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 xml:space="preserve">En Ecuador, esta problemática adquiere una dimensión particular por la dolarización. El Fondo Monetario Internacional señala que el país </w:t>
      </w:r>
      <w:r w:rsidRPr="00A71558">
        <w:rPr>
          <w:rFonts w:eastAsia="Aptos" w:cs="Times New Roman"/>
          <w:spacing w:val="0"/>
          <w:kern w:val="2"/>
          <w:sz w:val="24"/>
          <w:szCs w:val="24"/>
          <w:lang w:val="es-EC"/>
          <w14:ligatures w14:val="standardContextual"/>
          <w14:numForm w14:val="default"/>
        </w:rPr>
        <w:lastRenderedPageBreak/>
        <w:t>carece de una política monetaria independiente, circunstancia que incrementa la importancia de los instrumentos fiscales frente a perturbaciones macroeconómicas. Asimismo, variaciones en las condiciones monetarias internacionales pueden transmitirse mediante mayores costos de financiamiento, movimientos de capital y efectos sobre los precios de materias primas y socios comerciales (Fondo Monetario Internacional [FMI], 2024).</w:t>
      </w:r>
    </w:p>
    <w:p w14:paraId="02F63631" w14:textId="77777777" w:rsidR="00A71558" w:rsidRPr="00A71558" w:rsidRDefault="00A71558" w:rsidP="00A71558">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La dolarización no implica por sí misma pérdida de soberanía fiscal, pero sí limita el repertorio de instrumentos disponibles. Al no contar con herramientas monetarias propias, la política fiscal asume una mayor responsabilidad en la estabilización económica. Esto permite distinguir entre autonomía normativa, referida a la facultad jurídica de adoptar una medida, y capacidad de adaptación fiscal, entendida como la posibilidad real de utilizar distintos instrumentos sin comprometer desproporcionadamente otras obligaciones estatales.</w:t>
      </w:r>
    </w:p>
    <w:p w14:paraId="3A89A681" w14:textId="77777777" w:rsidR="00A71558" w:rsidRPr="00A71558" w:rsidRDefault="00A71558" w:rsidP="00A71558">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La movilidad internacional del capital agrega otra dimensión a esta tensión. Dietsch (2018) advierte que la competencia entre Estados por atraer capital puede presionar las decisiones fiscales y reducir la autonomía con la que las comunidades políticas definen sus preferencias tributarias y distributivas. La soberanía fiscal se ejerce así dentro de una estructura relacional en la que las políticas adoptadas por unas jurisdicciones repercuten sobre las alternativas de otras.</w:t>
      </w:r>
    </w:p>
    <w:p w14:paraId="4DC57F40" w14:textId="77777777" w:rsidR="00A71558" w:rsidRPr="00A71558" w:rsidRDefault="00A71558" w:rsidP="00A71558">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Esta interdependencia tampoco implica que toda coordinación internacional debilite la autonomía. Dietsch (2011) sostiene que determinadas formas de cooperación fiscal pueden contribuir a preservar la capacidad de los Estados frente a dinámicas económicas transnacionales. La autonomía fiscal no debe identificarse, por tanto, con independencia absoluta, sino con la posibilidad de conservar un espacio significativo de autodeterminación dentro de relaciones de interdependencia.</w:t>
      </w:r>
    </w:p>
    <w:p w14:paraId="68528948" w14:textId="46BB7FBF" w:rsidR="007365AB" w:rsidRPr="007365AB" w:rsidRDefault="00A71558" w:rsidP="00D06B11">
      <w:pPr>
        <w:spacing w:before="0" w:after="0"/>
        <w:rPr>
          <w:rFonts w:eastAsia="Aptos" w:cs="Times New Roman"/>
          <w:spacing w:val="0"/>
          <w:kern w:val="2"/>
          <w:sz w:val="24"/>
          <w:szCs w:val="24"/>
          <w:lang w:val="es-EC"/>
          <w14:ligatures w14:val="standardContextual"/>
          <w14:numForm w14:val="default"/>
        </w:rPr>
      </w:pPr>
      <w:r w:rsidRPr="00A71558">
        <w:rPr>
          <w:rFonts w:eastAsia="Aptos" w:cs="Times New Roman"/>
          <w:spacing w:val="0"/>
          <w:kern w:val="2"/>
          <w:sz w:val="24"/>
          <w:szCs w:val="24"/>
          <w:lang w:val="es-EC"/>
          <w14:ligatures w14:val="standardContextual"/>
          <w14:numForm w14:val="default"/>
        </w:rPr>
        <w:t xml:space="preserve">En consecuencia, los límites materiales de la autonomía fiscal no afectan necesariamente la validez jurídica de una decisión, sino sus posibilidades reales de ejecución. En Ecuador, la dolarización, los costos de financiamiento, la exposición a perturbaciones externas y </w:t>
      </w:r>
      <w:r w:rsidRPr="00A71558">
        <w:rPr>
          <w:rFonts w:eastAsia="Aptos" w:cs="Times New Roman"/>
          <w:spacing w:val="0"/>
          <w:kern w:val="2"/>
          <w:sz w:val="24"/>
          <w:szCs w:val="24"/>
          <w:lang w:val="es-EC"/>
          <w14:ligatures w14:val="standardContextual"/>
          <w14:numForm w14:val="default"/>
        </w:rPr>
        <w:lastRenderedPageBreak/>
        <w:t>la movilidad del capital configuran restricciones que pueden estrechar el ejercicio de las competencias fiscales. La soberanía fiscal debe entenderse, entonces, como una capacidad cuyo contenido material puede ampliarse o reducirse según las condiciones en las que el Estado debe ejercerla.</w:t>
      </w:r>
    </w:p>
    <w:p w14:paraId="750385D0" w14:textId="18191140" w:rsidR="00E554D4" w:rsidRPr="00D67360" w:rsidRDefault="005F2311" w:rsidP="00D67360">
      <w:pPr>
        <w:pStyle w:val="Ttulo2"/>
      </w:pPr>
      <w:r w:rsidRPr="00D67360">
        <w:t>4.3. SOBERANÍA FISCAL CONDICIONADA EN EL CONSTITUCIONALISMO ECUATORIANO</w:t>
      </w:r>
    </w:p>
    <w:p w14:paraId="4E037556" w14:textId="2780372B" w:rsidR="00857415" w:rsidRDefault="00924EAC" w:rsidP="00A60CF2">
      <w:pPr>
        <w:spacing w:before="0" w:after="0"/>
        <w:rPr>
          <w:rFonts w:eastAsia="Aptos" w:cs="Times New Roman"/>
          <w:spacing w:val="0"/>
          <w:kern w:val="2"/>
          <w:sz w:val="24"/>
          <w:szCs w:val="24"/>
          <w14:ligatures w14:val="standardContextual"/>
          <w14:numForm w14:val="default"/>
        </w:rPr>
      </w:pPr>
      <w:r w:rsidRPr="00924EAC">
        <w:rPr>
          <w:rFonts w:eastAsia="Aptos" w:cs="Times New Roman"/>
          <w:spacing w:val="0"/>
          <w:kern w:val="2"/>
          <w:sz w:val="24"/>
          <w:szCs w:val="24"/>
          <w14:ligatures w14:val="standardContextual"/>
          <w14:numForm w14:val="default"/>
        </w:rPr>
        <w:t>Los resultados expuestos muestran que la soberanía fiscal en el Ecuador no puede explicarse desde una concepción absoluta. Aunque el orden constitucional reconoce competencias en materia tributaria, presupuestaria y de endeudamiento, su ejercicio se desarrolla dentro de condiciones económicas y financieras que reducen el margen real de actuación. Para evitar tanto la idea de que todo condicionamiento implica pérdida de soberanía como la de que esta permanece intacta mientras no exista transferencia formal de competencias, se propone la noción de soberanía fiscal condicionada, entendida como aquella en la que el Estado conserva sus potestades constitucionales, pero las ejerce dentro de restricciones que inciden sobre su capacidad efectiva de decisión.</w:t>
      </w:r>
    </w:p>
    <w:p w14:paraId="5B6C994E" w14:textId="5CC19FDE" w:rsidR="008A1DE1" w:rsidRDefault="008A1DE1" w:rsidP="00CC679F">
      <w:pPr>
        <w:pStyle w:val="Ttulo3"/>
      </w:pPr>
      <w:r>
        <w:t xml:space="preserve">4.3.1. </w:t>
      </w:r>
      <w:r w:rsidR="007268DF" w:rsidRPr="007268DF">
        <w:t>Entre autonomía normativa y dependencia financiera: una soberanía fiscal condicionada</w:t>
      </w:r>
    </w:p>
    <w:p w14:paraId="0C53A07F" w14:textId="3B23813F" w:rsidR="000C309D" w:rsidRPr="000C309D" w:rsidRDefault="00CC679F" w:rsidP="000C309D">
      <w:pPr>
        <w:spacing w:before="0" w:after="0"/>
        <w:rPr>
          <w:lang w:val="es-EC"/>
        </w:rPr>
      </w:pPr>
      <w:r w:rsidRPr="00CC679F">
        <w:rPr>
          <w:lang w:val="es-EC"/>
        </w:rPr>
        <w:t xml:space="preserve">La </w:t>
      </w:r>
      <w:r w:rsidR="000C309D" w:rsidRPr="000C309D">
        <w:rPr>
          <w:lang w:val="es-EC"/>
        </w:rPr>
        <w:t>relación entre autonomía normativa y dependencia financiera evidencia que la existencia jurídica de una competencia no garantiza un margen equivalente para ejercerla. Ecuador conserva constitucionalmente potestades en materia tributaria, de gasto y endeudamiento, pero factores como el servicio de la deuda, las necesidades de financiamiento, la dolarización y la exposición a condiciones económicas externas pueden reducir las alternativas fiscalmente sostenibles. La soberanía fiscal, por tanto, no desaparece, pero puede experimentar distintos grados de condicionamiento.</w:t>
      </w:r>
    </w:p>
    <w:p w14:paraId="7F40EB1E" w14:textId="77777777" w:rsidR="000C309D" w:rsidRPr="000C309D" w:rsidRDefault="000C309D" w:rsidP="000C309D">
      <w:pPr>
        <w:spacing w:before="0" w:after="0"/>
        <w:rPr>
          <w:lang w:val="es-EC"/>
        </w:rPr>
      </w:pPr>
      <w:r w:rsidRPr="000C309D">
        <w:rPr>
          <w:lang w:val="es-EC"/>
        </w:rPr>
        <w:t xml:space="preserve">Dagan (2024) sostiene que la soberanía tributaria sustantiva no depende únicamente del poder formal de imponer tributos, sino de la capacidad </w:t>
      </w:r>
      <w:r w:rsidRPr="000C309D">
        <w:rPr>
          <w:lang w:val="es-EC"/>
        </w:rPr>
        <w:lastRenderedPageBreak/>
        <w:t>de diseñar un sistema fiscal viable y legítimo que permita sostener bienes públicos, objetivos distributivos y procesos de autodeterminación colectiva. Este enfoque resulta útil para el caso ecuatoriano porque desplaza el análisis desde la titularidad jurídica hacia el contenido efectivo que conserva la competencia cuando determinadas opciones fiscales se encuentran restringidas por condiciones estructurales.</w:t>
      </w:r>
    </w:p>
    <w:p w14:paraId="7888ECEF" w14:textId="77777777" w:rsidR="000C309D" w:rsidRPr="000C309D" w:rsidRDefault="000C309D" w:rsidP="000C309D">
      <w:pPr>
        <w:spacing w:before="0" w:after="0"/>
        <w:rPr>
          <w:lang w:val="es-EC"/>
        </w:rPr>
      </w:pPr>
      <w:r w:rsidRPr="000C309D">
        <w:rPr>
          <w:lang w:val="es-EC"/>
        </w:rPr>
        <w:t>A partir de esta premisa, puede proponerse que la soberanía fiscal presenta tres dimensiones. La formal corresponde al reconocimiento constitucional de competencias sobre tributación, gasto, presupuesto y endeudamiento; la material se refiere a la capacidad efectiva de transformar esas competencias en decisiones financieramente ejecutables; y la relacional atiende a la incidencia de relaciones económicas, crediticias y tributarias externas sobre el margen fiscal estatal. Esta diferenciación permite comprender que un Estado puede conservar plenamente la dimensión formal y, simultáneamente, enfrentar restricciones relevantes en las otras dos.</w:t>
      </w:r>
    </w:p>
    <w:p w14:paraId="37F68396" w14:textId="77777777" w:rsidR="000C309D" w:rsidRPr="000C309D" w:rsidRDefault="000C309D" w:rsidP="000C309D">
      <w:pPr>
        <w:spacing w:before="0" w:after="0"/>
        <w:rPr>
          <w:lang w:val="es-EC"/>
        </w:rPr>
      </w:pPr>
      <w:r w:rsidRPr="000C309D">
        <w:rPr>
          <w:lang w:val="es-EC"/>
        </w:rPr>
        <w:t>La dimensión relacional adquiere especial importancia en contextos de interdependencia. Dietsch (2011) cuestiona una concepción de soberanía basada exclusivamente en independencia y no intervención, y sostiene que las relaciones fiscales contemporáneas obligan a considerar también los vínculos existentes entre Estados. La interacción exterior no constituye, por sí misma, una erosión de autonomía, pues la soberanía actual se ejerce dentro de estructuras económicas en las que las decisiones de unas jurisdicciones inciden sobre las posibilidades de otras.</w:t>
      </w:r>
    </w:p>
    <w:p w14:paraId="0722E797" w14:textId="77777777" w:rsidR="000C309D" w:rsidRPr="000C309D" w:rsidRDefault="000C309D" w:rsidP="000C309D">
      <w:pPr>
        <w:spacing w:before="0" w:after="0"/>
        <w:rPr>
          <w:lang w:val="es-EC"/>
        </w:rPr>
      </w:pPr>
      <w:r w:rsidRPr="000C309D">
        <w:rPr>
          <w:lang w:val="es-EC"/>
        </w:rPr>
        <w:t>En este sentido, la soberanía fiscal condicionada no equivale a soberanía anulada. Su utilidad consiste en reconocer que las restricciones admiten distintos orígenes e intensidades. Un límite constitucional, una obligación derivada de deuda legítimamente contraída o una presión vinculada con condiciones internacionales de financiamiento no poseen la misma naturaleza, aunque todas puedan incidir sobre la decisión fiscal. Por ello, la existencia de condicionamiento debe valorarse atendiendo a su origen, intensidad y efectos.</w:t>
      </w:r>
    </w:p>
    <w:p w14:paraId="611B3404" w14:textId="77777777" w:rsidR="000C309D" w:rsidRPr="000C309D" w:rsidRDefault="000C309D" w:rsidP="000C309D">
      <w:pPr>
        <w:spacing w:before="0" w:after="0"/>
        <w:rPr>
          <w:lang w:val="es-EC"/>
        </w:rPr>
      </w:pPr>
      <w:proofErr w:type="spellStart"/>
      <w:r w:rsidRPr="000C309D">
        <w:rPr>
          <w:lang w:val="es-EC"/>
        </w:rPr>
        <w:t>Geuens</w:t>
      </w:r>
      <w:proofErr w:type="spellEnd"/>
      <w:r w:rsidRPr="000C309D">
        <w:rPr>
          <w:lang w:val="es-EC"/>
        </w:rPr>
        <w:t xml:space="preserve"> (2024) advierte que la creciente interconexión económica ha transformado las condiciones tradicionales de ejercicio de la soberanía tributaria y exige reconciliar la capacidad fiscal nacional con estructuras de cooperación y gobernanza supranacional. Desde esta perspectiva, </w:t>
      </w:r>
      <w:r w:rsidRPr="000C309D">
        <w:rPr>
          <w:lang w:val="es-EC"/>
        </w:rPr>
        <w:lastRenderedPageBreak/>
        <w:t>el desafío no consiste en recuperar una independencia fiscal absoluta, sino en preservar un margen suficiente para que las decisiones continúen respondiendo al proceso democrático interno y a las finalidades constitucionales.</w:t>
      </w:r>
    </w:p>
    <w:p w14:paraId="6BA76514" w14:textId="77777777" w:rsidR="000C309D" w:rsidRPr="000C309D" w:rsidRDefault="000C309D" w:rsidP="000C309D">
      <w:pPr>
        <w:spacing w:before="0" w:after="0"/>
        <w:rPr>
          <w:lang w:val="es-EC"/>
        </w:rPr>
      </w:pPr>
      <w:r w:rsidRPr="000C309D">
        <w:rPr>
          <w:lang w:val="es-EC"/>
        </w:rPr>
        <w:t>Aplicada al Ecuador, esta propuesta permite sostener que la dependencia financiera no elimina automáticamente la soberanía fiscal, pero sí obliga a examinar su calidad material. El condicionamiento resulta compatible con el ejercicio soberano mientras el Estado conserve capacidad real para definir prioridades y escoger entre alternativas. El problema surge cuando las restricciones convierten opciones constitucionalmente disponibles en posibilidades meramente teóricas.</w:t>
      </w:r>
    </w:p>
    <w:p w14:paraId="0FDD9220" w14:textId="60B8732C" w:rsidR="000C309D" w:rsidRPr="000C309D" w:rsidRDefault="000C309D" w:rsidP="000C309D">
      <w:pPr>
        <w:spacing w:before="0" w:after="0"/>
        <w:rPr>
          <w:lang w:val="es-EC"/>
        </w:rPr>
      </w:pPr>
      <w:r w:rsidRPr="000C309D">
        <w:rPr>
          <w:lang w:val="es-EC"/>
        </w:rPr>
        <w:t>En consecuencia, la soberanía fiscal condicionada puede entenderse como aquella situación en la que el Estado conserva la titularidad constitucional de sus competencias fiscales, pero las ejerce dentro de un espacio de decisión determinado por límites jurídicos, restricciones económicas y relaciones financieras externas. Esta categoría permite explicar con mayor precisión la soberanía fiscal contemporánea y valorar posteriormente cuándo el margen de autonomía conservado resulta constitucionalmente suficiente.</w:t>
      </w:r>
    </w:p>
    <w:p w14:paraId="2FFD7185" w14:textId="77777777" w:rsidR="004A3B12" w:rsidRPr="004A3B12" w:rsidRDefault="004A3B12" w:rsidP="000C309D">
      <w:pPr>
        <w:pStyle w:val="Ttulo3"/>
        <w:rPr>
          <w:lang w:val="es-EC"/>
        </w:rPr>
      </w:pPr>
      <w:r w:rsidRPr="004A3B12">
        <w:rPr>
          <w:lang w:val="es-EC"/>
        </w:rPr>
        <w:t>4.3.2. Hacia una lectura constitucional de la autonomía fiscal efectiva</w:t>
      </w:r>
    </w:p>
    <w:p w14:paraId="28F8CE44" w14:textId="77777777" w:rsidR="004A3B12" w:rsidRPr="004A3B12" w:rsidRDefault="004A3B12" w:rsidP="004A3B12">
      <w:pPr>
        <w:spacing w:before="0" w:after="0"/>
        <w:rPr>
          <w:lang w:val="es-EC"/>
        </w:rPr>
      </w:pPr>
      <w:r w:rsidRPr="004A3B12">
        <w:rPr>
          <w:lang w:val="es-EC"/>
        </w:rPr>
        <w:t>La identificación de una soberanía fiscal condicionada plantea una cuestión adicional: determinar qué elementos permiten establecer si el margen de decisión conservado por el Estado continúa siendo suficiente para hablar de una autonomía fiscal efectiva. La respuesta no puede depender únicamente de la existencia formal de competencias ni de indicadores económicos aislados. Desde una perspectiva constitucional, la autonomía fiscal debería ser evaluada atendiendo a la capacidad estatal para adoptar decisiones fiscalmente viables, democráticamente legitimadas y compatibles con las obligaciones que el propio orden constitucional impone. Esto exige pasar de una concepción estática de soberanía, centrada en la titularidad de potestades, a una concepción funcional que examine las condiciones reales de su ejercicio.</w:t>
      </w:r>
    </w:p>
    <w:p w14:paraId="6C0DBD19" w14:textId="77777777" w:rsidR="004A3B12" w:rsidRPr="004A3B12" w:rsidRDefault="004A3B12" w:rsidP="004A3B12">
      <w:pPr>
        <w:spacing w:before="0" w:after="0"/>
        <w:rPr>
          <w:lang w:val="es-EC"/>
        </w:rPr>
      </w:pPr>
      <w:r w:rsidRPr="004A3B12">
        <w:rPr>
          <w:lang w:val="es-EC"/>
        </w:rPr>
        <w:lastRenderedPageBreak/>
        <w:t>Un primer elemento de esta lectura es la preservación de un margen sustancial de decisión pública. Ring (2009) sostiene que las reivindicaciones de soberanía tributaria se encuentran vinculadas con objetivos funcionales y normativos que permiten a los Estados conservar control sobre sus políticas fiscales y responder a preferencias colectivas propias. La autora advierte, además, que la cooperación fiscal no debe analizarse únicamente como una cesión de poder, sino a partir de los intereses democráticos que la soberanía tributaria busca proteger. Esta aproximación permite sostener que la autonomía fiscal efectiva no exige una libertad absoluta, pero sí que las autoridades nacionales dispongan de alternativas reales entre las cuales decidir. Cuando una determinada estructura financiera convierte esas alternativas en posibilidades puramente nominales, la competencia jurídica conserva su forma, pero pierde parte de su capacidad sustantiva.</w:t>
      </w:r>
    </w:p>
    <w:p w14:paraId="661C6356" w14:textId="7BB1FEE4" w:rsidR="004A3B12" w:rsidRPr="004A3B12" w:rsidRDefault="004A3B12" w:rsidP="004A3B12">
      <w:pPr>
        <w:spacing w:before="0" w:after="0"/>
        <w:rPr>
          <w:lang w:val="es-EC"/>
        </w:rPr>
      </w:pPr>
      <w:r w:rsidRPr="004A3B12">
        <w:rPr>
          <w:lang w:val="es-EC"/>
        </w:rPr>
        <w:t xml:space="preserve">Esta exigencia adquiere una dimensión particular en el orden constitucional ecuatoriano. Como se señaló anteriormente, los artículos 285 y 286 de la Constitución vinculan la política fiscal con el financiamiento de servicios, inversión y bienes públicos, la redistribución del ingreso y la conducción sostenible y responsable de las finanzas públicas. </w:t>
      </w:r>
      <w:r w:rsidR="00482482" w:rsidRPr="00482482">
        <w:t>(Constitución de la República del Ecuador, 2008, arts. 285–286, 290).</w:t>
      </w:r>
      <w:r w:rsidR="00482482">
        <w:t xml:space="preserve"> </w:t>
      </w:r>
      <w:r w:rsidRPr="004A3B12">
        <w:rPr>
          <w:lang w:val="es-EC"/>
        </w:rPr>
        <w:t>A</w:t>
      </w:r>
      <w:r w:rsidR="00482482">
        <w:rPr>
          <w:lang w:val="es-EC"/>
        </w:rPr>
        <w:t xml:space="preserve"> </w:t>
      </w:r>
      <w:r w:rsidRPr="004A3B12">
        <w:rPr>
          <w:lang w:val="es-EC"/>
        </w:rPr>
        <w:t>ello se suma que el artículo 290 exige expresamente que el endeudamiento público no afecte la soberanía ni otros bienes constitucionalmente protegidos. Estas disposiciones permiten interpretar que la sostenibilidad fiscal no constituye un fin autónomo desligado de los demás mandatos constitucionales, sino una condición para hacer posible su cumplimiento en el tiempo. Por ello, una política fiscal constitucionalmente adecuada no puede evaluarse únicamente por su capacidad para estabilizar cuentas públicas, sino también por la medida en que conserva recursos y opciones suficientes para atender derechos y finalidades estatales.</w:t>
      </w:r>
    </w:p>
    <w:p w14:paraId="6A1BD2CD" w14:textId="77777777" w:rsidR="004A3B12" w:rsidRPr="004A3B12" w:rsidRDefault="004A3B12" w:rsidP="004A3B12">
      <w:pPr>
        <w:spacing w:before="0" w:after="0"/>
        <w:rPr>
          <w:lang w:val="es-EC"/>
        </w:rPr>
      </w:pPr>
      <w:r w:rsidRPr="004A3B12">
        <w:rPr>
          <w:lang w:val="es-EC"/>
        </w:rPr>
        <w:t>A partir de esta relación puede formularse un segundo criterio: la sostenibilidad fiscal debe funcionar como garantía de autonomía futura y no como justificación automática de cualquier restricción presente. La disciplina fiscal adquiere legitimidad constitucional cuando contribuye a evitar que las decisiones actuales reduzcan de manera desproporcio</w:t>
      </w:r>
      <w:r w:rsidRPr="004A3B12">
        <w:rPr>
          <w:lang w:val="es-EC"/>
        </w:rPr>
        <w:lastRenderedPageBreak/>
        <w:t>nada la capacidad de actuación de gobiernos futuros. Sin embargo, utilizar la sostenibilidad como argumento autosuficiente para desplazar otras obligaciones constitucionales produciría el efecto contrario: una herramienta destinada a preservar capacidad fiscal terminaría restringiendo de manera absoluta los fines para los cuales esa capacidad existe. La tensión entre sostenibilidad y satisfacción de derechos no debería resolverse mediante la prevalencia abstracta de una sobre otra, sino mediante una evaluación de proporcionalidad entre las obligaciones financieras asumidas y el espacio que permanece disponible para las prioridades constitucionales.</w:t>
      </w:r>
    </w:p>
    <w:p w14:paraId="4872E647" w14:textId="1EAFFDAB" w:rsidR="004A3B12" w:rsidRPr="004A3B12" w:rsidRDefault="004A3B12" w:rsidP="004A3B12">
      <w:pPr>
        <w:spacing w:before="0" w:after="0"/>
        <w:rPr>
          <w:lang w:val="es-EC"/>
        </w:rPr>
      </w:pPr>
      <w:r w:rsidRPr="004A3B12">
        <w:rPr>
          <w:lang w:val="es-EC"/>
        </w:rPr>
        <w:t>Un tercer componente es la legitimidad democrática de las decisiones fiscales. La tributación, el gasto y el endeudamiento distribuyen cargas y beneficios entre distintos grupos sociales y entre generaciones, por lo que sus efectos trascienden la administración técnica de recursos. En este sentido, la autonomía fiscal efectiva requiere que las decisiones que comprometen recursos públicos puedan ser conocidas, justificadas y sometidas a control institucional y social. El Fondo Monetario Internacional considera que la transparencia fiscal es esencial para una gestión eficaz y para la rendición de cuentas, pues permite que legisladores, mercados y ciudadanía conozcan la situación de las finanzas públicas y evalúen las decisiones gubernamentales.</w:t>
      </w:r>
      <w:r w:rsidR="00C470CE" w:rsidRPr="00C470CE">
        <w:t xml:space="preserve"> </w:t>
      </w:r>
      <w:r w:rsidR="00C470CE" w:rsidRPr="00C470CE">
        <w:t>(s. f.)</w:t>
      </w:r>
      <w:r w:rsidRPr="004A3B12">
        <w:rPr>
          <w:lang w:val="es-EC"/>
        </w:rPr>
        <w:t xml:space="preserve"> La transparencia adquiere así relevancia constitucional no porque incremente por sí sola la soberanía, sino porque permite verificar de qué manera se ejerce y quién asume las consecuencias de las decisiones adoptadas.</w:t>
      </w:r>
    </w:p>
    <w:p w14:paraId="7AF90988" w14:textId="576EF713" w:rsidR="004A3B12" w:rsidRPr="004A3B12" w:rsidRDefault="004A3B12" w:rsidP="004A3B12">
      <w:pPr>
        <w:spacing w:before="0" w:after="0"/>
        <w:rPr>
          <w:lang w:val="es-EC"/>
        </w:rPr>
      </w:pPr>
      <w:r w:rsidRPr="004A3B12">
        <w:rPr>
          <w:lang w:val="es-EC"/>
        </w:rPr>
        <w:t xml:space="preserve">La transparencia debe acompañarse de responsabilidad institucional. El acceso a financiamiento externo puede requerir compromisos técnicos cuya complejidad dificulte su escrutinio público, pero precisamente por esa razón las decisiones que afectan ingresos, gasto o deuda requieren mecanismos capaces de mantener visible su origen, alcance y efectos. </w:t>
      </w:r>
      <w:r w:rsidR="006B41CD" w:rsidRPr="006B41CD">
        <w:t xml:space="preserve">La Organización para la Cooperación y el Desarrollo Económicos (OCDE, 2017) </w:t>
      </w:r>
      <w:r w:rsidRPr="004A3B12">
        <w:rPr>
          <w:lang w:val="es-EC"/>
        </w:rPr>
        <w:t xml:space="preserve">vincula la transparencia presupuestaria con la rendición de cuentas y con la posibilidad de que gobiernos y parlamentos adopten decisiones mejor informadas sobre el uso de los recursos públicos. De ello se desprende que una autonomía fiscal sustantiva no se protege </w:t>
      </w:r>
      <w:r w:rsidRPr="004A3B12">
        <w:rPr>
          <w:lang w:val="es-EC"/>
        </w:rPr>
        <w:lastRenderedPageBreak/>
        <w:t>únicamente frente a presiones externas; también puede debilitarse internamente cuando las decisiones financieras se adoptan sin suficiente deliberación, información o control.</w:t>
      </w:r>
    </w:p>
    <w:p w14:paraId="3EEF9B25" w14:textId="77777777" w:rsidR="004A3B12" w:rsidRPr="004A3B12" w:rsidRDefault="004A3B12" w:rsidP="004A3B12">
      <w:pPr>
        <w:spacing w:before="0" w:after="0"/>
        <w:rPr>
          <w:lang w:val="es-EC"/>
        </w:rPr>
      </w:pPr>
      <w:r w:rsidRPr="004A3B12">
        <w:rPr>
          <w:lang w:val="es-EC"/>
        </w:rPr>
        <w:t xml:space="preserve">Un cuarto criterio consiste en la preservación de la capacidad </w:t>
      </w:r>
      <w:proofErr w:type="spellStart"/>
      <w:r w:rsidRPr="004A3B12">
        <w:rPr>
          <w:lang w:val="es-EC"/>
        </w:rPr>
        <w:t>intertemporal</w:t>
      </w:r>
      <w:proofErr w:type="spellEnd"/>
      <w:r w:rsidRPr="004A3B12">
        <w:rPr>
          <w:lang w:val="es-EC"/>
        </w:rPr>
        <w:t xml:space="preserve"> de decisión. Como se señaló al analizar el endeudamiento, las decisiones fiscales actuales pueden comprometer recursos de periodos posteriores. Esto obliga a considerar la soberanía no solo desde la perspectiva del gobierno que adopta una medida, sino también desde los efectos que dicha medida produce sobre la capacidad futura del Estado. En consecuencia, una decisión puede ser formalmente soberana y, al mismo tiempo, generar una reducción excesiva de la autonomía fiscal posterior. Desde esta perspectiva, la responsabilidad intergeneracional adquiere un significado adicional: evitar que la libertad fiscal presente se ejerza de manera tal que prive a futuros procesos democráticos de un margen razonable para definir sus propias prioridades.</w:t>
      </w:r>
    </w:p>
    <w:p w14:paraId="091FB449" w14:textId="77777777" w:rsidR="004A3B12" w:rsidRPr="004A3B12" w:rsidRDefault="004A3B12" w:rsidP="004A3B12">
      <w:pPr>
        <w:spacing w:before="0" w:after="0"/>
        <w:rPr>
          <w:lang w:val="es-EC"/>
        </w:rPr>
      </w:pPr>
      <w:r w:rsidRPr="004A3B12">
        <w:rPr>
          <w:lang w:val="es-EC"/>
        </w:rPr>
        <w:t>Sobre esta base, puede proponerse que la autonomía fiscal efectiva se valore a partir de cuatro condiciones concurrentes: existencia de competencias constitucionales propias; disponibilidad de un margen material razonable entre alternativas fiscales; sometimiento de las decisiones a legitimidad, transparencia y control democrático; y preservación de una capacidad suficiente de decisión para el futuro. Ninguna de estas condiciones, considerada aisladamente, permite determinar la existencia de soberanía fiscal. Su relevancia aparece en conjunto, porque permiten distinguir entre restricciones compatibles con el ejercicio soberano y condicionamientos capaces de vaciar progresivamente su contenido material.</w:t>
      </w:r>
    </w:p>
    <w:p w14:paraId="2053FFD5" w14:textId="77777777" w:rsidR="004A3B12" w:rsidRPr="004A3B12" w:rsidRDefault="004A3B12" w:rsidP="004A3B12">
      <w:pPr>
        <w:spacing w:before="0" w:after="0"/>
        <w:rPr>
          <w:lang w:val="es-EC"/>
        </w:rPr>
      </w:pPr>
      <w:r w:rsidRPr="004A3B12">
        <w:rPr>
          <w:lang w:val="es-EC"/>
        </w:rPr>
        <w:t xml:space="preserve">En consecuencia, el problema constitucional de la dependencia financiera no consiste en eliminar toda influencia externa sobre la política fiscal, objetivo incompatible con la realidad de la interdependencia económica contemporánea. El desafío consiste en impedir que esa influencia alcance una intensidad que transforme la capacidad estatal de decidir en una potestad meramente formal. La autonomía fiscal efectiva puede entenderse, entonces, como la conservación de un espacio constitucionalmente relevante de decisión dentro del cual el Estado pueda financiar sus obligaciones, escoger entre alternativas reales, justificar democráticamente sus opciones y evitar que los compromisos presentes </w:t>
      </w:r>
      <w:r w:rsidRPr="004A3B12">
        <w:rPr>
          <w:lang w:val="es-EC"/>
        </w:rPr>
        <w:lastRenderedPageBreak/>
        <w:t>clausuren de manera desproporcionada las decisiones futuras. Esta lectura permite valorar la soberanía fiscal por la calidad y amplitud de la autodeterminación que preserva, y no únicamente por la ausencia de interferencias externas.</w:t>
      </w:r>
    </w:p>
    <w:bookmarkEnd w:id="3"/>
    <w:p w14:paraId="740C7DA7" w14:textId="117F55D7" w:rsidR="00CE0F4B" w:rsidRDefault="002A43CD" w:rsidP="009718C5">
      <w:pPr>
        <w:pStyle w:val="Ttulo1"/>
        <w:jc w:val="both"/>
      </w:pPr>
      <w:r w:rsidRPr="002A43CD">
        <w:t>5.</w:t>
      </w:r>
      <w:r>
        <w:t xml:space="preserve"> </w:t>
      </w:r>
      <w:r w:rsidR="00CE0F4B">
        <w:t>discusión</w:t>
      </w:r>
    </w:p>
    <w:p w14:paraId="564CE015" w14:textId="77777777" w:rsidR="006011B6" w:rsidRPr="006011B6" w:rsidRDefault="006011B6" w:rsidP="006011B6">
      <w:pPr>
        <w:spacing w:before="0" w:after="0"/>
        <w:rPr>
          <w:rFonts w:eastAsia="Aptos" w:cs="Times New Roman"/>
          <w:spacing w:val="0"/>
          <w:kern w:val="2"/>
          <w:sz w:val="24"/>
          <w:szCs w:val="24"/>
          <w:lang w:val="es-EC"/>
          <w14:ligatures w14:val="standardContextual"/>
          <w14:numForm w14:val="default"/>
        </w:rPr>
      </w:pPr>
      <w:r w:rsidRPr="006011B6">
        <w:rPr>
          <w:rFonts w:eastAsia="Aptos" w:cs="Times New Roman"/>
          <w:spacing w:val="0"/>
          <w:kern w:val="2"/>
          <w:sz w:val="24"/>
          <w:szCs w:val="24"/>
          <w:lang w:val="es-EC"/>
          <w14:ligatures w14:val="standardContextual"/>
          <w14:numForm w14:val="default"/>
        </w:rPr>
        <w:t>El análisis desarrollado evidencia que la tensión entre soberanía fiscal y dependencia financiera no puede resolverse mediante una oposición simple entre autonomía y pérdida de soberanía. El orden constitucional ecuatoriano reconoce al Estado competencias amplias sobre tributación, gasto, presupuesto y endeudamiento; sin embargo, la existencia formal de estas potestades no determina por sí sola la amplitud real con que pueden ejercerse. Los resultados muestran que la autonomía fiscal posee una dimensión material que depende de las condiciones económicas y financieras dentro de las cuales las decisiones públicas deben adoptarse. En consecuencia, la soberanía fiscal contemporánea se configura menos como una facultad absoluta y más como una capacidad de autodeterminación cuyo contenido puede variar según el margen efectivo de actuación disponible.</w:t>
      </w:r>
    </w:p>
    <w:p w14:paraId="5E3D56DA" w14:textId="77777777" w:rsidR="006011B6" w:rsidRPr="006011B6" w:rsidRDefault="006011B6" w:rsidP="006011B6">
      <w:pPr>
        <w:spacing w:before="0" w:after="0"/>
        <w:rPr>
          <w:rFonts w:eastAsia="Aptos" w:cs="Times New Roman"/>
          <w:spacing w:val="0"/>
          <w:kern w:val="2"/>
          <w:sz w:val="24"/>
          <w:szCs w:val="24"/>
          <w:lang w:val="es-EC"/>
          <w14:ligatures w14:val="standardContextual"/>
          <w14:numForm w14:val="default"/>
        </w:rPr>
      </w:pPr>
      <w:r w:rsidRPr="006011B6">
        <w:rPr>
          <w:rFonts w:eastAsia="Aptos" w:cs="Times New Roman"/>
          <w:spacing w:val="0"/>
          <w:kern w:val="2"/>
          <w:sz w:val="24"/>
          <w:szCs w:val="24"/>
          <w:lang w:val="es-EC"/>
          <w14:ligatures w14:val="standardContextual"/>
          <w14:numForm w14:val="default"/>
        </w:rPr>
        <w:t>Esta constatación permite cuestionar una concepción estrictamente formal de la soberanía. Dagan (2024) vincula la soberanía tributaria sustantiva con la capacidad de una comunidad política para diseñar un sistema fiscal que permita materializar sus propios objetivos colectivos. Desde esta perspectiva, mantener jurídicamente la competencia tributaria no resulta suficiente si las condiciones materiales reducen de manera significativa las alternativas entre las cuales el Estado puede decidir. No obstante, tampoco sería correcto interpretar toda restricción económica como una afectación de soberanía. La escasez de recursos, la necesidad de financiamiento y las consecuencias económicas de las decisiones forman parte del entorno ordinario de la política fiscal. El problema aparece cuando tales condicionamientos adquieren una intensidad capaz de convertir opciones jurídicamente disponibles en alternativas prácticamente inaccesibles.</w:t>
      </w:r>
    </w:p>
    <w:p w14:paraId="7239BF23" w14:textId="45002BCA" w:rsidR="006011B6" w:rsidRPr="006011B6" w:rsidRDefault="006011B6" w:rsidP="006011B6">
      <w:pPr>
        <w:spacing w:before="0" w:after="0"/>
        <w:rPr>
          <w:rFonts w:eastAsia="Aptos" w:cs="Times New Roman"/>
          <w:spacing w:val="0"/>
          <w:kern w:val="2"/>
          <w:sz w:val="24"/>
          <w:szCs w:val="24"/>
          <w:lang w:val="es-EC"/>
          <w14:ligatures w14:val="standardContextual"/>
          <w14:numForm w14:val="default"/>
        </w:rPr>
      </w:pPr>
      <w:r w:rsidRPr="006011B6">
        <w:rPr>
          <w:rFonts w:eastAsia="Aptos" w:cs="Times New Roman"/>
          <w:spacing w:val="0"/>
          <w:kern w:val="2"/>
          <w:sz w:val="24"/>
          <w:szCs w:val="24"/>
          <w:lang w:val="es-EC"/>
          <w14:ligatures w14:val="standardContextual"/>
          <w14:numForm w14:val="default"/>
        </w:rPr>
        <w:lastRenderedPageBreak/>
        <w:t xml:space="preserve">En el caso ecuatoriano, esta discusión adquiere especial relevancia porque la propia Constitución incorpora una relación explícita entre endeudamiento y soberanía. El artículo 290 exige que la deuda pública no afecte la soberanía, los derechos, el buen vivir ni la preservación de la naturaleza </w:t>
      </w:r>
      <w:r w:rsidR="006929C9" w:rsidRPr="006929C9">
        <w:rPr>
          <w:rFonts w:eastAsia="Aptos" w:cs="Times New Roman"/>
          <w:spacing w:val="0"/>
          <w:kern w:val="2"/>
          <w:sz w:val="24"/>
          <w:szCs w:val="24"/>
          <w14:ligatures w14:val="standardContextual"/>
          <w14:numForm w14:val="default"/>
        </w:rPr>
        <w:t>El artículo 290 exige que la deuda pública no afecte la soberanía, los derechos, el buen vivir ni la preservación de la naturaleza (Constitución de la República del Ecuador, 2008, art. 290)</w:t>
      </w:r>
      <w:r w:rsidRPr="006929C9">
        <w:rPr>
          <w:rFonts w:eastAsia="Aptos" w:cs="Times New Roman"/>
          <w:spacing w:val="0"/>
          <w:kern w:val="2"/>
          <w:sz w:val="24"/>
          <w:szCs w:val="24"/>
          <w:lang w:val="es-EC"/>
          <w14:ligatures w14:val="standardContextual"/>
          <w14:numForm w14:val="default"/>
        </w:rPr>
        <w:t>.</w:t>
      </w:r>
      <w:r w:rsidRPr="006011B6">
        <w:rPr>
          <w:rFonts w:eastAsia="Aptos" w:cs="Times New Roman"/>
          <w:spacing w:val="0"/>
          <w:kern w:val="2"/>
          <w:sz w:val="24"/>
          <w:szCs w:val="24"/>
          <w:lang w:val="es-EC"/>
          <w14:ligatures w14:val="standardContextual"/>
          <w14:numForm w14:val="default"/>
        </w:rPr>
        <w:t xml:space="preserve"> Esta previsión permite sostener que el análisis constitucional del endeudamiento no debería agotarse en verificar su legalidad o sostenibilidad financiera. También debe examinarse su incidencia sobre la capacidad futura del Estado para cumplir otras obligaciones constitucionales y conservar un margen razonable de decisión fiscal.</w:t>
      </w:r>
    </w:p>
    <w:p w14:paraId="2C6688AB" w14:textId="77777777" w:rsidR="006011B6" w:rsidRPr="006011B6" w:rsidRDefault="006011B6" w:rsidP="006011B6">
      <w:pPr>
        <w:spacing w:before="0" w:after="0"/>
        <w:rPr>
          <w:rFonts w:eastAsia="Aptos" w:cs="Times New Roman"/>
          <w:spacing w:val="0"/>
          <w:kern w:val="2"/>
          <w:sz w:val="24"/>
          <w:szCs w:val="24"/>
          <w:lang w:val="es-EC"/>
          <w14:ligatures w14:val="standardContextual"/>
          <w14:numForm w14:val="default"/>
        </w:rPr>
      </w:pPr>
      <w:r w:rsidRPr="006011B6">
        <w:rPr>
          <w:rFonts w:eastAsia="Aptos" w:cs="Times New Roman"/>
          <w:spacing w:val="0"/>
          <w:kern w:val="2"/>
          <w:sz w:val="24"/>
          <w:szCs w:val="24"/>
          <w:lang w:val="es-EC"/>
          <w14:ligatures w14:val="standardContextual"/>
          <w14:numForm w14:val="default"/>
        </w:rPr>
        <w:t>Los resultados también permiten matizar la relación entre interdependencia y autonomía. Dietsch (2011) advierte que la cooperación internacional no necesariamente debilita la soberanía fiscal y que, en determinados escenarios, puede contribuir a recuperar capacidades que la interacción económica transnacional había reducido. De este modo, el problema no radica en la existencia de relaciones financieras o tributarias internacionales, sino en las condiciones bajo las cuales el Estado participa en ellas y en la capacidad que conserva para definir sus prioridades. La autonomía fiscal no exige aislamiento, sino una intervención estatal suficientemente significativa en la configuración de las decisiones que afectan su espacio fiscal.</w:t>
      </w:r>
    </w:p>
    <w:p w14:paraId="7495D1C6" w14:textId="77777777" w:rsidR="006011B6" w:rsidRPr="006011B6" w:rsidRDefault="006011B6" w:rsidP="006011B6">
      <w:pPr>
        <w:spacing w:before="0" w:after="0"/>
        <w:rPr>
          <w:rFonts w:eastAsia="Aptos" w:cs="Times New Roman"/>
          <w:spacing w:val="0"/>
          <w:kern w:val="2"/>
          <w:sz w:val="24"/>
          <w:szCs w:val="24"/>
          <w:lang w:val="es-EC"/>
          <w14:ligatures w14:val="standardContextual"/>
          <w14:numForm w14:val="default"/>
        </w:rPr>
      </w:pPr>
      <w:r w:rsidRPr="006011B6">
        <w:rPr>
          <w:rFonts w:eastAsia="Aptos" w:cs="Times New Roman"/>
          <w:spacing w:val="0"/>
          <w:kern w:val="2"/>
          <w:sz w:val="24"/>
          <w:szCs w:val="24"/>
          <w:lang w:val="es-EC"/>
          <w14:ligatures w14:val="standardContextual"/>
          <w14:numForm w14:val="default"/>
        </w:rPr>
        <w:t>En este punto adquiere utilidad la categoría de soberanía fiscal condicionada propuesta en este estudio. Su finalidad no es relativizar la soberanía ni presumir que la dependencia financiera implica automáticamente subordinación. La categoría permite distinguir entre la titularidad formal de las competencias, la posibilidad material de ejercerlas y las relaciones externas que inciden sobre ese ejercicio. Esta diferenciación muestra que la soberanía puede conservarse jurídicamente mientras su contenido efectivo experimenta grados variables de restricción.</w:t>
      </w:r>
    </w:p>
    <w:p w14:paraId="329D87F9" w14:textId="77777777" w:rsidR="006011B6" w:rsidRPr="006011B6" w:rsidRDefault="006011B6" w:rsidP="006011B6">
      <w:pPr>
        <w:spacing w:before="0" w:after="0"/>
        <w:rPr>
          <w:rFonts w:eastAsia="Aptos" w:cs="Times New Roman"/>
          <w:spacing w:val="0"/>
          <w:kern w:val="2"/>
          <w:sz w:val="24"/>
          <w:szCs w:val="24"/>
          <w:lang w:val="es-EC"/>
          <w14:ligatures w14:val="standardContextual"/>
          <w14:numForm w14:val="default"/>
        </w:rPr>
      </w:pPr>
      <w:r w:rsidRPr="006011B6">
        <w:rPr>
          <w:rFonts w:eastAsia="Aptos" w:cs="Times New Roman"/>
          <w:spacing w:val="0"/>
          <w:kern w:val="2"/>
          <w:sz w:val="24"/>
          <w:szCs w:val="24"/>
          <w:lang w:val="es-EC"/>
          <w14:ligatures w14:val="standardContextual"/>
          <w14:numForm w14:val="default"/>
        </w:rPr>
        <w:t xml:space="preserve">La discusión conduce, finalmente, a considerar que el parámetro relevante para el constitucionalismo contemporáneo no debería ser la </w:t>
      </w:r>
      <w:r w:rsidRPr="006011B6">
        <w:rPr>
          <w:rFonts w:eastAsia="Aptos" w:cs="Times New Roman"/>
          <w:spacing w:val="0"/>
          <w:kern w:val="2"/>
          <w:sz w:val="24"/>
          <w:szCs w:val="24"/>
          <w:lang w:val="es-EC"/>
          <w14:ligatures w14:val="standardContextual"/>
          <w14:numForm w14:val="default"/>
        </w:rPr>
        <w:lastRenderedPageBreak/>
        <w:t>existencia de una independencia fiscal absoluta, sino la preservación de una autonomía fiscal efectiva. Esta exige que el Estado mantenga alternativas reales de decisión, que las obligaciones financieras no desplacen de manera desproporcionada los fines constitucionales, que las decisiones fiscales conserven legitimidad democrática y que los compromisos presentes no clausuren excesivamente la capacidad de decisión futura. Bajo esta lectura, la dependencia financiera resulta constitucionalmente problemática no por su sola existencia, sino cuando reduce el espacio de autodeterminación fiscal hasta convertir las potestades estatales en competencias predominantemente formales.</w:t>
      </w:r>
    </w:p>
    <w:p w14:paraId="568F694A" w14:textId="7870DBEA" w:rsidR="004307D4" w:rsidRDefault="00721EBE" w:rsidP="009718C5">
      <w:pPr>
        <w:pStyle w:val="Ttulo1"/>
        <w:jc w:val="both"/>
      </w:pPr>
      <w:r w:rsidRPr="00721EBE">
        <w:rPr>
          <w:caps w:val="0"/>
        </w:rPr>
        <w:t>6.</w:t>
      </w:r>
      <w:r>
        <w:t xml:space="preserve"> </w:t>
      </w:r>
      <w:r w:rsidR="004307D4">
        <w:t xml:space="preserve">conclusiones </w:t>
      </w:r>
    </w:p>
    <w:p w14:paraId="10E6C045" w14:textId="205BE5A3" w:rsidR="00CC5DCC" w:rsidRPr="00CC5DCC" w:rsidRDefault="00CC5DCC" w:rsidP="00CC5DCC">
      <w:pPr>
        <w:spacing w:before="0" w:after="0"/>
        <w:rPr>
          <w:rFonts w:eastAsia="Aptos" w:cs="Times New Roman"/>
          <w:spacing w:val="0"/>
          <w:kern w:val="2"/>
          <w:sz w:val="24"/>
          <w:szCs w:val="24"/>
          <w:lang w:val="es-EC"/>
          <w14:ligatures w14:val="standardContextual"/>
          <w14:numForm w14:val="default"/>
        </w:rPr>
      </w:pPr>
      <w:r w:rsidRPr="00CC5DCC">
        <w:rPr>
          <w:rFonts w:eastAsia="Aptos" w:cs="Times New Roman"/>
          <w:spacing w:val="0"/>
          <w:kern w:val="2"/>
          <w:sz w:val="24"/>
          <w:szCs w:val="24"/>
          <w:lang w:val="es-EC"/>
          <w14:ligatures w14:val="standardContextual"/>
          <w14:numForm w14:val="default"/>
        </w:rPr>
        <w:t>El análisis desarrollado permite concluir que la soberanía fiscal en el Ecuador no puede ser comprendida únicamente desde la existencia formal de competencias constitucionales en materia tributaria, presupuestaria y financiera. Si bien el ordenamiento jurídico reconoce al Estado amplias facultades para estructurar su política fiscal, el ejercicio efectivo de estas potestades se encuentra condicionado por factores económicos, financieros y estructurales que reducen, en determinados escenarios, el margen real de decisión disponible.</w:t>
      </w:r>
    </w:p>
    <w:p w14:paraId="7F6ACA77" w14:textId="77777777" w:rsidR="00CC5DCC" w:rsidRPr="00CC5DCC" w:rsidRDefault="00CC5DCC" w:rsidP="00CC5DCC">
      <w:pPr>
        <w:spacing w:before="0" w:after="0"/>
        <w:rPr>
          <w:rFonts w:eastAsia="Aptos" w:cs="Times New Roman"/>
          <w:spacing w:val="0"/>
          <w:kern w:val="2"/>
          <w:sz w:val="24"/>
          <w:szCs w:val="24"/>
          <w:lang w:val="es-EC"/>
          <w14:ligatures w14:val="standardContextual"/>
          <w14:numForm w14:val="default"/>
        </w:rPr>
      </w:pPr>
      <w:r w:rsidRPr="00CC5DCC">
        <w:rPr>
          <w:rFonts w:eastAsia="Aptos" w:cs="Times New Roman"/>
          <w:spacing w:val="0"/>
          <w:kern w:val="2"/>
          <w:sz w:val="24"/>
          <w:szCs w:val="24"/>
          <w:lang w:val="es-EC"/>
          <w14:ligatures w14:val="standardContextual"/>
          <w14:numForm w14:val="default"/>
        </w:rPr>
        <w:t>Uno de los principales hallazgos del estudio radica en la necesidad de diferenciar entre soberanía fiscal y autonomía tributaria. La segunda constituye una manifestación específica de la primera, vinculada con la capacidad estatal para crear, modificar y orientar los tributos, mientras que la soberanía fiscal comprende un ámbito más amplio que incluye gasto, presupuesto, endeudamiento y financiamiento. Esta distinción permite evitar interpretaciones reduccionistas que equiparan la capacidad tributaria con la totalidad de la autonomía financiera estatal.</w:t>
      </w:r>
    </w:p>
    <w:p w14:paraId="3EE6284C" w14:textId="77777777" w:rsidR="00CC5DCC" w:rsidRPr="00CC5DCC" w:rsidRDefault="00CC5DCC" w:rsidP="00CC5DCC">
      <w:pPr>
        <w:spacing w:before="0" w:after="0"/>
        <w:rPr>
          <w:rFonts w:eastAsia="Aptos" w:cs="Times New Roman"/>
          <w:spacing w:val="0"/>
          <w:kern w:val="2"/>
          <w:sz w:val="24"/>
          <w:szCs w:val="24"/>
          <w:lang w:val="es-EC"/>
          <w14:ligatures w14:val="standardContextual"/>
          <w14:numForm w14:val="default"/>
        </w:rPr>
      </w:pPr>
      <w:r w:rsidRPr="00CC5DCC">
        <w:rPr>
          <w:rFonts w:eastAsia="Aptos" w:cs="Times New Roman"/>
          <w:spacing w:val="0"/>
          <w:kern w:val="2"/>
          <w:sz w:val="24"/>
          <w:szCs w:val="24"/>
          <w:lang w:val="es-EC"/>
          <w14:ligatures w14:val="standardContextual"/>
          <w14:numForm w14:val="default"/>
        </w:rPr>
        <w:t xml:space="preserve">Asimismo, se evidencia que la dependencia financiera no elimina por sí misma la soberanía fiscal. El endeudamiento y el acceso a financiamiento externo constituyen instrumentos legítimos de actuación </w:t>
      </w:r>
      <w:r w:rsidRPr="00CC5DCC">
        <w:rPr>
          <w:rFonts w:eastAsia="Aptos" w:cs="Times New Roman"/>
          <w:spacing w:val="0"/>
          <w:kern w:val="2"/>
          <w:sz w:val="24"/>
          <w:szCs w:val="24"/>
          <w:lang w:val="es-EC"/>
          <w14:ligatures w14:val="standardContextual"/>
          <w14:numForm w14:val="default"/>
        </w:rPr>
        <w:lastRenderedPageBreak/>
        <w:t>estatal; sin embargo, pueden generar obligaciones que condicionen decisiones posteriores y estrechen las alternativas fiscales disponibles. En este sentido, la afectación relevante no se produce necesariamente mediante la transferencia formal de competencias, sino a través de restricciones materiales que disminuyen la capacidad efectiva de elección.</w:t>
      </w:r>
    </w:p>
    <w:p w14:paraId="1EA4C932" w14:textId="77777777" w:rsidR="00CC5DCC" w:rsidRPr="00CC5DCC" w:rsidRDefault="00CC5DCC" w:rsidP="00CC5DCC">
      <w:pPr>
        <w:spacing w:before="0" w:after="0"/>
        <w:rPr>
          <w:rFonts w:eastAsia="Aptos" w:cs="Times New Roman"/>
          <w:spacing w:val="0"/>
          <w:kern w:val="2"/>
          <w:sz w:val="24"/>
          <w:szCs w:val="24"/>
          <w:lang w:val="es-EC"/>
          <w14:ligatures w14:val="standardContextual"/>
          <w14:numForm w14:val="default"/>
        </w:rPr>
      </w:pPr>
      <w:r w:rsidRPr="00CC5DCC">
        <w:rPr>
          <w:rFonts w:eastAsia="Aptos" w:cs="Times New Roman"/>
          <w:spacing w:val="0"/>
          <w:kern w:val="2"/>
          <w:sz w:val="24"/>
          <w:szCs w:val="24"/>
          <w:lang w:val="es-EC"/>
          <w14:ligatures w14:val="standardContextual"/>
          <w14:numForm w14:val="default"/>
        </w:rPr>
        <w:t>A partir de estos resultados, el capítulo propone la categoría de soberanía fiscal condicionada, entendida como aquella situación en la que el Estado conserva jurídicamente sus potestades fiscales, pero las ejerce dentro de un espacio de decisión determinado por límites constitucionales, restricciones económicas y relaciones financieras externas. Esta categoría permite distinguir entre la dimensión formal de la soberanía, su dimensión material y su dimensión relacional, ofreciendo una lectura más adecuada a las condiciones del constitucionalismo contemporáneo.</w:t>
      </w:r>
    </w:p>
    <w:p w14:paraId="340277A2" w14:textId="5CF4F300" w:rsidR="0046169A" w:rsidRPr="0046169A" w:rsidRDefault="00CC5DCC" w:rsidP="00CC5DCC">
      <w:pPr>
        <w:spacing w:before="0" w:after="0"/>
        <w:rPr>
          <w:rFonts w:eastAsia="Aptos" w:cs="Times New Roman"/>
          <w:spacing w:val="0"/>
          <w:kern w:val="2"/>
          <w:sz w:val="24"/>
          <w:szCs w:val="24"/>
          <w:lang w:val="es-EC"/>
          <w14:ligatures w14:val="standardContextual"/>
          <w14:numForm w14:val="default"/>
        </w:rPr>
      </w:pPr>
      <w:r w:rsidRPr="00CC5DCC">
        <w:rPr>
          <w:rFonts w:eastAsia="Aptos" w:cs="Times New Roman"/>
          <w:spacing w:val="0"/>
          <w:kern w:val="2"/>
          <w:sz w:val="24"/>
          <w:szCs w:val="24"/>
          <w:lang w:val="es-EC"/>
          <w14:ligatures w14:val="standardContextual"/>
          <w14:numForm w14:val="default"/>
        </w:rPr>
        <w:t>Finalmente, la autonomía fiscal efectiva debe valorarse no desde la ausencia absoluta de restricciones, sino desde la preservación de un margen sustancial de autodeterminación. Ello exige que el Estado conserve alternativas reales de decisión, capacidad para cumplir sus fines constitucionales, legitimidad democrática en la adopción de medidas fiscales y posibilidades suficientes para no comprometer desproporcionadamente su capacidad futura. Desde esta perspectiva, el desafío no consiste en eliminar la interdependencia económica, sino en asegurar que esta no vacíe de contenido material las competencias fiscales reconocidas por la Constitución</w:t>
      </w:r>
      <w:r w:rsidR="00293B4D" w:rsidRPr="00293B4D">
        <w:rPr>
          <w:rFonts w:eastAsia="Aptos" w:cs="Times New Roman"/>
          <w:spacing w:val="0"/>
          <w:kern w:val="2"/>
          <w:sz w:val="24"/>
          <w:szCs w:val="24"/>
          <w:lang w:val="es-EC"/>
          <w14:ligatures w14:val="standardContextual"/>
          <w14:numForm w14:val="default"/>
        </w:rPr>
        <w:t>.</w:t>
      </w:r>
    </w:p>
    <w:p w14:paraId="703B2935" w14:textId="072E4275" w:rsidR="004307D4" w:rsidRPr="008434B9" w:rsidRDefault="00721EBE" w:rsidP="00721EBE">
      <w:pPr>
        <w:pStyle w:val="Ttulo1"/>
        <w:rPr>
          <w:lang w:val="en-US"/>
        </w:rPr>
      </w:pPr>
      <w:r w:rsidRPr="008434B9">
        <w:rPr>
          <w:caps w:val="0"/>
          <w:lang w:val="en-US"/>
        </w:rPr>
        <w:t>8.</w:t>
      </w:r>
      <w:r w:rsidRPr="008434B9">
        <w:rPr>
          <w:lang w:val="en-US"/>
        </w:rPr>
        <w:t xml:space="preserve"> </w:t>
      </w:r>
      <w:r w:rsidR="002F3733" w:rsidRPr="008434B9">
        <w:rPr>
          <w:lang w:val="en-US"/>
        </w:rPr>
        <w:t>Referencias</w:t>
      </w:r>
      <w:r w:rsidR="005417EB" w:rsidRPr="008434B9">
        <w:rPr>
          <w:lang w:val="en-US"/>
        </w:rPr>
        <w:t xml:space="preserve"> </w:t>
      </w:r>
    </w:p>
    <w:p w14:paraId="6FA7DCE1" w14:textId="77777777" w:rsidR="00345F89" w:rsidRDefault="00982169" w:rsidP="00890D25">
      <w:pPr>
        <w:spacing w:before="0" w:after="0"/>
        <w:rPr>
          <w:lang w:val="en-US"/>
        </w:rPr>
      </w:pPr>
      <w:r w:rsidRPr="00982169">
        <w:rPr>
          <w:lang w:val="en-US"/>
        </w:rPr>
        <w:t xml:space="preserve">Bowen, G. A. (2009). Document analysis as </w:t>
      </w:r>
      <w:proofErr w:type="gramStart"/>
      <w:r w:rsidRPr="00982169">
        <w:rPr>
          <w:lang w:val="en-US"/>
        </w:rPr>
        <w:t>a qualitative research</w:t>
      </w:r>
      <w:proofErr w:type="gramEnd"/>
      <w:r w:rsidRPr="00982169">
        <w:rPr>
          <w:lang w:val="en-US"/>
        </w:rPr>
        <w:t xml:space="preserve"> </w:t>
      </w:r>
    </w:p>
    <w:p w14:paraId="2F206BA5" w14:textId="76AE82EE" w:rsidR="00982169" w:rsidRPr="00982169" w:rsidRDefault="00982169" w:rsidP="00890D25">
      <w:pPr>
        <w:spacing w:before="0" w:after="0"/>
        <w:ind w:left="708"/>
        <w:rPr>
          <w:lang w:val="en-US"/>
        </w:rPr>
      </w:pPr>
      <w:r w:rsidRPr="00982169">
        <w:rPr>
          <w:lang w:val="en-US"/>
        </w:rPr>
        <w:t xml:space="preserve">method. </w:t>
      </w:r>
      <w:r w:rsidRPr="00982169">
        <w:rPr>
          <w:i/>
          <w:iCs/>
          <w:lang w:val="en-US"/>
        </w:rPr>
        <w:t>Qualitative Research Journal, 9</w:t>
      </w:r>
      <w:r w:rsidRPr="00982169">
        <w:rPr>
          <w:lang w:val="en-US"/>
        </w:rPr>
        <w:t xml:space="preserve">(2), 27–40. </w:t>
      </w:r>
      <w:hyperlink r:id="rId9" w:history="1">
        <w:r w:rsidR="00345F89" w:rsidRPr="00982169">
          <w:rPr>
            <w:rStyle w:val="Hipervnculo"/>
            <w:lang w:val="en-US"/>
          </w:rPr>
          <w:t>https://www.emerald.com/insight/content/doi/10.3316/QRJ0902027/full/html</w:t>
        </w:r>
      </w:hyperlink>
    </w:p>
    <w:p w14:paraId="6BD2BA5E" w14:textId="77777777" w:rsidR="00345F89" w:rsidRDefault="00982169" w:rsidP="00890D25">
      <w:pPr>
        <w:spacing w:before="0" w:after="0"/>
        <w:rPr>
          <w:lang w:val="es-EC"/>
        </w:rPr>
      </w:pPr>
      <w:r w:rsidRPr="00982169">
        <w:rPr>
          <w:lang w:val="es-EC"/>
        </w:rPr>
        <w:t xml:space="preserve">Constitución de la República del Ecuador. (2008). Registro Oficial No. </w:t>
      </w:r>
    </w:p>
    <w:p w14:paraId="09CE6EBD" w14:textId="275147B6" w:rsidR="00982169" w:rsidRPr="00982169" w:rsidRDefault="00982169" w:rsidP="00890D25">
      <w:pPr>
        <w:spacing w:before="0" w:after="0"/>
        <w:ind w:left="708"/>
        <w:rPr>
          <w:lang w:val="es-EC"/>
        </w:rPr>
      </w:pPr>
      <w:r w:rsidRPr="00982169">
        <w:rPr>
          <w:lang w:val="es-EC"/>
        </w:rPr>
        <w:lastRenderedPageBreak/>
        <w:t xml:space="preserve">449, 20 de octubre de 2008. </w:t>
      </w:r>
      <w:hyperlink r:id="rId10" w:history="1">
        <w:r w:rsidR="00345F89" w:rsidRPr="00982169">
          <w:rPr>
            <w:rStyle w:val="Hipervnculo"/>
            <w:lang w:val="es-EC"/>
          </w:rPr>
          <w:t>https://www.asambleanacional.gob.ec/es/contenido/constitucion-de-la-republica-del-ecuador-2008-reformada</w:t>
        </w:r>
      </w:hyperlink>
    </w:p>
    <w:p w14:paraId="41F4FD9A" w14:textId="77777777" w:rsidR="00345F89" w:rsidRDefault="00982169" w:rsidP="00890D25">
      <w:pPr>
        <w:spacing w:before="0" w:after="0"/>
        <w:rPr>
          <w:i/>
          <w:iCs/>
          <w:lang w:val="en-US"/>
        </w:rPr>
      </w:pPr>
      <w:r w:rsidRPr="00982169">
        <w:rPr>
          <w:lang w:val="es-EC"/>
        </w:rPr>
        <w:t xml:space="preserve">Dagan, T. (2024). </w:t>
      </w:r>
      <w:r w:rsidRPr="00982169">
        <w:rPr>
          <w:lang w:val="en-US"/>
        </w:rPr>
        <w:t xml:space="preserve">Substantive tax sovereignty under globalization. </w:t>
      </w:r>
      <w:r w:rsidRPr="00982169">
        <w:rPr>
          <w:i/>
          <w:iCs/>
          <w:lang w:val="en-US"/>
        </w:rPr>
        <w:t>Til</w:t>
      </w:r>
    </w:p>
    <w:p w14:paraId="4F7AFB50" w14:textId="381874B6" w:rsidR="00982169" w:rsidRPr="00982169" w:rsidRDefault="00982169" w:rsidP="00890D25">
      <w:pPr>
        <w:spacing w:before="0" w:after="0"/>
        <w:ind w:left="708"/>
        <w:rPr>
          <w:lang w:val="en-US"/>
        </w:rPr>
      </w:pPr>
      <w:r w:rsidRPr="00982169">
        <w:rPr>
          <w:i/>
          <w:iCs/>
          <w:lang w:val="en-US"/>
        </w:rPr>
        <w:t>burg Law Review, 29</w:t>
      </w:r>
      <w:r w:rsidRPr="00982169">
        <w:rPr>
          <w:lang w:val="en-US"/>
        </w:rPr>
        <w:t xml:space="preserve">(3), 1–9. </w:t>
      </w:r>
      <w:hyperlink r:id="rId11" w:history="1">
        <w:r w:rsidR="00345F89" w:rsidRPr="00982169">
          <w:rPr>
            <w:rStyle w:val="Hipervnculo"/>
            <w:lang w:val="en-US"/>
          </w:rPr>
          <w:t>https://tilburglawreview.com/articles/10.5334/tilr.399</w:t>
        </w:r>
      </w:hyperlink>
    </w:p>
    <w:p w14:paraId="49D52FD3" w14:textId="77777777" w:rsidR="00345F89" w:rsidRDefault="00982169" w:rsidP="00890D25">
      <w:pPr>
        <w:spacing w:before="0" w:after="0"/>
        <w:rPr>
          <w:lang w:val="en-US"/>
        </w:rPr>
      </w:pPr>
      <w:r w:rsidRPr="00982169">
        <w:rPr>
          <w:lang w:val="en-US"/>
        </w:rPr>
        <w:t xml:space="preserve">Dietsch, P. (2011). Rethinking sovereignty in international fiscal policy. </w:t>
      </w:r>
    </w:p>
    <w:p w14:paraId="3C07FDCF" w14:textId="10E76626" w:rsidR="00982169" w:rsidRPr="00982169" w:rsidRDefault="00982169" w:rsidP="00890D25">
      <w:pPr>
        <w:spacing w:before="0" w:after="0"/>
        <w:ind w:left="708"/>
        <w:rPr>
          <w:lang w:val="en-US"/>
        </w:rPr>
      </w:pPr>
      <w:r w:rsidRPr="00982169">
        <w:rPr>
          <w:i/>
          <w:iCs/>
          <w:lang w:val="en-US"/>
        </w:rPr>
        <w:t>Review of International Studies, 37</w:t>
      </w:r>
      <w:r w:rsidRPr="00982169">
        <w:rPr>
          <w:lang w:val="en-US"/>
        </w:rPr>
        <w:t xml:space="preserve">(5), 2107–2120. </w:t>
      </w:r>
      <w:hyperlink r:id="rId12" w:history="1">
        <w:r w:rsidR="00345F89" w:rsidRPr="00982169">
          <w:rPr>
            <w:rStyle w:val="Hipervnculo"/>
            <w:lang w:val="en-US"/>
          </w:rPr>
          <w:t>https://www.cambridge.org/core/journals/review-of-international-studies/article/abs/rethinking-sovereignty-in-international-fiscal-policy/37DD1ED24775BF33076B610A0E171B11</w:t>
        </w:r>
      </w:hyperlink>
    </w:p>
    <w:p w14:paraId="61223573" w14:textId="77777777" w:rsidR="00345F89" w:rsidRDefault="00982169" w:rsidP="00890D25">
      <w:pPr>
        <w:spacing w:before="0" w:after="0"/>
        <w:rPr>
          <w:lang w:val="en-US"/>
        </w:rPr>
      </w:pPr>
      <w:r w:rsidRPr="00982169">
        <w:rPr>
          <w:lang w:val="en-US"/>
        </w:rPr>
        <w:t xml:space="preserve">Dietsch, P. (2015). </w:t>
      </w:r>
      <w:r w:rsidRPr="00982169">
        <w:rPr>
          <w:i/>
          <w:iCs/>
          <w:lang w:val="en-US"/>
        </w:rPr>
        <w:t>Catching capital: The ethics of tax competition</w:t>
      </w:r>
      <w:r w:rsidRPr="00982169">
        <w:rPr>
          <w:lang w:val="en-US"/>
        </w:rPr>
        <w:t>. Ox</w:t>
      </w:r>
    </w:p>
    <w:p w14:paraId="19A0CE8F" w14:textId="33947390" w:rsidR="00982169" w:rsidRPr="00982169" w:rsidRDefault="00982169" w:rsidP="00890D25">
      <w:pPr>
        <w:spacing w:before="0" w:after="0"/>
        <w:ind w:firstLine="708"/>
        <w:rPr>
          <w:lang w:val="en-US"/>
        </w:rPr>
      </w:pPr>
      <w:r w:rsidRPr="00982169">
        <w:rPr>
          <w:lang w:val="en-US"/>
        </w:rPr>
        <w:t xml:space="preserve">ford University Press. </w:t>
      </w:r>
      <w:hyperlink r:id="rId13" w:history="1">
        <w:r w:rsidRPr="00982169">
          <w:rPr>
            <w:rStyle w:val="Hipervnculo"/>
            <w:lang w:val="en-US"/>
          </w:rPr>
          <w:t>https://academic.oup.com/book/25644</w:t>
        </w:r>
      </w:hyperlink>
    </w:p>
    <w:p w14:paraId="7F20BB0E" w14:textId="77777777" w:rsidR="00345F89" w:rsidRDefault="00982169" w:rsidP="00890D25">
      <w:pPr>
        <w:spacing w:before="0" w:after="0"/>
        <w:rPr>
          <w:lang w:val="en-US"/>
        </w:rPr>
      </w:pPr>
      <w:r w:rsidRPr="00982169">
        <w:rPr>
          <w:lang w:val="en-US"/>
        </w:rPr>
        <w:t xml:space="preserve">Dietsch, P. (2018). </w:t>
      </w:r>
      <w:proofErr w:type="gramStart"/>
      <w:r w:rsidRPr="00982169">
        <w:rPr>
          <w:lang w:val="en-US"/>
        </w:rPr>
        <w:t>The state</w:t>
      </w:r>
      <w:proofErr w:type="gramEnd"/>
      <w:r w:rsidRPr="00982169">
        <w:rPr>
          <w:lang w:val="en-US"/>
        </w:rPr>
        <w:t xml:space="preserve"> and tax competition: A normative </w:t>
      </w:r>
      <w:proofErr w:type="spellStart"/>
      <w:r w:rsidRPr="00982169">
        <w:rPr>
          <w:lang w:val="en-US"/>
        </w:rPr>
        <w:t>perspec</w:t>
      </w:r>
      <w:proofErr w:type="spellEnd"/>
    </w:p>
    <w:p w14:paraId="49210E0E" w14:textId="78696A52" w:rsidR="00982169" w:rsidRPr="00982169" w:rsidRDefault="00982169" w:rsidP="00890D25">
      <w:pPr>
        <w:spacing w:before="0" w:after="0"/>
        <w:ind w:left="708"/>
        <w:rPr>
          <w:lang w:val="en-US"/>
        </w:rPr>
      </w:pPr>
      <w:proofErr w:type="spellStart"/>
      <w:r w:rsidRPr="00982169">
        <w:rPr>
          <w:lang w:val="en-US"/>
        </w:rPr>
        <w:t>tive</w:t>
      </w:r>
      <w:proofErr w:type="spellEnd"/>
      <w:r w:rsidRPr="00982169">
        <w:rPr>
          <w:lang w:val="en-US"/>
        </w:rPr>
        <w:t xml:space="preserve">. En M. O’Neill &amp; S. Orr (Eds.), </w:t>
      </w:r>
      <w:r w:rsidRPr="00982169">
        <w:rPr>
          <w:i/>
          <w:iCs/>
          <w:lang w:val="en-US"/>
        </w:rPr>
        <w:t>Taxation: Philosophical perspectives</w:t>
      </w:r>
      <w:r w:rsidRPr="00982169">
        <w:rPr>
          <w:lang w:val="en-US"/>
        </w:rPr>
        <w:t xml:space="preserve"> (pp. 203–223). Oxford University Press. </w:t>
      </w:r>
      <w:hyperlink r:id="rId14" w:history="1">
        <w:r w:rsidRPr="00982169">
          <w:rPr>
            <w:rStyle w:val="Hipervnculo"/>
            <w:lang w:val="en-US"/>
          </w:rPr>
          <w:t>https://academic.oup.com/book/11329/chapter/159952852</w:t>
        </w:r>
      </w:hyperlink>
    </w:p>
    <w:p w14:paraId="2B8AA1F6" w14:textId="77777777" w:rsidR="00345F89" w:rsidRDefault="00982169" w:rsidP="00890D25">
      <w:pPr>
        <w:spacing w:before="0" w:after="0"/>
        <w:rPr>
          <w:lang w:val="en-US"/>
        </w:rPr>
      </w:pPr>
      <w:r w:rsidRPr="00982169">
        <w:rPr>
          <w:lang w:val="en-US"/>
        </w:rPr>
        <w:t xml:space="preserve">Fondo Monetario Internacional. (s. f.). </w:t>
      </w:r>
      <w:r w:rsidRPr="00982169">
        <w:rPr>
          <w:i/>
          <w:iCs/>
          <w:lang w:val="en-US"/>
        </w:rPr>
        <w:t>Fiscal transparency</w:t>
      </w:r>
      <w:r w:rsidRPr="00982169">
        <w:rPr>
          <w:lang w:val="en-US"/>
        </w:rPr>
        <w:t xml:space="preserve">. </w:t>
      </w:r>
    </w:p>
    <w:p w14:paraId="1424FB37" w14:textId="76C349C6" w:rsidR="00982169" w:rsidRPr="00982169" w:rsidRDefault="00345F89" w:rsidP="00890D25">
      <w:pPr>
        <w:spacing w:before="0" w:after="0"/>
        <w:ind w:left="708"/>
        <w:rPr>
          <w:lang w:val="en-US"/>
        </w:rPr>
      </w:pPr>
      <w:hyperlink r:id="rId15" w:history="1">
        <w:r w:rsidRPr="00982169">
          <w:rPr>
            <w:rStyle w:val="Hipervnculo"/>
            <w:lang w:val="en-US"/>
          </w:rPr>
          <w:t>https://www.imf.org/en/topics/fiscal-policies/fiscal-transparency</w:t>
        </w:r>
      </w:hyperlink>
    </w:p>
    <w:p w14:paraId="24690897" w14:textId="77777777" w:rsidR="00345F89" w:rsidRDefault="00982169" w:rsidP="00890D25">
      <w:pPr>
        <w:spacing w:before="0" w:after="0"/>
        <w:rPr>
          <w:i/>
          <w:iCs/>
          <w:lang w:val="en-US"/>
        </w:rPr>
      </w:pPr>
      <w:r w:rsidRPr="00982169">
        <w:rPr>
          <w:lang w:val="en-US"/>
        </w:rPr>
        <w:t xml:space="preserve">Fondo Monetario Internacional. (2024). </w:t>
      </w:r>
      <w:r w:rsidRPr="00982169">
        <w:rPr>
          <w:i/>
          <w:iCs/>
          <w:lang w:val="en-US"/>
        </w:rPr>
        <w:t>Ecuador: 2024 Article IV con</w:t>
      </w:r>
    </w:p>
    <w:p w14:paraId="69C6356F" w14:textId="7CA01596" w:rsidR="00982169" w:rsidRPr="00982169" w:rsidRDefault="00982169" w:rsidP="00890D25">
      <w:pPr>
        <w:spacing w:before="0" w:after="0"/>
        <w:ind w:left="708"/>
        <w:rPr>
          <w:lang w:val="en-US"/>
        </w:rPr>
      </w:pPr>
      <w:proofErr w:type="spellStart"/>
      <w:r w:rsidRPr="00982169">
        <w:rPr>
          <w:i/>
          <w:iCs/>
          <w:lang w:val="en-US"/>
        </w:rPr>
        <w:t>sultation</w:t>
      </w:r>
      <w:proofErr w:type="spellEnd"/>
      <w:r w:rsidRPr="00982169">
        <w:rPr>
          <w:i/>
          <w:iCs/>
          <w:lang w:val="en-US"/>
        </w:rPr>
        <w:t xml:space="preserve"> and first review under the Extended Arrangement under the Extended Fund Facility and financing assurances review—Press release; staff report; and statement by the Executive Director for Ecuador</w:t>
      </w:r>
      <w:r w:rsidRPr="00982169">
        <w:rPr>
          <w:lang w:val="en-US"/>
        </w:rPr>
        <w:t xml:space="preserve">. </w:t>
      </w:r>
      <w:r w:rsidRPr="00982169">
        <w:rPr>
          <w:i/>
          <w:iCs/>
          <w:lang w:val="en-US"/>
        </w:rPr>
        <w:t>IMF Staff Country Reports, 2024</w:t>
      </w:r>
      <w:r w:rsidRPr="00982169">
        <w:rPr>
          <w:lang w:val="en-US"/>
        </w:rPr>
        <w:t xml:space="preserve">(357). </w:t>
      </w:r>
      <w:hyperlink r:id="rId16" w:history="1">
        <w:r w:rsidRPr="00982169">
          <w:rPr>
            <w:rStyle w:val="Hipervnculo"/>
            <w:lang w:val="en-US"/>
          </w:rPr>
          <w:t>https://www.imf.org/en/publications/cr/issues/2024/12/19/ecuador-2024-article-iv-consultation-and-first-review-under-the-extended-arrangement-under-559780</w:t>
        </w:r>
      </w:hyperlink>
    </w:p>
    <w:p w14:paraId="51783B83" w14:textId="77777777" w:rsidR="00345F89" w:rsidRDefault="00982169" w:rsidP="00890D25">
      <w:pPr>
        <w:spacing w:before="0" w:after="0"/>
        <w:rPr>
          <w:i/>
          <w:iCs/>
          <w:lang w:val="en-US"/>
        </w:rPr>
      </w:pPr>
      <w:r w:rsidRPr="00982169">
        <w:rPr>
          <w:lang w:val="es-EC"/>
        </w:rPr>
        <w:t xml:space="preserve">Fondo Monetario Internacional. (2026, 22 de abril). </w:t>
      </w:r>
      <w:r w:rsidRPr="00982169">
        <w:rPr>
          <w:i/>
          <w:iCs/>
          <w:lang w:val="en-US"/>
        </w:rPr>
        <w:t xml:space="preserve">The IMF Executive </w:t>
      </w:r>
    </w:p>
    <w:p w14:paraId="0957C1AB" w14:textId="77777777" w:rsidR="00345F89" w:rsidRDefault="00982169" w:rsidP="00890D25">
      <w:pPr>
        <w:spacing w:before="0" w:after="0"/>
        <w:ind w:firstLine="708"/>
        <w:rPr>
          <w:i/>
          <w:iCs/>
          <w:lang w:val="en-US"/>
        </w:rPr>
      </w:pPr>
      <w:r w:rsidRPr="00982169">
        <w:rPr>
          <w:i/>
          <w:iCs/>
          <w:lang w:val="en-US"/>
        </w:rPr>
        <w:t xml:space="preserve">Board concludes fifth review of the Extended Fund Facility </w:t>
      </w:r>
      <w:proofErr w:type="spellStart"/>
      <w:r w:rsidRPr="00982169">
        <w:rPr>
          <w:i/>
          <w:iCs/>
          <w:lang w:val="en-US"/>
        </w:rPr>
        <w:t>ar</w:t>
      </w:r>
      <w:proofErr w:type="spellEnd"/>
    </w:p>
    <w:p w14:paraId="73FCD5F6" w14:textId="0C8FF286" w:rsidR="00982169" w:rsidRPr="00982169" w:rsidRDefault="00982169" w:rsidP="00890D25">
      <w:pPr>
        <w:spacing w:before="0" w:after="0"/>
        <w:ind w:left="708"/>
        <w:rPr>
          <w:lang w:val="es-EC"/>
        </w:rPr>
      </w:pPr>
      <w:proofErr w:type="spellStart"/>
      <w:r w:rsidRPr="00982169">
        <w:rPr>
          <w:i/>
          <w:iCs/>
          <w:lang w:val="en-US"/>
        </w:rPr>
        <w:t>rangement</w:t>
      </w:r>
      <w:proofErr w:type="spellEnd"/>
      <w:r w:rsidRPr="00982169">
        <w:rPr>
          <w:i/>
          <w:iCs/>
          <w:lang w:val="en-US"/>
        </w:rPr>
        <w:t xml:space="preserve"> for Ecuador</w:t>
      </w:r>
      <w:r w:rsidRPr="00982169">
        <w:rPr>
          <w:lang w:val="en-US"/>
        </w:rPr>
        <w:t xml:space="preserve"> (Press Release No. 26/126). </w:t>
      </w:r>
      <w:hyperlink r:id="rId17" w:history="1">
        <w:r w:rsidRPr="00982169">
          <w:rPr>
            <w:rStyle w:val="Hipervnculo"/>
            <w:lang w:val="es-EC"/>
          </w:rPr>
          <w:t>https://www.imf.org/en/news/articles/2026/04/22/pr26126-ecuador-the-imf-concludes-5th-review-of-eff-arrangement</w:t>
        </w:r>
      </w:hyperlink>
    </w:p>
    <w:p w14:paraId="6F720B94" w14:textId="77777777" w:rsidR="009E71A2" w:rsidRDefault="00982169" w:rsidP="00890D25">
      <w:pPr>
        <w:spacing w:before="0" w:after="0"/>
        <w:rPr>
          <w:lang w:val="en-US"/>
        </w:rPr>
      </w:pPr>
      <w:proofErr w:type="spellStart"/>
      <w:r w:rsidRPr="00982169">
        <w:rPr>
          <w:lang w:val="en-US"/>
        </w:rPr>
        <w:t>Geuens</w:t>
      </w:r>
      <w:proofErr w:type="spellEnd"/>
      <w:r w:rsidRPr="00982169">
        <w:rPr>
          <w:lang w:val="en-US"/>
        </w:rPr>
        <w:t xml:space="preserve">, M. (2024). Substantive tax sovereignty under </w:t>
      </w:r>
      <w:proofErr w:type="spellStart"/>
      <w:r w:rsidRPr="00982169">
        <w:rPr>
          <w:lang w:val="en-US"/>
        </w:rPr>
        <w:t>globalisation</w:t>
      </w:r>
      <w:proofErr w:type="spellEnd"/>
      <w:r w:rsidRPr="00982169">
        <w:rPr>
          <w:lang w:val="en-US"/>
        </w:rPr>
        <w:t xml:space="preserve">: </w:t>
      </w:r>
    </w:p>
    <w:p w14:paraId="45A93B1F" w14:textId="2CA27512" w:rsidR="00982169" w:rsidRPr="00982169" w:rsidRDefault="00982169" w:rsidP="00890D25">
      <w:pPr>
        <w:spacing w:before="0" w:after="0"/>
        <w:ind w:left="708"/>
        <w:rPr>
          <w:lang w:val="en-US"/>
        </w:rPr>
      </w:pPr>
      <w:r w:rsidRPr="00982169">
        <w:rPr>
          <w:lang w:val="en-US"/>
        </w:rPr>
        <w:lastRenderedPageBreak/>
        <w:t xml:space="preserve">Re-empowering the States? Commentary to </w:t>
      </w:r>
      <w:proofErr w:type="spellStart"/>
      <w:r w:rsidRPr="00982169">
        <w:rPr>
          <w:lang w:val="en-US"/>
        </w:rPr>
        <w:t>Tsilly</w:t>
      </w:r>
      <w:proofErr w:type="spellEnd"/>
      <w:r w:rsidRPr="00982169">
        <w:rPr>
          <w:lang w:val="en-US"/>
        </w:rPr>
        <w:t xml:space="preserve"> Dagan’s Montesquieu Lecture at Tilburg University, 25 April 2024. </w:t>
      </w:r>
      <w:r w:rsidRPr="00982169">
        <w:rPr>
          <w:i/>
          <w:iCs/>
          <w:lang w:val="en-US"/>
        </w:rPr>
        <w:t>Tilburg Law Review, 29</w:t>
      </w:r>
      <w:r w:rsidRPr="00982169">
        <w:rPr>
          <w:lang w:val="en-US"/>
        </w:rPr>
        <w:t xml:space="preserve">(3), 18–24. </w:t>
      </w:r>
      <w:hyperlink r:id="rId18" w:history="1">
        <w:r w:rsidRPr="00982169">
          <w:rPr>
            <w:rStyle w:val="Hipervnculo"/>
            <w:lang w:val="en-US"/>
          </w:rPr>
          <w:t>https://tilburglawreview.com/articles/10.5334/tilr.394</w:t>
        </w:r>
      </w:hyperlink>
    </w:p>
    <w:p w14:paraId="1406BDD0" w14:textId="77777777" w:rsidR="009E71A2" w:rsidRDefault="00982169" w:rsidP="00890D25">
      <w:pPr>
        <w:spacing w:before="0" w:after="0"/>
        <w:rPr>
          <w:lang w:val="en-US"/>
        </w:rPr>
      </w:pPr>
      <w:r w:rsidRPr="00982169">
        <w:rPr>
          <w:lang w:val="en-US"/>
        </w:rPr>
        <w:t xml:space="preserve">Hutchinson, T., &amp; Duncan, N. (2012). Defining and describing what we </w:t>
      </w:r>
    </w:p>
    <w:p w14:paraId="084DFEBD" w14:textId="19C8228A" w:rsidR="00982169" w:rsidRPr="00982169" w:rsidRDefault="00982169" w:rsidP="00890D25">
      <w:pPr>
        <w:spacing w:before="0" w:after="0"/>
        <w:ind w:left="708"/>
        <w:rPr>
          <w:lang w:val="en-US"/>
        </w:rPr>
      </w:pPr>
      <w:r w:rsidRPr="00982169">
        <w:rPr>
          <w:lang w:val="en-US"/>
        </w:rPr>
        <w:t xml:space="preserve">do: Doctrinal legal research. </w:t>
      </w:r>
      <w:r w:rsidRPr="00982169">
        <w:rPr>
          <w:i/>
          <w:iCs/>
          <w:lang w:val="en-US"/>
        </w:rPr>
        <w:t>Deakin Law Review, 17</w:t>
      </w:r>
      <w:r w:rsidRPr="00982169">
        <w:rPr>
          <w:lang w:val="en-US"/>
        </w:rPr>
        <w:t xml:space="preserve">(1), 83–119. </w:t>
      </w:r>
      <w:hyperlink r:id="rId19" w:history="1">
        <w:r w:rsidR="009E71A2" w:rsidRPr="00982169">
          <w:rPr>
            <w:rStyle w:val="Hipervnculo"/>
            <w:lang w:val="en-US"/>
          </w:rPr>
          <w:t>https://ojs.deakin.edu.au/index.php/dlr/article/view/70</w:t>
        </w:r>
      </w:hyperlink>
    </w:p>
    <w:p w14:paraId="2806DFDE" w14:textId="77777777" w:rsidR="009E71A2" w:rsidRDefault="00982169" w:rsidP="00890D25">
      <w:pPr>
        <w:spacing w:before="0" w:after="0"/>
        <w:rPr>
          <w:lang w:val="en-US"/>
        </w:rPr>
      </w:pPr>
      <w:proofErr w:type="spellStart"/>
      <w:r w:rsidRPr="00982169">
        <w:rPr>
          <w:lang w:val="en-US"/>
        </w:rPr>
        <w:t>Organisation</w:t>
      </w:r>
      <w:proofErr w:type="spellEnd"/>
      <w:r w:rsidRPr="00982169">
        <w:rPr>
          <w:lang w:val="en-US"/>
        </w:rPr>
        <w:t xml:space="preserve"> for Economic Co-operation and Development. (2017). </w:t>
      </w:r>
    </w:p>
    <w:p w14:paraId="33325068" w14:textId="745CD290" w:rsidR="00982169" w:rsidRPr="00982169" w:rsidRDefault="00982169" w:rsidP="00890D25">
      <w:pPr>
        <w:spacing w:before="0" w:after="0"/>
        <w:ind w:left="708"/>
        <w:rPr>
          <w:lang w:val="en-US"/>
        </w:rPr>
      </w:pPr>
      <w:r w:rsidRPr="00982169">
        <w:rPr>
          <w:i/>
          <w:iCs/>
          <w:lang w:val="en-US"/>
        </w:rPr>
        <w:t>OECD budget transparency toolkit: Practical steps for supporting openness, integrity and accountability in public financial management</w:t>
      </w:r>
      <w:r w:rsidRPr="00982169">
        <w:rPr>
          <w:lang w:val="en-US"/>
        </w:rPr>
        <w:t xml:space="preserve">. OECD Publishing. </w:t>
      </w:r>
      <w:hyperlink r:id="rId20" w:history="1">
        <w:r w:rsidRPr="00982169">
          <w:rPr>
            <w:rStyle w:val="Hipervnculo"/>
            <w:lang w:val="en-US"/>
          </w:rPr>
          <w:t>https://www.oecd.org/en/publications/oecd-budget-transparency-toolkit_9789264282070-en.html</w:t>
        </w:r>
      </w:hyperlink>
    </w:p>
    <w:p w14:paraId="2EF3086B" w14:textId="77777777" w:rsidR="009E71A2" w:rsidRDefault="00982169" w:rsidP="00890D25">
      <w:pPr>
        <w:spacing w:before="0" w:after="0"/>
        <w:rPr>
          <w:lang w:val="en-US"/>
        </w:rPr>
      </w:pPr>
      <w:r w:rsidRPr="00982169">
        <w:rPr>
          <w:lang w:val="en-US"/>
        </w:rPr>
        <w:t xml:space="preserve">Ring, D. M. (2009). Democracy, sovereignty and tax competition: The </w:t>
      </w:r>
    </w:p>
    <w:p w14:paraId="2C438504" w14:textId="2AC6FD60" w:rsidR="00982169" w:rsidRPr="00982169" w:rsidRDefault="00982169" w:rsidP="00890D25">
      <w:pPr>
        <w:spacing w:before="0" w:after="0"/>
        <w:ind w:left="708"/>
        <w:rPr>
          <w:lang w:val="en-US"/>
        </w:rPr>
      </w:pPr>
      <w:r w:rsidRPr="00982169">
        <w:rPr>
          <w:lang w:val="en-US"/>
        </w:rPr>
        <w:t xml:space="preserve">role of tax sovereignty in shaping tax cooperation. </w:t>
      </w:r>
      <w:r w:rsidRPr="00982169">
        <w:rPr>
          <w:i/>
          <w:iCs/>
          <w:lang w:val="en-US"/>
        </w:rPr>
        <w:t>Florida Tax Review, 9</w:t>
      </w:r>
      <w:r w:rsidRPr="00982169">
        <w:rPr>
          <w:lang w:val="en-US"/>
        </w:rPr>
        <w:t xml:space="preserve">(5), 555–596. </w:t>
      </w:r>
      <w:hyperlink r:id="rId21" w:history="1">
        <w:r w:rsidRPr="00982169">
          <w:rPr>
            <w:rStyle w:val="Hipervnculo"/>
            <w:lang w:val="en-US"/>
          </w:rPr>
          <w:t>https://journals.upress.ufl.edu/ftr/article/view/373</w:t>
        </w:r>
      </w:hyperlink>
    </w:p>
    <w:p w14:paraId="1CED1DA4" w14:textId="77777777" w:rsidR="00CE0F4B" w:rsidRPr="009E71A2" w:rsidRDefault="00CE0F4B" w:rsidP="008B6A98">
      <w:pPr>
        <w:rPr>
          <w:lang w:val="en-US"/>
        </w:rPr>
      </w:pPr>
    </w:p>
    <w:sectPr w:rsidR="00CE0F4B" w:rsidRPr="009E71A2" w:rsidSect="00280126">
      <w:pgSz w:w="8845" w:h="13245"/>
      <w:pgMar w:top="1134" w:right="1134" w:bottom="1134"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31">
      <wne:acd wne:acdName="acd6"/>
    </wne:keymap>
    <wne:keymap wne:kcmPrimary="0432">
      <wne:acd wne:acdName="acd9"/>
    </wne:keymap>
    <wne:keymap wne:kcmPrimary="0433">
      <wne:acd wne:acdName="acd10"/>
    </wne:keymap>
    <wne:keymap wne:kcmPrimary="0434">
      <wne:acd wne:acdName="acd11"/>
    </wne:keymap>
    <wne:keymap wne:kcmPrimary="0441">
      <wne:acd wne:acdName="acd8"/>
    </wne:keymap>
    <wne:keymap wne:kcmPrimary="0443">
      <wne:acd wne:acdName="acd4"/>
    </wne:keymap>
    <wne:keymap wne:kcmPrimary="0444">
      <wne:acd wne:acdName="acd15"/>
    </wne:keymap>
    <wne:keymap wne:kcmPrimary="0445">
      <wne:acd wne:acdName="acd13"/>
    </wne:keymap>
    <wne:keymap wne:kcmPrimary="0446">
      <wne:acd wne:acdName="acd19"/>
    </wne:keymap>
    <wne:keymap wne:kcmPrimary="0447">
      <wne:acd wne:acdName="acd0"/>
    </wne:keymap>
    <wne:keymap wne:kcmPrimary="0451">
      <wne:acd wne:acdName="acd7"/>
    </wne:keymap>
    <wne:keymap wne:kcmPrimary="0452">
      <wne:acd wne:acdName="acd14"/>
    </wne:keymap>
    <wne:keymap wne:kcmPrimary="0453">
      <wne:acd wne:acdName="acd16"/>
    </wne:keymap>
    <wne:keymap wne:kcmPrimary="0454">
      <wne:acd wne:acdName="acd17"/>
    </wne:keymap>
    <wne:keymap wne:kcmPrimary="0456">
      <wne:acd wne:acdName="acd5"/>
    </wne:keymap>
    <wne:keymap wne:kcmPrimary="0457">
      <wne:acd wne:acdName="acd12"/>
    </wne:keymap>
    <wne:keymap wne:kcmPrimary="0458">
      <wne:acd wne:acdName="acd3"/>
    </wne:keymap>
    <wne:keymap wne:kcmPrimary="0459">
      <wne:acd wne:acdName="acd18"/>
    </wne:keymap>
    <wne:keymap wne:kcmPrimary="045A">
      <wne:acd wne:acdName="acd2"/>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Entry wne:acdName="acd19"/>
    </wne:acdManifest>
  </wne:toolbars>
  <wne:acds>
    <wne:acd wne:argValue="AgBCAGkAYgBsAGkAbwBnAHIAYQBmAO0AYQA7AFIAZQBmAGUAcgBlAG4AYwBpAGEAcwA=" wne:acdName="acd0" wne:fciIndexBasedOn="0065"/>
    <wne:acd wne:acdName="acd1" wne:fciIndexBasedOn="0065"/>
    <wne:acd wne:argValue="AgBDAGEAcADtAHQAdQBsAG8A" wne:acdName="acd2" wne:fciIndexBasedOn="0065"/>
    <wne:acd wne:argValue="AgBUAO0AdAAuACAAQwBhAHAALgA=" wne:acdName="acd3" wne:fciIndexBasedOn="0065"/>
    <wne:acd wne:argValue="AgBBAHUAdABvAHIA" wne:acdName="acd4" wne:fciIndexBasedOn="0065"/>
    <wne:acd wne:argValue="AgBBAGQAcwBjAHIAaQBwAGMAaQDzAG4A" wne:acdName="acd5" wne:fciIndexBasedOn="0065"/>
    <wne:acd wne:argValue="AQAAAAEA" wne:acdName="acd6" wne:fciIndexBasedOn="0065"/>
    <wne:acd wne:argValue="AgBOAG8AcgBtAGEAbAA7ADAAMAAuACAATgBvAHIAbQBhAGwA" wne:acdName="acd7" wne:fciIndexBasedOn="0065"/>
    <wne:acd wne:argValue="AgBOAG8AdABhACAAYQBsACAAcABpAGUA" wne:acdName="acd8" wne:fciIndexBasedOn="0065"/>
    <wne:acd wne:argValue="AQAAAAIA" wne:acdName="acd9" wne:fciIndexBasedOn="0065"/>
    <wne:acd wne:argValue="AQAAAAMA" wne:acdName="acd10" wne:fciIndexBasedOn="0065"/>
    <wne:acd wne:argValue="AQAAAAQA" wne:acdName="acd11" wne:fciIndexBasedOn="0065"/>
    <wne:acd wne:argValue="AgBDAGkAdABhACAAbABhAHIAZwBhAA==" wne:acdName="acd12" wne:fciIndexBasedOn="0065"/>
    <wne:acd wne:argValue="AgBMAGkAcwB0AGEAZABvAA==" wne:acdName="acd13" wne:fciIndexBasedOn="0065"/>
    <wne:acd wne:argValue="AgBMAGkAcwB0AGEAZABvACAAYQBqAHUAcwB0AGEAZABvAA==" wne:acdName="acd14" wne:fciIndexBasedOn="0065"/>
    <wne:acd wne:argValue="AgBGAGkAZwB1AHIAYQBzAA==" wne:acdName="acd15" wne:fciIndexBasedOn="0065"/>
    <wne:acd wne:argValue="AgBGAHUAZQBuAHQAZQA=" wne:acdName="acd16" wne:fciIndexBasedOn="0065"/>
    <wne:acd wne:argValue="AgBMAGkAcwB0AGEAZABvACAAbgD6AG0AZQByAG8AcwA=" wne:acdName="acd17" wne:fciIndexBasedOn="0065"/>
    <wne:acd wne:argValue="AgBMAGkAcwB0AGEAZABvACAAbABlAHQAcgBhAHMA" wne:acdName="acd18" wne:fciIndexBasedOn="0065"/>
    <wne:acd wne:argValue="AgBuAGUAZwByAGkAdABhAA==" wne:acdName="acd19"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F9C83" w14:textId="77777777" w:rsidR="004911A3" w:rsidRDefault="004911A3" w:rsidP="00EB0247">
      <w:pPr>
        <w:spacing w:after="0" w:line="240" w:lineRule="auto"/>
      </w:pPr>
      <w:r>
        <w:separator/>
      </w:r>
    </w:p>
  </w:endnote>
  <w:endnote w:type="continuationSeparator" w:id="0">
    <w:p w14:paraId="3332AB54" w14:textId="77777777" w:rsidR="004911A3" w:rsidRDefault="004911A3" w:rsidP="00EB02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obe Garamond Pro">
    <w:panose1 w:val="00000000000000000000"/>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990">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5006" w14:textId="77777777" w:rsidR="004911A3" w:rsidRDefault="004911A3" w:rsidP="00EB0247">
      <w:pPr>
        <w:spacing w:after="0" w:line="240" w:lineRule="auto"/>
      </w:pPr>
      <w:r>
        <w:separator/>
      </w:r>
    </w:p>
  </w:footnote>
  <w:footnote w:type="continuationSeparator" w:id="0">
    <w:p w14:paraId="48B8B195" w14:textId="77777777" w:rsidR="004911A3" w:rsidRDefault="004911A3" w:rsidP="00EB02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16C16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19CA9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5A46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E31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F52D8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CE1A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1EBC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74FD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3685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A6DD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4300FD"/>
    <w:multiLevelType w:val="multilevel"/>
    <w:tmpl w:val="557CEAA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02D96892"/>
    <w:multiLevelType w:val="multilevel"/>
    <w:tmpl w:val="0C0A001D"/>
    <w:styleLink w:val="Vietaestrecha"/>
    <w:lvl w:ilvl="0">
      <w:start w:val="1"/>
      <w:numFmt w:val="bullet"/>
      <w:lvlText w:val="—"/>
      <w:lvlJc w:val="left"/>
      <w:pPr>
        <w:ind w:left="360" w:hanging="360"/>
      </w:pPr>
      <w:rPr>
        <w:rFonts w:ascii="Times New Roman" w:hAnsi="Times New Roman" w:cs="Times New Roman" w:hint="default"/>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0111733"/>
    <w:multiLevelType w:val="hybridMultilevel"/>
    <w:tmpl w:val="D77E81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02505B9"/>
    <w:multiLevelType w:val="singleLevel"/>
    <w:tmpl w:val="84E49452"/>
    <w:lvl w:ilvl="0">
      <w:start w:val="1"/>
      <w:numFmt w:val="bullet"/>
      <w:pStyle w:val="Listadoajustado"/>
      <w:lvlText w:val="‒"/>
      <w:lvlJc w:val="left"/>
      <w:pPr>
        <w:ind w:left="360" w:hanging="360"/>
      </w:pPr>
      <w:rPr>
        <w:rFonts w:ascii="Times New Roman" w:hAnsi="Times New Roman" w:cs="Times New Roman" w:hint="default"/>
        <w:sz w:val="23"/>
      </w:rPr>
    </w:lvl>
  </w:abstractNum>
  <w:abstractNum w:abstractNumId="14" w15:restartNumberingAfterBreak="0">
    <w:nsid w:val="178200DA"/>
    <w:multiLevelType w:val="multilevel"/>
    <w:tmpl w:val="944CD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4B91558"/>
    <w:multiLevelType w:val="hybridMultilevel"/>
    <w:tmpl w:val="ED4E6E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0E497B"/>
    <w:multiLevelType w:val="hybridMultilevel"/>
    <w:tmpl w:val="CC4048F6"/>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7" w15:restartNumberingAfterBreak="0">
    <w:nsid w:val="28CB324F"/>
    <w:multiLevelType w:val="hybridMultilevel"/>
    <w:tmpl w:val="418E7506"/>
    <w:lvl w:ilvl="0" w:tplc="769CB3D4">
      <w:numFmt w:val="bullet"/>
      <w:lvlText w:val="-"/>
      <w:lvlJc w:val="left"/>
      <w:pPr>
        <w:ind w:left="720" w:hanging="360"/>
      </w:pPr>
      <w:rPr>
        <w:rFonts w:ascii="Adobe Garamond Pro" w:eastAsiaTheme="minorHAnsi" w:hAnsi="Adobe Garamond Pro" w:cstheme="minorBid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2AEA03AD"/>
    <w:multiLevelType w:val="hybridMultilevel"/>
    <w:tmpl w:val="5B2615D4"/>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15:restartNumberingAfterBreak="0">
    <w:nsid w:val="2DEE4769"/>
    <w:multiLevelType w:val="hybridMultilevel"/>
    <w:tmpl w:val="6BDC39E8"/>
    <w:lvl w:ilvl="0" w:tplc="066A71B6">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042158E"/>
    <w:multiLevelType w:val="hybridMultilevel"/>
    <w:tmpl w:val="C5D4FC3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05C64EB"/>
    <w:multiLevelType w:val="multilevel"/>
    <w:tmpl w:val="93B276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2613F3"/>
    <w:multiLevelType w:val="multilevel"/>
    <w:tmpl w:val="FE90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33149"/>
    <w:multiLevelType w:val="multilevel"/>
    <w:tmpl w:val="F250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4506B58"/>
    <w:multiLevelType w:val="hybridMultilevel"/>
    <w:tmpl w:val="7BEEC610"/>
    <w:lvl w:ilvl="0" w:tplc="547C8D76">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44F10318"/>
    <w:multiLevelType w:val="multilevel"/>
    <w:tmpl w:val="6FC65838"/>
    <w:lvl w:ilvl="0">
      <w:start w:val="1"/>
      <w:numFmt w:val="decimal"/>
      <w:lvlText w:val="%1."/>
      <w:lvlJc w:val="left"/>
      <w:pPr>
        <w:ind w:left="454" w:hanging="454"/>
      </w:pPr>
      <w:rPr>
        <w:rFonts w:hint="default"/>
      </w:rPr>
    </w:lvl>
    <w:lvl w:ilvl="1">
      <w:start w:val="1"/>
      <w:numFmt w:val="decimal"/>
      <w:isLgl/>
      <w:lvlText w:val="%1.%2."/>
      <w:lvlJc w:val="left"/>
      <w:pPr>
        <w:ind w:left="454" w:hanging="454"/>
      </w:pPr>
      <w:rPr>
        <w:rFonts w:hint="default"/>
      </w:rPr>
    </w:lvl>
    <w:lvl w:ilvl="2">
      <w:start w:val="1"/>
      <w:numFmt w:val="decimal"/>
      <w:isLgl/>
      <w:lvlText w:val="%1.%2.%3."/>
      <w:lvlJc w:val="left"/>
      <w:pPr>
        <w:ind w:left="567" w:hanging="567"/>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4BE30BED"/>
    <w:multiLevelType w:val="multilevel"/>
    <w:tmpl w:val="4F0E4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9F1B41"/>
    <w:multiLevelType w:val="multilevel"/>
    <w:tmpl w:val="A176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330E2B"/>
    <w:multiLevelType w:val="multilevel"/>
    <w:tmpl w:val="8842F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6CEB48E1"/>
    <w:multiLevelType w:val="multilevel"/>
    <w:tmpl w:val="5DA61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68522E"/>
    <w:multiLevelType w:val="hybridMultilevel"/>
    <w:tmpl w:val="FA46DF3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747C0D02"/>
    <w:multiLevelType w:val="hybridMultilevel"/>
    <w:tmpl w:val="B10EFB6C"/>
    <w:lvl w:ilvl="0" w:tplc="AFCC998A">
      <w:start w:val="1"/>
      <w:numFmt w:val="decimal"/>
      <w:pStyle w:val="Listadonmeros"/>
      <w:lvlText w:val="%1."/>
      <w:lvlJc w:val="left"/>
      <w:pPr>
        <w:ind w:left="927"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6033047"/>
    <w:multiLevelType w:val="multilevel"/>
    <w:tmpl w:val="A9FCAA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FAE0B01"/>
    <w:multiLevelType w:val="hybridMultilevel"/>
    <w:tmpl w:val="76C4CCCE"/>
    <w:lvl w:ilvl="0" w:tplc="8C66ABF0">
      <w:start w:val="1"/>
      <w:numFmt w:val="lowerLetter"/>
      <w:pStyle w:val="Listadoletras"/>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num w:numId="1" w16cid:durableId="1799638477">
    <w:abstractNumId w:val="8"/>
  </w:num>
  <w:num w:numId="2" w16cid:durableId="395319536">
    <w:abstractNumId w:val="3"/>
  </w:num>
  <w:num w:numId="3" w16cid:durableId="226497015">
    <w:abstractNumId w:val="2"/>
  </w:num>
  <w:num w:numId="4" w16cid:durableId="279184504">
    <w:abstractNumId w:val="1"/>
  </w:num>
  <w:num w:numId="5" w16cid:durableId="277836754">
    <w:abstractNumId w:val="0"/>
  </w:num>
  <w:num w:numId="6" w16cid:durableId="1332679414">
    <w:abstractNumId w:val="9"/>
  </w:num>
  <w:num w:numId="7" w16cid:durableId="1467506544">
    <w:abstractNumId w:val="7"/>
  </w:num>
  <w:num w:numId="8" w16cid:durableId="1328558624">
    <w:abstractNumId w:val="6"/>
  </w:num>
  <w:num w:numId="9" w16cid:durableId="1735927699">
    <w:abstractNumId w:val="5"/>
  </w:num>
  <w:num w:numId="10" w16cid:durableId="1507162849">
    <w:abstractNumId w:val="4"/>
  </w:num>
  <w:num w:numId="11" w16cid:durableId="1048410323">
    <w:abstractNumId w:val="11"/>
  </w:num>
  <w:num w:numId="12" w16cid:durableId="1258055564">
    <w:abstractNumId w:val="13"/>
  </w:num>
  <w:num w:numId="13" w16cid:durableId="660811121">
    <w:abstractNumId w:val="16"/>
  </w:num>
  <w:num w:numId="14" w16cid:durableId="1210143500">
    <w:abstractNumId w:val="17"/>
  </w:num>
  <w:num w:numId="15" w16cid:durableId="318115096">
    <w:abstractNumId w:val="18"/>
  </w:num>
  <w:num w:numId="16" w16cid:durableId="1825004959">
    <w:abstractNumId w:val="28"/>
  </w:num>
  <w:num w:numId="17" w16cid:durableId="2006781074">
    <w:abstractNumId w:val="25"/>
  </w:num>
  <w:num w:numId="18" w16cid:durableId="367535750">
    <w:abstractNumId w:val="10"/>
  </w:num>
  <w:num w:numId="19" w16cid:durableId="1815218795">
    <w:abstractNumId w:val="24"/>
  </w:num>
  <w:num w:numId="20" w16cid:durableId="1407610298">
    <w:abstractNumId w:val="30"/>
  </w:num>
  <w:num w:numId="21" w16cid:durableId="1389261098">
    <w:abstractNumId w:val="31"/>
  </w:num>
  <w:num w:numId="22" w16cid:durableId="2057120259">
    <w:abstractNumId w:val="21"/>
  </w:num>
  <w:num w:numId="23" w16cid:durableId="2094281302">
    <w:abstractNumId w:val="31"/>
    <w:lvlOverride w:ilvl="0">
      <w:startOverride w:val="1"/>
    </w:lvlOverride>
  </w:num>
  <w:num w:numId="24" w16cid:durableId="1101535958">
    <w:abstractNumId w:val="31"/>
    <w:lvlOverride w:ilvl="0">
      <w:startOverride w:val="1"/>
    </w:lvlOverride>
  </w:num>
  <w:num w:numId="25" w16cid:durableId="1325545862">
    <w:abstractNumId w:val="12"/>
  </w:num>
  <w:num w:numId="26" w16cid:durableId="577521618">
    <w:abstractNumId w:val="32"/>
  </w:num>
  <w:num w:numId="27" w16cid:durableId="2020505449">
    <w:abstractNumId w:val="19"/>
  </w:num>
  <w:num w:numId="28" w16cid:durableId="1669907">
    <w:abstractNumId w:val="20"/>
  </w:num>
  <w:num w:numId="29" w16cid:durableId="1025332096">
    <w:abstractNumId w:val="22"/>
  </w:num>
  <w:num w:numId="30" w16cid:durableId="1328703471">
    <w:abstractNumId w:val="15"/>
  </w:num>
  <w:num w:numId="31" w16cid:durableId="801968312">
    <w:abstractNumId w:val="23"/>
  </w:num>
  <w:num w:numId="32" w16cid:durableId="638923685">
    <w:abstractNumId w:val="14"/>
  </w:num>
  <w:num w:numId="33" w16cid:durableId="185219344">
    <w:abstractNumId w:val="26"/>
  </w:num>
  <w:num w:numId="34" w16cid:durableId="501512660">
    <w:abstractNumId w:val="27"/>
  </w:num>
  <w:num w:numId="35" w16cid:durableId="1453018132">
    <w:abstractNumId w:val="33"/>
  </w:num>
  <w:num w:numId="36" w16cid:durableId="1414818766">
    <w:abstractNumId w:val="31"/>
    <w:lvlOverride w:ilvl="0">
      <w:startOverride w:val="1"/>
    </w:lvlOverride>
  </w:num>
  <w:num w:numId="37" w16cid:durableId="532958873">
    <w:abstractNumId w:val="31"/>
    <w:lvlOverride w:ilvl="0">
      <w:startOverride w:val="1"/>
    </w:lvlOverride>
  </w:num>
  <w:num w:numId="38" w16cid:durableId="1155561952">
    <w:abstractNumId w:val="31"/>
    <w:lvlOverride w:ilvl="0">
      <w:startOverride w:val="1"/>
    </w:lvlOverride>
  </w:num>
  <w:num w:numId="39" w16cid:durableId="342585045">
    <w:abstractNumId w:val="33"/>
    <w:lvlOverride w:ilvl="0">
      <w:startOverride w:val="1"/>
    </w:lvlOverride>
  </w:num>
  <w:num w:numId="40" w16cid:durableId="346520185">
    <w:abstractNumId w:val="33"/>
    <w:lvlOverride w:ilvl="0">
      <w:startOverride w:val="1"/>
    </w:lvlOverride>
  </w:num>
  <w:num w:numId="41" w16cid:durableId="1703744177">
    <w:abstractNumId w:val="31"/>
    <w:lvlOverride w:ilvl="0">
      <w:startOverride w:val="1"/>
    </w:lvlOverride>
  </w:num>
  <w:num w:numId="42" w16cid:durableId="457184035">
    <w:abstractNumId w:val="33"/>
    <w:lvlOverride w:ilvl="0">
      <w:startOverride w:val="1"/>
    </w:lvlOverride>
  </w:num>
  <w:num w:numId="43" w16cid:durableId="518083198">
    <w:abstractNumId w:val="31"/>
    <w:lvlOverride w:ilvl="0">
      <w:startOverride w:val="1"/>
    </w:lvlOverride>
  </w:num>
  <w:num w:numId="44" w16cid:durableId="150829909">
    <w:abstractNumId w:val="33"/>
    <w:lvlOverride w:ilvl="0">
      <w:startOverride w:val="1"/>
    </w:lvlOverride>
  </w:num>
  <w:num w:numId="45" w16cid:durableId="9422253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564"/>
    <w:rsid w:val="000068CF"/>
    <w:rsid w:val="00006D88"/>
    <w:rsid w:val="00012517"/>
    <w:rsid w:val="00033E3E"/>
    <w:rsid w:val="00063421"/>
    <w:rsid w:val="00082863"/>
    <w:rsid w:val="00097EEF"/>
    <w:rsid w:val="000B75E7"/>
    <w:rsid w:val="000C309D"/>
    <w:rsid w:val="000C5EDB"/>
    <w:rsid w:val="000C6568"/>
    <w:rsid w:val="001140A7"/>
    <w:rsid w:val="001348A0"/>
    <w:rsid w:val="00140844"/>
    <w:rsid w:val="001466AD"/>
    <w:rsid w:val="001468AC"/>
    <w:rsid w:val="0015066B"/>
    <w:rsid w:val="00156F2B"/>
    <w:rsid w:val="0017410E"/>
    <w:rsid w:val="00182667"/>
    <w:rsid w:val="00185A00"/>
    <w:rsid w:val="0018654D"/>
    <w:rsid w:val="001950D8"/>
    <w:rsid w:val="00197D57"/>
    <w:rsid w:val="001A7AD8"/>
    <w:rsid w:val="001C3D05"/>
    <w:rsid w:val="001D088A"/>
    <w:rsid w:val="001E7C07"/>
    <w:rsid w:val="00224231"/>
    <w:rsid w:val="00232C81"/>
    <w:rsid w:val="00232EA7"/>
    <w:rsid w:val="00242EFB"/>
    <w:rsid w:val="002433EC"/>
    <w:rsid w:val="00254F0F"/>
    <w:rsid w:val="00280126"/>
    <w:rsid w:val="00281564"/>
    <w:rsid w:val="00285B53"/>
    <w:rsid w:val="00293B4D"/>
    <w:rsid w:val="00296739"/>
    <w:rsid w:val="002A43CD"/>
    <w:rsid w:val="002B1B30"/>
    <w:rsid w:val="002C152D"/>
    <w:rsid w:val="002C5703"/>
    <w:rsid w:val="002C74EF"/>
    <w:rsid w:val="002D23FB"/>
    <w:rsid w:val="002D268C"/>
    <w:rsid w:val="002D6F2F"/>
    <w:rsid w:val="002F3733"/>
    <w:rsid w:val="0032004E"/>
    <w:rsid w:val="00345F89"/>
    <w:rsid w:val="003512A0"/>
    <w:rsid w:val="00354509"/>
    <w:rsid w:val="00375999"/>
    <w:rsid w:val="00376F64"/>
    <w:rsid w:val="0038507E"/>
    <w:rsid w:val="00395052"/>
    <w:rsid w:val="0039591A"/>
    <w:rsid w:val="003C41C6"/>
    <w:rsid w:val="003C4D9F"/>
    <w:rsid w:val="003E66FB"/>
    <w:rsid w:val="004111BB"/>
    <w:rsid w:val="00422CDA"/>
    <w:rsid w:val="00425515"/>
    <w:rsid w:val="0042592E"/>
    <w:rsid w:val="004307D4"/>
    <w:rsid w:val="0043323C"/>
    <w:rsid w:val="00437ED3"/>
    <w:rsid w:val="0044345A"/>
    <w:rsid w:val="0046169A"/>
    <w:rsid w:val="00477173"/>
    <w:rsid w:val="004819D7"/>
    <w:rsid w:val="00482482"/>
    <w:rsid w:val="004842F0"/>
    <w:rsid w:val="00484413"/>
    <w:rsid w:val="004911A3"/>
    <w:rsid w:val="00493A17"/>
    <w:rsid w:val="004A3B12"/>
    <w:rsid w:val="004C0202"/>
    <w:rsid w:val="004D0180"/>
    <w:rsid w:val="004D7554"/>
    <w:rsid w:val="004E6A78"/>
    <w:rsid w:val="004F5854"/>
    <w:rsid w:val="005332D9"/>
    <w:rsid w:val="005335DF"/>
    <w:rsid w:val="00540734"/>
    <w:rsid w:val="005417EB"/>
    <w:rsid w:val="005430EA"/>
    <w:rsid w:val="00552C4E"/>
    <w:rsid w:val="005720AD"/>
    <w:rsid w:val="00572430"/>
    <w:rsid w:val="00574F87"/>
    <w:rsid w:val="00584BB4"/>
    <w:rsid w:val="005865F9"/>
    <w:rsid w:val="005A2EDC"/>
    <w:rsid w:val="005A43E3"/>
    <w:rsid w:val="005A4AFE"/>
    <w:rsid w:val="005A4FC6"/>
    <w:rsid w:val="005A6174"/>
    <w:rsid w:val="005A640B"/>
    <w:rsid w:val="005E019F"/>
    <w:rsid w:val="005F2311"/>
    <w:rsid w:val="006011B6"/>
    <w:rsid w:val="00607EE3"/>
    <w:rsid w:val="006131F7"/>
    <w:rsid w:val="00616910"/>
    <w:rsid w:val="00626B26"/>
    <w:rsid w:val="00675757"/>
    <w:rsid w:val="00680332"/>
    <w:rsid w:val="00681364"/>
    <w:rsid w:val="0068745E"/>
    <w:rsid w:val="006929C9"/>
    <w:rsid w:val="006B1A03"/>
    <w:rsid w:val="006B41CD"/>
    <w:rsid w:val="006B7745"/>
    <w:rsid w:val="006C15CC"/>
    <w:rsid w:val="006C578E"/>
    <w:rsid w:val="006D2B96"/>
    <w:rsid w:val="006D7B13"/>
    <w:rsid w:val="006E02FA"/>
    <w:rsid w:val="006F0B6E"/>
    <w:rsid w:val="00714CBD"/>
    <w:rsid w:val="00721B39"/>
    <w:rsid w:val="00721EBE"/>
    <w:rsid w:val="007268DF"/>
    <w:rsid w:val="007365AB"/>
    <w:rsid w:val="00742AC5"/>
    <w:rsid w:val="007701F1"/>
    <w:rsid w:val="0077152D"/>
    <w:rsid w:val="00783CEA"/>
    <w:rsid w:val="00792960"/>
    <w:rsid w:val="007A0F17"/>
    <w:rsid w:val="007A38A1"/>
    <w:rsid w:val="007E4E94"/>
    <w:rsid w:val="007E73A0"/>
    <w:rsid w:val="007F0683"/>
    <w:rsid w:val="007F0944"/>
    <w:rsid w:val="007F437D"/>
    <w:rsid w:val="007F615A"/>
    <w:rsid w:val="0080497C"/>
    <w:rsid w:val="008238DE"/>
    <w:rsid w:val="008434B9"/>
    <w:rsid w:val="008526C6"/>
    <w:rsid w:val="008573D5"/>
    <w:rsid w:val="00857415"/>
    <w:rsid w:val="00863A4D"/>
    <w:rsid w:val="00890D25"/>
    <w:rsid w:val="00894582"/>
    <w:rsid w:val="008A1DE1"/>
    <w:rsid w:val="008A4085"/>
    <w:rsid w:val="008A483F"/>
    <w:rsid w:val="008A70B9"/>
    <w:rsid w:val="008B3ABD"/>
    <w:rsid w:val="008B6A98"/>
    <w:rsid w:val="008C1056"/>
    <w:rsid w:val="008C2B2C"/>
    <w:rsid w:val="008E14DD"/>
    <w:rsid w:val="008F1330"/>
    <w:rsid w:val="008F3F8E"/>
    <w:rsid w:val="0090564E"/>
    <w:rsid w:val="0091337D"/>
    <w:rsid w:val="009166C8"/>
    <w:rsid w:val="009171C1"/>
    <w:rsid w:val="00920563"/>
    <w:rsid w:val="00924EAC"/>
    <w:rsid w:val="00931433"/>
    <w:rsid w:val="0093429F"/>
    <w:rsid w:val="009477E3"/>
    <w:rsid w:val="00957D47"/>
    <w:rsid w:val="00962592"/>
    <w:rsid w:val="009638A5"/>
    <w:rsid w:val="009718C5"/>
    <w:rsid w:val="00982169"/>
    <w:rsid w:val="009847F6"/>
    <w:rsid w:val="00994F66"/>
    <w:rsid w:val="00997AA4"/>
    <w:rsid w:val="009A05A6"/>
    <w:rsid w:val="009A336B"/>
    <w:rsid w:val="009B37A3"/>
    <w:rsid w:val="009B4D05"/>
    <w:rsid w:val="009C0DFA"/>
    <w:rsid w:val="009C304F"/>
    <w:rsid w:val="009C657C"/>
    <w:rsid w:val="009D0814"/>
    <w:rsid w:val="009D4514"/>
    <w:rsid w:val="009E6021"/>
    <w:rsid w:val="009E664A"/>
    <w:rsid w:val="009E71A2"/>
    <w:rsid w:val="009F1EEA"/>
    <w:rsid w:val="009F5F74"/>
    <w:rsid w:val="00A160A6"/>
    <w:rsid w:val="00A206F1"/>
    <w:rsid w:val="00A4539A"/>
    <w:rsid w:val="00A60CF2"/>
    <w:rsid w:val="00A71558"/>
    <w:rsid w:val="00A8553F"/>
    <w:rsid w:val="00A93DD1"/>
    <w:rsid w:val="00A94DF9"/>
    <w:rsid w:val="00AA1F67"/>
    <w:rsid w:val="00AA3B04"/>
    <w:rsid w:val="00AB2707"/>
    <w:rsid w:val="00AD2E77"/>
    <w:rsid w:val="00B0717D"/>
    <w:rsid w:val="00B11088"/>
    <w:rsid w:val="00B51CF8"/>
    <w:rsid w:val="00B53432"/>
    <w:rsid w:val="00B57A4E"/>
    <w:rsid w:val="00B60DF4"/>
    <w:rsid w:val="00B62387"/>
    <w:rsid w:val="00B729DB"/>
    <w:rsid w:val="00B82A59"/>
    <w:rsid w:val="00B93974"/>
    <w:rsid w:val="00B957D1"/>
    <w:rsid w:val="00BA4EA8"/>
    <w:rsid w:val="00BA4FD5"/>
    <w:rsid w:val="00BB0498"/>
    <w:rsid w:val="00BB38AC"/>
    <w:rsid w:val="00BD0E1B"/>
    <w:rsid w:val="00BD7178"/>
    <w:rsid w:val="00BE3D2B"/>
    <w:rsid w:val="00BE5F2C"/>
    <w:rsid w:val="00BF45D1"/>
    <w:rsid w:val="00BF50C0"/>
    <w:rsid w:val="00C21F8C"/>
    <w:rsid w:val="00C302E3"/>
    <w:rsid w:val="00C30BA1"/>
    <w:rsid w:val="00C45F7D"/>
    <w:rsid w:val="00C470CE"/>
    <w:rsid w:val="00C80A45"/>
    <w:rsid w:val="00C8250B"/>
    <w:rsid w:val="00C90CFA"/>
    <w:rsid w:val="00C930F7"/>
    <w:rsid w:val="00CA0400"/>
    <w:rsid w:val="00CB2C9D"/>
    <w:rsid w:val="00CC152D"/>
    <w:rsid w:val="00CC5DCC"/>
    <w:rsid w:val="00CC679F"/>
    <w:rsid w:val="00CD0091"/>
    <w:rsid w:val="00CE0F4B"/>
    <w:rsid w:val="00CF367E"/>
    <w:rsid w:val="00D0381D"/>
    <w:rsid w:val="00D05D1F"/>
    <w:rsid w:val="00D06B11"/>
    <w:rsid w:val="00D25ADA"/>
    <w:rsid w:val="00D2615A"/>
    <w:rsid w:val="00D36F76"/>
    <w:rsid w:val="00D47BD3"/>
    <w:rsid w:val="00D67360"/>
    <w:rsid w:val="00D831E3"/>
    <w:rsid w:val="00D86CAA"/>
    <w:rsid w:val="00DA0BED"/>
    <w:rsid w:val="00DC3839"/>
    <w:rsid w:val="00DC5E7D"/>
    <w:rsid w:val="00DE0B74"/>
    <w:rsid w:val="00DF1B76"/>
    <w:rsid w:val="00DF7E4C"/>
    <w:rsid w:val="00E04357"/>
    <w:rsid w:val="00E05A14"/>
    <w:rsid w:val="00E05E1A"/>
    <w:rsid w:val="00E06000"/>
    <w:rsid w:val="00E554D4"/>
    <w:rsid w:val="00E649D6"/>
    <w:rsid w:val="00E9098E"/>
    <w:rsid w:val="00EA6509"/>
    <w:rsid w:val="00EB0247"/>
    <w:rsid w:val="00EC01A5"/>
    <w:rsid w:val="00EC785B"/>
    <w:rsid w:val="00EE69D8"/>
    <w:rsid w:val="00EE7B3C"/>
    <w:rsid w:val="00EF5CF6"/>
    <w:rsid w:val="00EF5DF7"/>
    <w:rsid w:val="00F10E12"/>
    <w:rsid w:val="00F13B97"/>
    <w:rsid w:val="00F25C3E"/>
    <w:rsid w:val="00F260AD"/>
    <w:rsid w:val="00F3598C"/>
    <w:rsid w:val="00F403F0"/>
    <w:rsid w:val="00F534E4"/>
    <w:rsid w:val="00F60611"/>
    <w:rsid w:val="00F6387D"/>
    <w:rsid w:val="00F63B01"/>
    <w:rsid w:val="00F66726"/>
    <w:rsid w:val="00F86491"/>
    <w:rsid w:val="00FA51E8"/>
    <w:rsid w:val="00FA7CDE"/>
    <w:rsid w:val="00FF5C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95A83"/>
  <w15:chartTrackingRefBased/>
  <w15:docId w15:val="{D566E902-C5F7-44EB-871E-EB7A1F002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locked="0" w:semiHidden="1" w:unhideWhenUsed="1"/>
    <w:lsdException w:name="annotation text" w:locked="0" w:semiHidden="1"/>
    <w:lsdException w:name="header" w:semiHidden="1"/>
    <w:lsdException w:name="footer"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locked="0" w:semiHidden="1" w:unhideWhenUsed="1"/>
    <w:lsdException w:name="annotation reference" w:locked="0"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locked="0" w:semiHidden="1" w:uiPriority="1" w:unhideWhenUsed="1"/>
    <w:lsdException w:name="Body Text" w:locked="0" w:semiHidden="1" w:uiPriority="0" w:unhideWhenUsed="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2" w:qFormat="1"/>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locked="0"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locked="0" w:semiHidden="1" w:uiPriority="37" w:unhideWhenUsed="1" w:qFormat="1"/>
    <w:lsdException w:name="TOC Heading" w:semiHidden="1" w:uiPriority="39" w:unhideWhenUsed="1" w:qFormat="1"/>
    <w:lsdException w:name="Plain Table 1" w:uiPriority="41"/>
    <w:lsdException w:name="Plain Table 2" w:locked="0" w:uiPriority="42"/>
    <w:lsdException w:name="Plain Table 3" w:locked="0"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aliases w:val="00. Normal"/>
    <w:uiPriority w:val="8"/>
    <w:qFormat/>
    <w:rsid w:val="00E04357"/>
    <w:pPr>
      <w:spacing w:before="40" w:after="120" w:line="276" w:lineRule="auto"/>
      <w:jc w:val="both"/>
    </w:pPr>
    <w:rPr>
      <w:rFonts w:ascii="Times New Roman" w:hAnsi="Times New Roman"/>
      <w:spacing w:val="1"/>
      <w:sz w:val="23"/>
      <w14:numForm w14:val="oldStyle"/>
    </w:rPr>
  </w:style>
  <w:style w:type="paragraph" w:styleId="Ttulo1">
    <w:name w:val="heading 1"/>
    <w:basedOn w:val="Normal"/>
    <w:next w:val="Normal"/>
    <w:link w:val="Ttulo1Car"/>
    <w:uiPriority w:val="4"/>
    <w:qFormat/>
    <w:rsid w:val="00721EBE"/>
    <w:pPr>
      <w:keepNext/>
      <w:keepLines/>
      <w:widowControl w:val="0"/>
      <w:suppressAutoHyphens/>
      <w:spacing w:before="360" w:after="200"/>
      <w:jc w:val="left"/>
      <w:outlineLvl w:val="0"/>
    </w:pPr>
    <w:rPr>
      <w:rFonts w:eastAsia="SimSun" w:cstheme="majorBidi"/>
      <w:caps/>
      <w:sz w:val="24"/>
      <w:szCs w:val="32"/>
      <w:shd w:val="clear" w:color="auto" w:fill="FFFFFF"/>
      <w14:numForm w14:val="lining"/>
    </w:rPr>
  </w:style>
  <w:style w:type="paragraph" w:styleId="Ttulo2">
    <w:name w:val="heading 2"/>
    <w:basedOn w:val="Normal"/>
    <w:next w:val="Ttulo1"/>
    <w:link w:val="Ttulo2Car"/>
    <w:uiPriority w:val="5"/>
    <w:unhideWhenUsed/>
    <w:qFormat/>
    <w:rsid w:val="00493A17"/>
    <w:pPr>
      <w:spacing w:before="240" w:after="160"/>
      <w:outlineLvl w:val="1"/>
    </w:pPr>
    <w:rPr>
      <w:smallCaps/>
      <w:szCs w:val="26"/>
      <w14:numForm w14:val="lining"/>
    </w:rPr>
  </w:style>
  <w:style w:type="paragraph" w:styleId="Ttulo3">
    <w:name w:val="heading 3"/>
    <w:basedOn w:val="Ttulo1"/>
    <w:next w:val="Normal"/>
    <w:link w:val="Ttulo3Car"/>
    <w:uiPriority w:val="6"/>
    <w:unhideWhenUsed/>
    <w:qFormat/>
    <w:rsid w:val="00493A17"/>
    <w:pPr>
      <w:spacing w:before="240" w:after="160"/>
      <w:outlineLvl w:val="2"/>
    </w:pPr>
    <w:rPr>
      <w:caps w:val="0"/>
      <w:sz w:val="23"/>
    </w:rPr>
  </w:style>
  <w:style w:type="paragraph" w:styleId="Ttulo4">
    <w:name w:val="heading 4"/>
    <w:basedOn w:val="Ttulo3"/>
    <w:next w:val="Normal"/>
    <w:link w:val="Ttulo4Car"/>
    <w:uiPriority w:val="7"/>
    <w:unhideWhenUsed/>
    <w:qFormat/>
    <w:rsid w:val="00EB0247"/>
    <w:pPr>
      <w:outlineLvl w:val="3"/>
    </w:pPr>
  </w:style>
  <w:style w:type="paragraph" w:styleId="Ttulo5">
    <w:name w:val="heading 5"/>
    <w:basedOn w:val="Normal"/>
    <w:next w:val="Normal"/>
    <w:link w:val="Ttulo5Car"/>
    <w:uiPriority w:val="99"/>
    <w:semiHidden/>
    <w:locked/>
    <w:rsid w:val="00063421"/>
    <w:pPr>
      <w:keepNext/>
      <w:keepLines/>
      <w:spacing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4"/>
    <w:qFormat/>
    <w:rsid w:val="00742AC5"/>
    <w:rPr>
      <w:rFonts w:ascii="Times New Roman" w:eastAsia="SimSun" w:hAnsi="Times New Roman" w:cstheme="majorBidi"/>
      <w:caps/>
      <w:spacing w:val="1"/>
      <w:sz w:val="24"/>
      <w:szCs w:val="32"/>
      <w14:numForm w14:val="lining"/>
    </w:rPr>
  </w:style>
  <w:style w:type="character" w:customStyle="1" w:styleId="Ttulo2Car">
    <w:name w:val="Título 2 Car"/>
    <w:basedOn w:val="Fuentedeprrafopredeter"/>
    <w:link w:val="Ttulo2"/>
    <w:uiPriority w:val="5"/>
    <w:qFormat/>
    <w:rsid w:val="00493A17"/>
    <w:rPr>
      <w:rFonts w:ascii="Times New Roman" w:hAnsi="Times New Roman"/>
      <w:smallCaps/>
      <w:spacing w:val="1"/>
      <w:sz w:val="23"/>
      <w:szCs w:val="26"/>
      <w14:numForm w14:val="lining"/>
    </w:rPr>
  </w:style>
  <w:style w:type="character" w:customStyle="1" w:styleId="Ttulo4Car">
    <w:name w:val="Título 4 Car"/>
    <w:basedOn w:val="Fuentedeprrafopredeter"/>
    <w:link w:val="Ttulo4"/>
    <w:uiPriority w:val="7"/>
    <w:rsid w:val="00742AC5"/>
    <w:rPr>
      <w:rFonts w:ascii="Times New Roman" w:eastAsia="SimSun" w:hAnsi="Times New Roman" w:cstheme="majorBidi"/>
      <w:spacing w:val="1"/>
      <w:sz w:val="23"/>
      <w:szCs w:val="32"/>
      <w14:numForm w14:val="oldStyle"/>
    </w:rPr>
  </w:style>
  <w:style w:type="character" w:customStyle="1" w:styleId="Ttulo5Car">
    <w:name w:val="Título 5 Car"/>
    <w:basedOn w:val="Fuentedeprrafopredeter"/>
    <w:link w:val="Ttulo5"/>
    <w:uiPriority w:val="99"/>
    <w:semiHidden/>
    <w:rsid w:val="00F60611"/>
    <w:rPr>
      <w:rFonts w:asciiTheme="majorHAnsi" w:eastAsiaTheme="majorEastAsia" w:hAnsiTheme="majorHAnsi" w:cstheme="majorBidi"/>
      <w:color w:val="2F5496" w:themeColor="accent1" w:themeShade="BF"/>
      <w:spacing w:val="1"/>
      <w:sz w:val="23"/>
      <w14:numForm w14:val="oldStyle"/>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14:ligatures w14:val="all"/>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14:ligatures w14:val="all"/>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14:ligatures w14:val="all"/>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14:ligatures w14:val="all"/>
    </w:rPr>
  </w:style>
  <w:style w:type="paragraph" w:customStyle="1" w:styleId="Resumen">
    <w:name w:val="Resumen"/>
    <w:basedOn w:val="Normal"/>
    <w:uiPriority w:val="99"/>
    <w:semiHidden/>
    <w:locked/>
    <w:rsid w:val="00B0717D"/>
    <w:pPr>
      <w:spacing w:line="264" w:lineRule="auto"/>
    </w:pPr>
    <w:rPr>
      <w:rFonts w:eastAsia="Calibri" w:cs="Calibri"/>
      <w:sz w:val="19"/>
      <w:szCs w:val="19"/>
      <w14:ligatures w14:val="all"/>
    </w:rPr>
  </w:style>
  <w:style w:type="character" w:customStyle="1" w:styleId="Ttulo3Car">
    <w:name w:val="Título 3 Car"/>
    <w:basedOn w:val="Fuentedeprrafopredeter"/>
    <w:link w:val="Ttulo3"/>
    <w:uiPriority w:val="6"/>
    <w:rsid w:val="00493A17"/>
    <w:rPr>
      <w:rFonts w:ascii="Times New Roman" w:eastAsia="SimSun" w:hAnsi="Times New Roman" w:cstheme="majorBidi"/>
      <w:spacing w:val="1"/>
      <w:sz w:val="23"/>
      <w:szCs w:val="32"/>
      <w14:numForm w14:val="lining"/>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14:numForm w14:val="oldStyle"/>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pacing w:val="0"/>
      <w:sz w:val="20"/>
      <w14:numSpacing w14:val="proportional"/>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14:numForm w14:val="oldStyle"/>
      <w14:numSpacing w14:val="proportional"/>
    </w:rPr>
  </w:style>
  <w:style w:type="numbering" w:customStyle="1" w:styleId="Vietaestrecha">
    <w:name w:val="Viñeta estrecha"/>
    <w:basedOn w:val="Sinlista"/>
    <w:uiPriority w:val="99"/>
    <w:locked/>
    <w:rsid w:val="007701F1"/>
    <w:pPr>
      <w:numPr>
        <w:numId w:val="11"/>
      </w:numPr>
    </w:pPr>
  </w:style>
  <w:style w:type="paragraph" w:customStyle="1" w:styleId="Listadoajustado">
    <w:name w:val="Listado ajustado"/>
    <w:basedOn w:val="Normal"/>
    <w:link w:val="ListadoajustadoCar"/>
    <w:uiPriority w:val="11"/>
    <w:qFormat/>
    <w:rsid w:val="00140844"/>
    <w:pPr>
      <w:numPr>
        <w:numId w:val="12"/>
      </w:numPr>
      <w:spacing w:after="160"/>
      <w:ind w:left="851" w:hanging="284"/>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14:numForm w14:val="oldStyle"/>
      <w14:numSpacing w14:val="proportional"/>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pacing w:val="0"/>
      <w:sz w:val="18"/>
      <w:szCs w:val="16"/>
      <w14:numForm w14:val="default"/>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pacing w:val="0"/>
      <w:sz w:val="20"/>
      <w:lang w:val="es-ES_tradnl"/>
      <w14:numForm w14:val="default"/>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line="276" w:lineRule="auto"/>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21"/>
      </w:numPr>
      <w:spacing w:after="160"/>
      <w:ind w:left="851" w:hanging="284"/>
      <w:contextualSpacing w:val="0"/>
    </w:pPr>
    <w:rPr>
      <w14:numForm w14:val="lining"/>
    </w:r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14:numForm w14:val="oldStyle"/>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14:numForm w14:val="lining"/>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14:numForm w14:val="oldStyle"/>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14:numForm w14:val="oldStyle"/>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14:numForm w14:val="oldStyle"/>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22"/>
    <w:qFormat/>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spacing w:val="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14:numForm w14:val="oldStyle"/>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35"/>
      </w:numPr>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14:numForm w14:val="lining"/>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14:numForm w14:val="oldStyle"/>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14:numForm w14:val="oldStyle"/>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14:numForm w14:val="oldStyle"/>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14:numForm w14:val="oldStyle"/>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unhideWhenUsed/>
    <w:rsid w:val="00857415"/>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 w:type="character" w:styleId="nfasis">
    <w:name w:val="Emphasis"/>
    <w:basedOn w:val="Fuentedeprrafopredeter"/>
    <w:uiPriority w:val="20"/>
    <w:qFormat/>
    <w:locked/>
    <w:rsid w:val="00857415"/>
    <w:rPr>
      <w:i/>
      <w:iCs/>
    </w:rPr>
  </w:style>
  <w:style w:type="paragraph" w:styleId="z-Principiodelformulario">
    <w:name w:val="HTML Top of Form"/>
    <w:basedOn w:val="Normal"/>
    <w:next w:val="Normal"/>
    <w:link w:val="z-PrincipiodelformularioCar"/>
    <w:hidden/>
    <w:uiPriority w:val="99"/>
    <w:semiHidden/>
    <w:unhideWhenUsed/>
    <w:rsid w:val="00857415"/>
    <w:pPr>
      <w:pBdr>
        <w:bottom w:val="single" w:sz="6" w:space="1" w:color="auto"/>
      </w:pBdr>
      <w:spacing w:before="0" w:after="0" w:line="240" w:lineRule="auto"/>
      <w:jc w:val="center"/>
    </w:pPr>
    <w:rPr>
      <w:rFonts w:ascii="Arial" w:eastAsia="Times New Roman" w:hAnsi="Arial" w:cs="Arial"/>
      <w:vanish/>
      <w:spacing w:val="0"/>
      <w:sz w:val="16"/>
      <w:szCs w:val="16"/>
      <w:lang w:val="es-EC" w:eastAsia="es-EC"/>
      <w14:numForm w14:val="default"/>
    </w:rPr>
  </w:style>
  <w:style w:type="character" w:customStyle="1" w:styleId="z-PrincipiodelformularioCar">
    <w:name w:val="z-Principio del formulario Car"/>
    <w:basedOn w:val="Fuentedeprrafopredeter"/>
    <w:link w:val="z-Principiodelformulario"/>
    <w:uiPriority w:val="99"/>
    <w:semiHidden/>
    <w:rsid w:val="00857415"/>
    <w:rPr>
      <w:rFonts w:ascii="Arial" w:eastAsia="Times New Roman" w:hAnsi="Arial" w:cs="Arial"/>
      <w:vanish/>
      <w:sz w:val="16"/>
      <w:szCs w:val="16"/>
      <w:lang w:val="es-EC" w:eastAsia="es-EC"/>
    </w:rPr>
  </w:style>
  <w:style w:type="paragraph" w:styleId="z-Finaldelformulario">
    <w:name w:val="HTML Bottom of Form"/>
    <w:basedOn w:val="Normal"/>
    <w:next w:val="Normal"/>
    <w:link w:val="z-FinaldelformularioCar"/>
    <w:hidden/>
    <w:uiPriority w:val="99"/>
    <w:semiHidden/>
    <w:unhideWhenUsed/>
    <w:rsid w:val="00857415"/>
    <w:pPr>
      <w:pBdr>
        <w:top w:val="single" w:sz="6" w:space="1" w:color="auto"/>
      </w:pBdr>
      <w:spacing w:before="0" w:after="0" w:line="240" w:lineRule="auto"/>
      <w:jc w:val="center"/>
    </w:pPr>
    <w:rPr>
      <w:rFonts w:ascii="Arial" w:eastAsia="Times New Roman" w:hAnsi="Arial" w:cs="Arial"/>
      <w:vanish/>
      <w:spacing w:val="0"/>
      <w:sz w:val="16"/>
      <w:szCs w:val="16"/>
      <w:lang w:val="es-EC" w:eastAsia="es-EC"/>
      <w14:numForm w14:val="default"/>
    </w:rPr>
  </w:style>
  <w:style w:type="character" w:customStyle="1" w:styleId="z-FinaldelformularioCar">
    <w:name w:val="z-Final del formulario Car"/>
    <w:basedOn w:val="Fuentedeprrafopredeter"/>
    <w:link w:val="z-Finaldelformulario"/>
    <w:uiPriority w:val="99"/>
    <w:semiHidden/>
    <w:rsid w:val="00857415"/>
    <w:rPr>
      <w:rFonts w:ascii="Arial" w:eastAsia="Times New Roman" w:hAnsi="Arial" w:cs="Arial"/>
      <w:vanish/>
      <w:sz w:val="16"/>
      <w:szCs w:val="16"/>
      <w:lang w:val="es-EC" w:eastAsia="es-EC"/>
    </w:rPr>
  </w:style>
  <w:style w:type="paragraph" w:customStyle="1" w:styleId="isselectedend">
    <w:name w:val="isselectedend"/>
    <w:basedOn w:val="Normal"/>
    <w:rsid w:val="00F86491"/>
    <w:pPr>
      <w:spacing w:before="100" w:beforeAutospacing="1" w:after="100" w:afterAutospacing="1" w:line="240" w:lineRule="auto"/>
      <w:jc w:val="left"/>
    </w:pPr>
    <w:rPr>
      <w:rFonts w:eastAsia="Times New Roman" w:cs="Times New Roman"/>
      <w:spacing w:val="0"/>
      <w:sz w:val="24"/>
      <w:szCs w:val="24"/>
      <w:lang w:val="es-EC" w:eastAsia="es-EC"/>
      <w14:numForm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1197932">
      <w:bodyDiv w:val="1"/>
      <w:marLeft w:val="0"/>
      <w:marRight w:val="0"/>
      <w:marTop w:val="0"/>
      <w:marBottom w:val="0"/>
      <w:divBdr>
        <w:top w:val="none" w:sz="0" w:space="0" w:color="auto"/>
        <w:left w:val="none" w:sz="0" w:space="0" w:color="auto"/>
        <w:bottom w:val="none" w:sz="0" w:space="0" w:color="auto"/>
        <w:right w:val="none" w:sz="0" w:space="0" w:color="auto"/>
      </w:divBdr>
    </w:div>
    <w:div w:id="1243567476">
      <w:bodyDiv w:val="1"/>
      <w:marLeft w:val="0"/>
      <w:marRight w:val="0"/>
      <w:marTop w:val="0"/>
      <w:marBottom w:val="0"/>
      <w:divBdr>
        <w:top w:val="none" w:sz="0" w:space="0" w:color="auto"/>
        <w:left w:val="none" w:sz="0" w:space="0" w:color="auto"/>
        <w:bottom w:val="none" w:sz="0" w:space="0" w:color="auto"/>
        <w:right w:val="none" w:sz="0" w:space="0" w:color="auto"/>
      </w:divBdr>
    </w:div>
    <w:div w:id="1360008225">
      <w:bodyDiv w:val="1"/>
      <w:marLeft w:val="0"/>
      <w:marRight w:val="0"/>
      <w:marTop w:val="0"/>
      <w:marBottom w:val="0"/>
      <w:divBdr>
        <w:top w:val="none" w:sz="0" w:space="0" w:color="auto"/>
        <w:left w:val="none" w:sz="0" w:space="0" w:color="auto"/>
        <w:bottom w:val="none" w:sz="0" w:space="0" w:color="auto"/>
        <w:right w:val="none" w:sz="0" w:space="0" w:color="auto"/>
      </w:divBdr>
    </w:div>
    <w:div w:id="1499034681">
      <w:bodyDiv w:val="1"/>
      <w:marLeft w:val="0"/>
      <w:marRight w:val="0"/>
      <w:marTop w:val="0"/>
      <w:marBottom w:val="0"/>
      <w:divBdr>
        <w:top w:val="none" w:sz="0" w:space="0" w:color="auto"/>
        <w:left w:val="none" w:sz="0" w:space="0" w:color="auto"/>
        <w:bottom w:val="none" w:sz="0" w:space="0" w:color="auto"/>
        <w:right w:val="none" w:sz="0" w:space="0" w:color="auto"/>
      </w:divBdr>
    </w:div>
    <w:div w:id="163232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cademic.oup.com/book/25644" TargetMode="External"/><Relationship Id="rId18" Type="http://schemas.openxmlformats.org/officeDocument/2006/relationships/hyperlink" Target="https://tilburglawreview.com/articles/10.5334/tilr.394" TargetMode="External"/><Relationship Id="rId3" Type="http://schemas.openxmlformats.org/officeDocument/2006/relationships/numbering" Target="numbering.xml"/><Relationship Id="rId21" Type="http://schemas.openxmlformats.org/officeDocument/2006/relationships/hyperlink" Target="https://journals.upress.ufl.edu/ftr/article/view/373" TargetMode="External"/><Relationship Id="rId7" Type="http://schemas.openxmlformats.org/officeDocument/2006/relationships/footnotes" Target="footnotes.xml"/><Relationship Id="rId12" Type="http://schemas.openxmlformats.org/officeDocument/2006/relationships/hyperlink" Target="https://www.cambridge.org/core/journals/review-of-international-studies/article/abs/rethinking-sovereignty-in-international-fiscal-policy/37DD1ED24775BF33076B610A0E171B11" TargetMode="External"/><Relationship Id="rId17" Type="http://schemas.openxmlformats.org/officeDocument/2006/relationships/hyperlink" Target="https://www.imf.org/en/news/articles/2026/04/22/pr26126-ecuador-the-imf-concludes-5th-review-of-eff-arrangement" TargetMode="External"/><Relationship Id="rId2" Type="http://schemas.openxmlformats.org/officeDocument/2006/relationships/customXml" Target="../customXml/item1.xml"/><Relationship Id="rId16" Type="http://schemas.openxmlformats.org/officeDocument/2006/relationships/hyperlink" Target="https://www.imf.org/en/publications/cr/issues/2024/12/19/ecuador-2024-article-iv-consultation-and-first-review-under-the-extended-arrangement-under-559780" TargetMode="External"/><Relationship Id="rId20" Type="http://schemas.openxmlformats.org/officeDocument/2006/relationships/hyperlink" Target="https://www.oecd.org/en/publications/oecd-budget-transparency-toolkit_9789264282070-en.html"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tilburglawreview.com/articles/10.5334/tilr.399" TargetMode="External"/><Relationship Id="rId5" Type="http://schemas.openxmlformats.org/officeDocument/2006/relationships/settings" Target="settings.xml"/><Relationship Id="rId15" Type="http://schemas.openxmlformats.org/officeDocument/2006/relationships/hyperlink" Target="https://www.imf.org/en/topics/fiscal-policies/fiscal-transparency" TargetMode="External"/><Relationship Id="rId23" Type="http://schemas.openxmlformats.org/officeDocument/2006/relationships/theme" Target="theme/theme1.xml"/><Relationship Id="rId10" Type="http://schemas.openxmlformats.org/officeDocument/2006/relationships/hyperlink" Target="https://www.asambleanacional.gob.ec/es/contenido/constitucion-de-la-republica-del-ecuador-2008-reformada" TargetMode="External"/><Relationship Id="rId19" Type="http://schemas.openxmlformats.org/officeDocument/2006/relationships/hyperlink" Target="https://ojs.deakin.edu.au/index.php/dlr/article/view/70" TargetMode="External"/><Relationship Id="rId4" Type="http://schemas.openxmlformats.org/officeDocument/2006/relationships/styles" Target="styles.xml"/><Relationship Id="rId9" Type="http://schemas.openxmlformats.org/officeDocument/2006/relationships/hyperlink" Target="https://www.emerald.com/insight/content/doi/10.3316/QRJ0902027/full/html" TargetMode="External"/><Relationship Id="rId14" Type="http://schemas.openxmlformats.org/officeDocument/2006/relationships/hyperlink" Target="https://academic.oup.com/book/11329/chapter/159952852"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1_LIBROS_PENDIENTES\plantilla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9E198-35FD-43DB-92D1-7AB982E3D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plantilla3</Template>
  <TotalTime>1358</TotalTime>
  <Pages>23</Pages>
  <Words>7344</Words>
  <Characters>40397</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Manager>EGREGIUS</Manager>
  <Company>EG-DYKINSON</Company>
  <LinksUpToDate>false</LinksUpToDate>
  <CharactersWithSpaces>47646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Asunto</dc:subject>
  <dc:creator>Egregius</dc:creator>
  <cp:keywords>Etiqueta</cp:keywords>
  <dc:description/>
  <cp:lastModifiedBy>Usuario</cp:lastModifiedBy>
  <cp:revision>132</cp:revision>
  <dcterms:created xsi:type="dcterms:W3CDTF">2026-04-18T04:02:00Z</dcterms:created>
  <dcterms:modified xsi:type="dcterms:W3CDTF">2026-08-27T17:11:00Z</dcterms:modified>
  <cp:category>Categoria</cp:category>
  <cp:contentStatus>Estado</cp:contentStatus>
</cp:coreProperties>
</file>