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100B7043" w:rsidR="001348A0" w:rsidRDefault="001348A0" w:rsidP="001348A0">
      <w:pPr>
        <w:pStyle w:val="Captulo"/>
      </w:pPr>
      <w:r>
        <w:t xml:space="preserve">Capítulo </w:t>
      </w:r>
      <w:r w:rsidR="00857415">
        <w:t>I</w:t>
      </w:r>
    </w:p>
    <w:p w14:paraId="53F485B9" w14:textId="31FC2A6E" w:rsidR="0015066B" w:rsidRPr="00857415" w:rsidRDefault="007F0683" w:rsidP="0015066B">
      <w:pPr>
        <w:pStyle w:val="TtCap"/>
        <w:rPr>
          <w:color w:val="auto"/>
        </w:rPr>
      </w:pPr>
      <w:r w:rsidRPr="007F0683">
        <w:rPr>
          <w:color w:val="auto"/>
        </w:rPr>
        <w:t>Cosmovisión comunitaria y justicia indígena en el Ecuador: fundamentos teóricos para una interpretación desde los derechos humanos</w:t>
      </w:r>
    </w:p>
    <w:p w14:paraId="4645F320" w14:textId="7C89B2C6" w:rsidR="0015066B" w:rsidRPr="00857415" w:rsidRDefault="00857415" w:rsidP="0015066B">
      <w:pPr>
        <w:pStyle w:val="Autor"/>
        <w:rPr>
          <w:color w:val="auto"/>
        </w:rPr>
      </w:pPr>
      <w:r w:rsidRPr="00857415">
        <w:rPr>
          <w:color w:val="auto"/>
        </w:rPr>
        <w:t xml:space="preserve">ESTEFANÍA CRISTINA MAYORGA </w:t>
      </w:r>
      <w:proofErr w:type="spellStart"/>
      <w:r w:rsidRPr="00857415">
        <w:rPr>
          <w:color w:val="auto"/>
        </w:rPr>
        <w:t>MAYORGA</w:t>
      </w:r>
      <w:proofErr w:type="spellEnd"/>
    </w:p>
    <w:p w14:paraId="69FA3E26" w14:textId="4DFCFFA0" w:rsidR="0015066B" w:rsidRPr="00857415" w:rsidRDefault="00857415" w:rsidP="0015066B">
      <w:pPr>
        <w:pStyle w:val="Adscripcin"/>
        <w:rPr>
          <w:color w:val="auto"/>
        </w:rPr>
      </w:pPr>
      <w:r w:rsidRPr="00857415">
        <w:rPr>
          <w:color w:val="auto"/>
        </w:rPr>
        <w:t>Universidad Católica de Santiago de Guayaquil</w:t>
      </w:r>
    </w:p>
    <w:p w14:paraId="6A02D415" w14:textId="7DE77B88" w:rsidR="0015066B" w:rsidRPr="00857415" w:rsidRDefault="0015066B" w:rsidP="0015066B">
      <w:pPr>
        <w:pStyle w:val="Adscripcin"/>
        <w:rPr>
          <w:color w:val="auto"/>
        </w:rPr>
      </w:pPr>
    </w:p>
    <w:p w14:paraId="39CBAB8D" w14:textId="7B37E800" w:rsidR="00B53432" w:rsidRDefault="00B53432" w:rsidP="00857415">
      <w:pPr>
        <w:pStyle w:val="NormalWeb"/>
        <w:spacing w:line="276" w:lineRule="auto"/>
        <w:jc w:val="both"/>
      </w:pPr>
      <w:r w:rsidRPr="00B53432">
        <w:t>1. INTRODUCCIÓN</w:t>
      </w:r>
    </w:p>
    <w:p w14:paraId="33237F0E" w14:textId="77777777" w:rsidR="002F2A3C" w:rsidRDefault="002F2A3C" w:rsidP="002F2A3C">
      <w:pPr>
        <w:pStyle w:val="NormalWeb"/>
        <w:spacing w:before="0" w:beforeAutospacing="0" w:after="0" w:afterAutospacing="0" w:line="276" w:lineRule="auto"/>
        <w:jc w:val="both"/>
      </w:pPr>
      <w:bookmarkStart w:id="0" w:name="_Hlk225931306"/>
      <w:r w:rsidRPr="002F2A3C">
        <w:t>La justicia indígena en el Ecuador constituye una de las expresiones más significativas del pluralismo jurídico reconocido por el orden constitucional, pues evidencia la coexistencia de sistemas normativos que responden a formas distintas de comprender la autoridad, el conflicto y la vida comunitaria. Su reconocimiento cuestiona la concepción del derecho como un orden exclusivamente estatal, unitario y homogéneo, al admitir que los pueblos y nacionalidades indígenas producen y aplican normas vinculadas con sus propias formas de organización social, cultural y política. Por ello, la justicia indígena no puede reducirse a un mecanismo alternativo de solución de controversias: representa una manifestación de juridicidad construida desde parámetros distintos de aquellos que tradicionalmente han estructurado el derecho estatal.</w:t>
      </w:r>
    </w:p>
    <w:p w14:paraId="35A4ACD3" w14:textId="5742A792" w:rsidR="002F2A3C" w:rsidRPr="002F2A3C" w:rsidRDefault="002F2A3C" w:rsidP="002F2A3C">
      <w:pPr>
        <w:pStyle w:val="NormalWeb"/>
        <w:spacing w:before="0" w:beforeAutospacing="0" w:after="0" w:afterAutospacing="0" w:line="276" w:lineRule="auto"/>
        <w:jc w:val="both"/>
      </w:pPr>
      <w:r w:rsidRPr="002F2A3C">
        <w:t xml:space="preserve">Esta coexistencia plantea, sin embargo, una cuestión de especial complejidad cuando las decisiones adoptadas por las autoridades indígenas deben relacionarse con los derechos reconocidos constitucional e internacionalmente. La dificultad no radica únicamente en determinar si una práctica comunitaria es compatible o incompatible con determinado derecho, sino en establecer desde qué parámetros debe efectuarse esa valoración. Aplicar de manera automática categorías </w:t>
      </w:r>
      <w:r w:rsidRPr="002F2A3C">
        <w:lastRenderedPageBreak/>
        <w:t>provenientes del derecho estatal puede conducir a desconocer el significado que determinados principios, sanciones o procedimientos adquieren dentro de la comunidad; pero admitir una autonomía desvinculada de todo límite jurídico también impediría responder adecuadamente frente a eventuales afectaciones de derechos. La tensión se sitúa, por tanto, entre dos exigencias que el constitucionalismo ecuatoriano reconoce simultáneamente: el respeto a la autonomía de los sistemas jurídicos indígenas y la garantía efectiva de los derechos humanos.</w:t>
      </w:r>
    </w:p>
    <w:p w14:paraId="0986EF8D" w14:textId="77777777" w:rsidR="002F2A3C" w:rsidRPr="002F2A3C" w:rsidRDefault="002F2A3C" w:rsidP="002F2A3C">
      <w:pPr>
        <w:pStyle w:val="NormalWeb"/>
        <w:spacing w:before="0" w:beforeAutospacing="0" w:after="0" w:afterAutospacing="0" w:line="276" w:lineRule="auto"/>
        <w:jc w:val="both"/>
      </w:pPr>
      <w:r w:rsidRPr="002F2A3C">
        <w:t>El problema adquiere mayor profundidad cuando se advierte que dicha relación no enfrenta solamente normas distintas, sino también formas diferentes de producir y comprender lo jurídico. Categorías como responsabilidad, reparación, autoridad, sanción o restablecimiento del orden social pueden adquirir sentidos particulares cuando son interpretadas desde una racionalidad comunitaria. Una lectura que prescinda de esta dimensión corre el riesgo de evaluar la justicia indígena exclusivamente desde parámetros externos y, con ello, transformar el reconocimiento del pluralismo jurídico en una subordinación material al sistema estatal. La cuestión no consiste, entonces, en excluir los derechos humanos del ámbito de la justicia indígena, sino en determinar cómo interpretarlos sin vaciar de contenido la diversidad jurídica que el propio orden constitucional reconoce.</w:t>
      </w:r>
    </w:p>
    <w:p w14:paraId="44F09E19" w14:textId="08AB07E9" w:rsidR="00A160A6" w:rsidRPr="00A160A6" w:rsidRDefault="002F2A3C" w:rsidP="002F2A3C">
      <w:pPr>
        <w:pStyle w:val="NormalWeb"/>
        <w:spacing w:before="0" w:beforeAutospacing="0" w:after="0" w:afterAutospacing="0" w:line="276" w:lineRule="auto"/>
        <w:jc w:val="both"/>
      </w:pPr>
      <w:r w:rsidRPr="002F2A3C">
        <w:t>Desde esta problemática, la cosmovisión comunitaria adquiere relevancia como categoría de análisis, porque permite examinar las bases desde las cuales las comunidades construyen determinadas concepciones de justicia, autoridad, equilibrio y reparación. Su estudio ofrece elementos para comprender la racionalidad interna de los sistemas jurídicos indígenas y, al mismo tiempo, para cuestionar modelos de interpretación que presuponen la existencia de una única forma legítima de comprender el derecho. El presente capítulo analiza estos fundamentos teóricos con el propósito de establecer criterios que permitan aproximarse a la relación entre justicia indígena y derechos hu</w:t>
      </w:r>
      <w:r w:rsidRPr="002F2A3C">
        <w:lastRenderedPageBreak/>
        <w:t>manos desde una perspectiva intercultural, capaz de reconocer la autonomía jurídica de los pueblos indígenas sin desvincularla de la protección de la dignidad y de los derechos fundamentales.</w:t>
      </w:r>
    </w:p>
    <w:bookmarkEnd w:id="0"/>
    <w:p w14:paraId="5D8DC444" w14:textId="73CC29D6" w:rsidR="00607EE3" w:rsidRDefault="00607EE3" w:rsidP="00857415">
      <w:pPr>
        <w:pStyle w:val="Ttulo1"/>
        <w:jc w:val="both"/>
      </w:pPr>
      <w:r>
        <w:t>2. Objetivos</w:t>
      </w:r>
    </w:p>
    <w:p w14:paraId="4D5D1328" w14:textId="6944CA7E" w:rsidR="001140A7" w:rsidRPr="001140A7" w:rsidRDefault="002F2A3C" w:rsidP="001140A7">
      <w:pPr>
        <w:rPr>
          <w:lang w:val="es-EC"/>
        </w:rPr>
      </w:pPr>
      <w:bookmarkStart w:id="1" w:name="_Hlk225931405"/>
      <w:r w:rsidRPr="002F2A3C">
        <w:rPr>
          <w:lang w:val="es-EC"/>
        </w:rPr>
        <w:t>El presente capítulo tiene como objetivo fundamentar teóricamente la cosmovisión comunitaria como base estructural de la justicia indígena en el Ecuador, con el propósito de comprender su racionalidad jurídica y analizar su articulación con los derechos humanos en el contexto del pluralismo jurídico contemporáneo</w:t>
      </w:r>
      <w:r w:rsidR="001140A7" w:rsidRPr="001140A7">
        <w:rPr>
          <w:lang w:val="es-EC"/>
        </w:rPr>
        <w:t>.</w:t>
      </w:r>
    </w:p>
    <w:p w14:paraId="06B4C478" w14:textId="77777777" w:rsidR="001140A7" w:rsidRPr="001140A7" w:rsidRDefault="001140A7" w:rsidP="001140A7">
      <w:pPr>
        <w:rPr>
          <w:lang w:val="es-EC"/>
        </w:rPr>
      </w:pPr>
      <w:r w:rsidRPr="001140A7">
        <w:rPr>
          <w:lang w:val="es-EC"/>
        </w:rPr>
        <w:t>Como objetivos específicos, se plantean los siguientes:</w:t>
      </w:r>
    </w:p>
    <w:p w14:paraId="3B2B2FE9" w14:textId="11683556" w:rsidR="002F2A3C" w:rsidRPr="002F2A3C" w:rsidRDefault="002F2A3C" w:rsidP="002F2A3C">
      <w:pPr>
        <w:pStyle w:val="Listadoajustado"/>
        <w:rPr>
          <w:lang w:val="es-EC"/>
        </w:rPr>
      </w:pPr>
      <w:r w:rsidRPr="002F2A3C">
        <w:rPr>
          <w:lang w:val="es-EC"/>
        </w:rPr>
        <w:t>Analizar la cosmovisión comunitaria como fundamento epistemológico y normativo de los sistemas de justicia indígena, identificando los principios que estructuran su comprensión de la autoridad, el conflicto, la responsabilidad y la regulación de la vida comunitaria.</w:t>
      </w:r>
    </w:p>
    <w:p w14:paraId="02D9C50E" w14:textId="647C820A" w:rsidR="002F2A3C" w:rsidRPr="002F2A3C" w:rsidRDefault="002F2A3C" w:rsidP="002F2A3C">
      <w:pPr>
        <w:pStyle w:val="Listadoajustado"/>
        <w:rPr>
          <w:lang w:val="es-EC"/>
        </w:rPr>
      </w:pPr>
      <w:r w:rsidRPr="002F2A3C">
        <w:rPr>
          <w:lang w:val="es-EC"/>
        </w:rPr>
        <w:t>Examinar las características de la racionalidad jurídica indígena, particularmente su dimensión colectiva, relacional y restaurativa, estableciendo sus diferencias conceptuales respecto de categorías predominantes en la tradición jurídica estatal.</w:t>
      </w:r>
    </w:p>
    <w:p w14:paraId="77696188" w14:textId="0C4AD35D" w:rsidR="002F2A3C" w:rsidRPr="002F2A3C" w:rsidRDefault="002F2A3C" w:rsidP="002F2A3C">
      <w:pPr>
        <w:pStyle w:val="Listadoajustado"/>
        <w:rPr>
          <w:lang w:val="es-EC"/>
        </w:rPr>
      </w:pPr>
      <w:r w:rsidRPr="002F2A3C">
        <w:rPr>
          <w:lang w:val="es-EC"/>
        </w:rPr>
        <w:t>Analizar las tensiones, puntos de encuentro y desafíos que surgen en la relación entre justicia indígena y derechos humanos, especialmente en los procesos de interpretación jurídica desarrollados dentro del Estado constitucional ecuatoriano.</w:t>
      </w:r>
    </w:p>
    <w:p w14:paraId="383B0751" w14:textId="75CBA2C6" w:rsidR="00857415" w:rsidRPr="002F2A3C" w:rsidRDefault="002F2A3C" w:rsidP="002F2A3C">
      <w:pPr>
        <w:pStyle w:val="Listadoajustado"/>
        <w:rPr>
          <w:lang w:val="es-EC"/>
        </w:rPr>
      </w:pPr>
      <w:r w:rsidRPr="002F2A3C">
        <w:rPr>
          <w:lang w:val="es-EC"/>
        </w:rPr>
        <w:t>Proponer criterios teóricos para una interpretación intercultural de los derechos humanos que permita articular sistemas normativos diversos, preservando la autonomía jurídica de los pueblos indígenas sin desatender la protección de los derechos fundamentales</w:t>
      </w:r>
      <w:r w:rsidR="001140A7" w:rsidRPr="002F2A3C">
        <w:rPr>
          <w:lang w:val="es-EC"/>
        </w:rPr>
        <w:t>.</w:t>
      </w:r>
    </w:p>
    <w:bookmarkEnd w:id="1"/>
    <w:p w14:paraId="2708A763" w14:textId="4D768474" w:rsidR="005A43E3" w:rsidRPr="005A43E3" w:rsidRDefault="005A43E3" w:rsidP="00857415">
      <w:pPr>
        <w:pStyle w:val="Ttulo1"/>
        <w:jc w:val="both"/>
      </w:pPr>
      <w:r>
        <w:t>3. Metodología</w:t>
      </w:r>
    </w:p>
    <w:p w14:paraId="712A23A2" w14:textId="7ED6A92E" w:rsidR="004874EE" w:rsidRPr="004874EE" w:rsidRDefault="00F13B97" w:rsidP="004874EE">
      <w:pPr>
        <w:pStyle w:val="NormalWeb"/>
        <w:spacing w:before="0" w:beforeAutospacing="0" w:after="0" w:afterAutospacing="0" w:line="276" w:lineRule="auto"/>
        <w:jc w:val="both"/>
      </w:pPr>
      <w:bookmarkStart w:id="2" w:name="_Hlk225931472"/>
      <w:r w:rsidRPr="00F13B97">
        <w:t>La</w:t>
      </w:r>
      <w:r w:rsidR="004874EE" w:rsidRPr="004874EE">
        <w:t xml:space="preserve"> investigación adopta un enfoque cualitativo, orientado a comprender e interpretar la cosmovisión comunitaria como fundamento de la </w:t>
      </w:r>
      <w:r w:rsidR="004874EE" w:rsidRPr="004874EE">
        <w:lastRenderedPageBreak/>
        <w:t>justicia indígena en el Ecuador y su articulación con los derechos humanos dentro de un contexto de pluralismo jurídico. Este enfoque resulta pertinente para el análisis de categorías jurídicas y culturales cuyo significado depende de los contextos normativos y sociales en los que se construyen (Creswell, 2009).</w:t>
      </w:r>
    </w:p>
    <w:p w14:paraId="78A5F7FB" w14:textId="77777777" w:rsidR="004874EE" w:rsidRPr="004874EE" w:rsidRDefault="004874EE" w:rsidP="004874EE">
      <w:pPr>
        <w:pStyle w:val="NormalWeb"/>
        <w:spacing w:before="0" w:beforeAutospacing="0" w:after="0" w:afterAutospacing="0" w:line="276" w:lineRule="auto"/>
        <w:jc w:val="both"/>
      </w:pPr>
      <w:r w:rsidRPr="004874EE">
        <w:t>Desde el ámbito jurídico, el estudio se desarrolla mediante una investigación doctrinal, centrada en el examen sistemático y crítico de fuentes normativas y académicas relacionadas con justicia indígena, pluralismo jurídico, interculturalidad y derechos humanos. Este tipo de investigación permite identificar cómo se construyen determinadas categorías jurídicas y analizar las tensiones que surgen cuando interactúan sistemas normativos diversos (</w:t>
      </w:r>
      <w:proofErr w:type="spellStart"/>
      <w:r w:rsidRPr="004874EE">
        <w:t>Langbroek</w:t>
      </w:r>
      <w:proofErr w:type="spellEnd"/>
      <w:r w:rsidRPr="004874EE">
        <w:t xml:space="preserve"> et al., 2017).</w:t>
      </w:r>
    </w:p>
    <w:p w14:paraId="12275B63" w14:textId="77777777" w:rsidR="004874EE" w:rsidRPr="004874EE" w:rsidRDefault="004874EE" w:rsidP="004874EE">
      <w:pPr>
        <w:pStyle w:val="NormalWeb"/>
        <w:spacing w:before="0" w:beforeAutospacing="0" w:after="0" w:afterAutospacing="0" w:line="276" w:lineRule="auto"/>
        <w:jc w:val="both"/>
      </w:pPr>
      <w:r w:rsidRPr="004874EE">
        <w:t>Asimismo, se emplea un enfoque teórico-interpretativo para examinar la cosmovisión comunitaria como marco desde el cual adquieren significado instituciones y prácticas propias de la justicia indígena. El estudio no pretende reconstruir empíricamente las prácticas de una comunidad específica, sino analizar categorías teóricas vinculadas con autoridad, responsabilidad, reparación, conflicto y armonía comunitaria.</w:t>
      </w:r>
    </w:p>
    <w:p w14:paraId="0AE99A8B" w14:textId="77777777" w:rsidR="004874EE" w:rsidRPr="004874EE" w:rsidRDefault="004874EE" w:rsidP="004874EE">
      <w:pPr>
        <w:pStyle w:val="NormalWeb"/>
        <w:spacing w:before="0" w:beforeAutospacing="0" w:after="0" w:afterAutospacing="0" w:line="276" w:lineRule="auto"/>
        <w:jc w:val="both"/>
      </w:pPr>
      <w:r w:rsidRPr="004874EE">
        <w:t>Las fuentes utilizadas son documentales e incluyen literatura especializada, normativa constitucional ecuatoriana e instrumentos internacionales relevantes, entre ellos el Convenio Núm. 169 de la Organización Internacional del Trabajo y la Declaración de las Naciones Unidas sobre los Derechos de los Pueblos Indígenas.</w:t>
      </w:r>
    </w:p>
    <w:p w14:paraId="3EDA751A" w14:textId="77777777" w:rsidR="004874EE" w:rsidRPr="004874EE" w:rsidRDefault="004874EE" w:rsidP="004874EE">
      <w:pPr>
        <w:pStyle w:val="NormalWeb"/>
        <w:spacing w:before="0" w:beforeAutospacing="0" w:after="0" w:afterAutospacing="0" w:line="276" w:lineRule="auto"/>
        <w:jc w:val="both"/>
      </w:pPr>
      <w:r w:rsidRPr="004874EE">
        <w:t>La información se examina mediante análisis documental cualitativo, entendido como un proceso de selección, revisión e interpretación de documentos que permite identificar categorías y relaciones relevantes para el problema investigado (Bowen, 2009). A partir de este procedimiento se analizan la cosmovisión comunitaria, la racionalidad jurídica indígena, el pluralismo jurídico, los derechos humanos y la interpretación intercultural.</w:t>
      </w:r>
    </w:p>
    <w:p w14:paraId="658F8A28" w14:textId="4856E3AB" w:rsidR="00857415" w:rsidRDefault="004874EE" w:rsidP="004874EE">
      <w:pPr>
        <w:pStyle w:val="NormalWeb"/>
        <w:spacing w:before="0" w:beforeAutospacing="0" w:after="0" w:afterAutospacing="0" w:line="276" w:lineRule="auto"/>
        <w:jc w:val="both"/>
      </w:pPr>
      <w:r w:rsidRPr="004874EE">
        <w:t xml:space="preserve">Finalmente, se contrastan fuentes doctrinales, normativas e internacionales con el propósito de evitar que la interpretación dependa de un único marco explicativo. Este procedimiento permite sustentar </w:t>
      </w:r>
      <w:r w:rsidRPr="004874EE">
        <w:lastRenderedPageBreak/>
        <w:t>una lectura crítica de la relación entre autonomía jurídica indígena y derechos humanos y aportar bases para la formulación de criterios de interpretación intercultural</w:t>
      </w:r>
      <w:bookmarkEnd w:id="2"/>
      <w:r>
        <w:t>.</w:t>
      </w:r>
    </w:p>
    <w:p w14:paraId="06911DC9" w14:textId="77777777" w:rsidR="00857415" w:rsidRDefault="00857415" w:rsidP="00857415">
      <w:pPr>
        <w:pStyle w:val="z-Principiodelformulario"/>
      </w:pPr>
      <w:r>
        <w:t>Principio del formulario</w:t>
      </w:r>
    </w:p>
    <w:p w14:paraId="08306C5C" w14:textId="77777777" w:rsidR="00857415" w:rsidRDefault="00857415" w:rsidP="00857415">
      <w:pPr>
        <w:pStyle w:val="z-Finaldelformulario"/>
      </w:pPr>
      <w:r>
        <w:t>Final del formulario</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09F694EB" w14:textId="71361B86" w:rsidR="001D088A" w:rsidRPr="006C578E" w:rsidRDefault="001D088A" w:rsidP="001D088A">
      <w:pPr>
        <w:pStyle w:val="Ttulo2"/>
        <w:rPr>
          <w:sz w:val="18"/>
          <w:szCs w:val="20"/>
          <w:shd w:val="clear" w:color="auto" w:fill="FFFFFF"/>
          <w:lang w:val="es-EC"/>
        </w:rPr>
      </w:pPr>
      <w:bookmarkStart w:id="3" w:name="_Hlk225931541"/>
      <w:r w:rsidRPr="006C578E">
        <w:rPr>
          <w:sz w:val="18"/>
          <w:szCs w:val="20"/>
          <w:shd w:val="clear" w:color="auto" w:fill="FFFFFF"/>
          <w:lang w:val="es-EC"/>
        </w:rPr>
        <w:t>4.1. FUNDAMENTOS TEÓRICOS DE LA COSMOVISIÓN COMUNITARIA EN LA JUSTICIA INDÍGENA</w:t>
      </w:r>
    </w:p>
    <w:p w14:paraId="53BBA07F" w14:textId="77777777" w:rsidR="001D088A" w:rsidRPr="001D088A" w:rsidRDefault="001D088A" w:rsidP="001D088A">
      <w:pPr>
        <w:pStyle w:val="Ttulo3"/>
        <w:rPr>
          <w:lang w:val="es-EC"/>
        </w:rPr>
      </w:pPr>
      <w:r w:rsidRPr="001D088A">
        <w:rPr>
          <w:lang w:val="es-EC"/>
        </w:rPr>
        <w:t>4.1.1. La cosmovisión comunitaria como estructura normativa</w:t>
      </w:r>
    </w:p>
    <w:p w14:paraId="4A65CB0C" w14:textId="54DECA8E" w:rsidR="00215C44" w:rsidRPr="00215C44" w:rsidRDefault="001D088A" w:rsidP="00215C44">
      <w:pPr>
        <w:spacing w:before="0" w:after="0"/>
        <w:rPr>
          <w:rFonts w:eastAsia="SimSun" w:cstheme="majorBidi"/>
          <w:szCs w:val="32"/>
          <w:shd w:val="clear" w:color="auto" w:fill="FFFFFF"/>
          <w:lang w:val="es-EC"/>
          <w14:numForm w14:val="lining"/>
        </w:rPr>
      </w:pPr>
      <w:r w:rsidRPr="001D088A">
        <w:rPr>
          <w:rFonts w:eastAsia="SimSun" w:cstheme="majorBidi"/>
          <w:szCs w:val="32"/>
          <w:shd w:val="clear" w:color="auto" w:fill="FFFFFF"/>
          <w:lang w:val="es-EC"/>
          <w14:numForm w14:val="lining"/>
        </w:rPr>
        <w:t xml:space="preserve">El </w:t>
      </w:r>
      <w:r w:rsidR="00215C44" w:rsidRPr="00215C44">
        <w:rPr>
          <w:rFonts w:eastAsia="SimSun" w:cstheme="majorBidi"/>
          <w:szCs w:val="32"/>
          <w:shd w:val="clear" w:color="auto" w:fill="FFFFFF"/>
          <w:lang w:val="es-EC"/>
          <w14:numForm w14:val="lining"/>
        </w:rPr>
        <w:t>análisis de la justicia indígena exige comprender la cosmovisión comunitaria más allá de su dimensión cultural o simbólica. Su relevancia jurídica radica en que proporciona marcos de comprensión desde los cuales adquieren significado la autoridad, las obligaciones, el conflicto y las respuestas frente a su ruptura. De esta manera, la juridicidad no se construye necesariamente mediante la separación entre norma, sociedad y cultura característica del derecho estatal moderno, sino dentro de relaciones comunitarias en las que tales dimensiones pueden encontrarse estrechamente vinculadas. La cosmovisión actúa, por ello, como una matriz desde la cual determinadas prácticas sociales adquieren fuerza normativa.</w:t>
      </w:r>
    </w:p>
    <w:p w14:paraId="3E2B60DA" w14:textId="77777777" w:rsidR="00215C44" w:rsidRPr="00215C44" w:rsidRDefault="00215C44" w:rsidP="00215C44">
      <w:pPr>
        <w:spacing w:before="0" w:after="0"/>
        <w:rPr>
          <w:rFonts w:eastAsia="SimSun" w:cstheme="majorBidi"/>
          <w:szCs w:val="32"/>
          <w:shd w:val="clear" w:color="auto" w:fill="FFFFFF"/>
          <w:lang w:val="es-EC"/>
          <w14:numForm w14:val="lining"/>
        </w:rPr>
      </w:pPr>
      <w:r w:rsidRPr="00215C44">
        <w:rPr>
          <w:rFonts w:eastAsia="SimSun" w:cstheme="majorBidi"/>
          <w:szCs w:val="32"/>
          <w:shd w:val="clear" w:color="auto" w:fill="FFFFFF"/>
          <w:lang w:val="es-EC"/>
          <w14:numForm w14:val="lining"/>
        </w:rPr>
        <w:t>La antropología jurídica aportó tempranamente elementos para cuestionar la identificación del derecho exclusivamente con normas formalmente producidas por el Estado. Malinowski (1926), al estudiar las obligaciones existentes en sociedades no occidentales, mostró la importancia de las relaciones de reciprocidad, de los deberes mutuos y de los mecanismos sociales que aseguraban su cumplimiento. Su planteamiento permite advertir que la existencia de juridicidad no depende exclusivamente de la codificación de una regla, sino también de la capacidad de un sistema social para generar obligaciones reconocidas y mecanismos destinados a sostenerlas.</w:t>
      </w:r>
    </w:p>
    <w:p w14:paraId="212F6EB4" w14:textId="77777777" w:rsidR="00215C44" w:rsidRPr="00215C44" w:rsidRDefault="00215C44" w:rsidP="00215C44">
      <w:pPr>
        <w:spacing w:before="0" w:after="0"/>
        <w:rPr>
          <w:rFonts w:eastAsia="SimSun" w:cstheme="majorBidi"/>
          <w:szCs w:val="32"/>
          <w:shd w:val="clear" w:color="auto" w:fill="FFFFFF"/>
          <w:lang w:val="es-EC"/>
          <w14:numForm w14:val="lining"/>
        </w:rPr>
      </w:pPr>
      <w:r w:rsidRPr="00215C44">
        <w:rPr>
          <w:rFonts w:eastAsia="SimSun" w:cstheme="majorBidi"/>
          <w:szCs w:val="32"/>
          <w:shd w:val="clear" w:color="auto" w:fill="FFFFFF"/>
          <w:lang w:val="es-EC"/>
          <w14:numForm w14:val="lining"/>
        </w:rPr>
        <w:t xml:space="preserve">Esta constatación adquiere una consecuencia particular para el estudio de la justicia indígena: si la juridicidad se identifica únicamente mediante los atributos formales del derecho estatal, cualquier sistema que produzca obligaciones de otra manera aparecerá inevitablemente como incompleto. El problema no se encuentra, entonces, en la ausencia de </w:t>
      </w:r>
      <w:r w:rsidRPr="00215C44">
        <w:rPr>
          <w:rFonts w:eastAsia="SimSun" w:cstheme="majorBidi"/>
          <w:szCs w:val="32"/>
          <w:shd w:val="clear" w:color="auto" w:fill="FFFFFF"/>
          <w:lang w:val="es-EC"/>
          <w14:numForm w14:val="lining"/>
        </w:rPr>
        <w:lastRenderedPageBreak/>
        <w:t>norma, sino en el criterio utilizado para reconocer qué puede considerarse normativo. La cosmovisión comunitaria obliga a desplazar ese criterio hacia la función que cumplen las reglas, los valores y las decisiones dentro de las relaciones sociales que les otorgan sentido. Desde esta perspectiva, reciprocidad, solidaridad o equilibrio dejan de ser únicamente referencias culturales cuando operan como parámetros que orientan comportamientos, determinan responsabilidades o fundamentan respuestas comunitarias frente al conflicto.</w:t>
      </w:r>
    </w:p>
    <w:p w14:paraId="33B6AB42" w14:textId="77777777" w:rsidR="00215C44" w:rsidRPr="00215C44" w:rsidRDefault="00215C44" w:rsidP="00215C44">
      <w:pPr>
        <w:spacing w:before="0" w:after="0"/>
        <w:rPr>
          <w:rFonts w:eastAsia="SimSun" w:cstheme="majorBidi"/>
          <w:szCs w:val="32"/>
          <w:shd w:val="clear" w:color="auto" w:fill="FFFFFF"/>
          <w:lang w:val="es-EC"/>
          <w14:numForm w14:val="lining"/>
        </w:rPr>
      </w:pPr>
      <w:r w:rsidRPr="00215C44">
        <w:rPr>
          <w:rFonts w:eastAsia="SimSun" w:cstheme="majorBidi"/>
          <w:szCs w:val="32"/>
          <w:shd w:val="clear" w:color="auto" w:fill="FFFFFF"/>
          <w:lang w:val="es-EC"/>
          <w14:numForm w14:val="lining"/>
        </w:rPr>
        <w:t>Esta lectura encuentra un segundo sustento en el pluralismo jurídico. Griffiths (1986) cuestiona el centralismo jurídico, entendido como la idea de que el derecho es exclusivamente aquel producido y administrado por el Estado, y plantea la existencia de múltiples órdenes normativos dentro de un mismo espacio social. El aporte de esta tesis al análisis de la justicia indígena no consiste simplemente en aceptar que existen normas diferentes de las estatales. Su consecuencia más profunda es admitir que la producción de juridicidad puede responder a fuentes de legitimidad distintas y que, por tanto, el reconocimiento constitucional de la diversidad jurídica no debería depender de que los sistemas indígenas reproduzcan las categorías institucionales del orden estatal.</w:t>
      </w:r>
    </w:p>
    <w:p w14:paraId="01D4E1D7" w14:textId="77777777" w:rsidR="00215C44" w:rsidRPr="00215C44" w:rsidRDefault="00215C44" w:rsidP="00215C44">
      <w:pPr>
        <w:spacing w:before="0" w:after="0"/>
        <w:rPr>
          <w:rFonts w:eastAsia="SimSun" w:cstheme="majorBidi"/>
          <w:szCs w:val="32"/>
          <w:shd w:val="clear" w:color="auto" w:fill="FFFFFF"/>
          <w:lang w:val="es-EC"/>
          <w14:numForm w14:val="lining"/>
        </w:rPr>
      </w:pPr>
      <w:r w:rsidRPr="00215C44">
        <w:rPr>
          <w:rFonts w:eastAsia="SimSun" w:cstheme="majorBidi"/>
          <w:szCs w:val="32"/>
          <w:shd w:val="clear" w:color="auto" w:fill="FFFFFF"/>
          <w:lang w:val="es-EC"/>
          <w14:numForm w14:val="lining"/>
        </w:rPr>
        <w:t>Precisamente allí se encuentra una de las tensiones fundamentales del pluralismo jurídico ecuatoriano. Reconocer constitucionalmente una jurisdicción indígena, pero interpretar permanentemente sus instituciones mediante categorías externas, puede producir un reconocimiento formal acompañado de una subordinación material. La autonomía jurídica pierde parte de su contenido cuando una práctica solo es considerada legítima después de ser traducida a conceptos que pertenecen a otra racionalidad normativa. Esto no significa excluir a la justicia indígena de todo parámetro constitucional, sino advertir que la evaluación de sus actuaciones exige comprender primero el significado que estas poseen dentro del sistema en el que se originan.</w:t>
      </w:r>
    </w:p>
    <w:p w14:paraId="5EE8A6EE" w14:textId="77777777" w:rsidR="00215C44" w:rsidRPr="00215C44" w:rsidRDefault="00215C44" w:rsidP="00215C44">
      <w:pPr>
        <w:spacing w:before="0" w:after="0"/>
        <w:rPr>
          <w:rFonts w:eastAsia="SimSun" w:cstheme="majorBidi"/>
          <w:szCs w:val="32"/>
          <w:shd w:val="clear" w:color="auto" w:fill="FFFFFF"/>
          <w:lang w:val="es-EC"/>
          <w14:numForm w14:val="lining"/>
        </w:rPr>
      </w:pPr>
      <w:r w:rsidRPr="00215C44">
        <w:rPr>
          <w:rFonts w:eastAsia="SimSun" w:cstheme="majorBidi"/>
          <w:szCs w:val="32"/>
          <w:shd w:val="clear" w:color="auto" w:fill="FFFFFF"/>
          <w:lang w:val="es-EC"/>
          <w14:numForm w14:val="lining"/>
        </w:rPr>
        <w:t>La discusión alcanza también una dimensión epistemológica. Santos (2010) cuestiona las formas de conocimiento que convierten determinados saberes y experiencias en inexistentes o jurídicamente irrelevantes al situarlos fuera de los parámetros dominantes de comprensión. Aplicada al campo jurídico, esta crítica permite observar que el pro</w:t>
      </w:r>
      <w:r w:rsidRPr="00215C44">
        <w:rPr>
          <w:rFonts w:eastAsia="SimSun" w:cstheme="majorBidi"/>
          <w:szCs w:val="32"/>
          <w:shd w:val="clear" w:color="auto" w:fill="FFFFFF"/>
          <w:lang w:val="es-EC"/>
          <w14:numForm w14:val="lining"/>
        </w:rPr>
        <w:lastRenderedPageBreak/>
        <w:t>blema del pluralismo no se agota en admitir múltiples fuentes normativas; exige también reconocer que existen distintas formas de conocer y construir lo jurídico. En consecuencia, considerar la cosmovisión comunitaria como fuente de inteligibilidad del derecho indígena evita reducirla a un dato cultural que el intérprete estatal observa desde fuera.</w:t>
      </w:r>
    </w:p>
    <w:p w14:paraId="0C5A0955" w14:textId="37A270D8" w:rsidR="00395052" w:rsidRPr="001D088A" w:rsidRDefault="00215C44" w:rsidP="00215C44">
      <w:pPr>
        <w:spacing w:before="0" w:after="0"/>
        <w:rPr>
          <w:rFonts w:eastAsia="SimSun" w:cstheme="majorBidi"/>
          <w:szCs w:val="32"/>
          <w:shd w:val="clear" w:color="auto" w:fill="FFFFFF"/>
          <w:lang w:val="es-EC"/>
          <w14:numForm w14:val="lining"/>
        </w:rPr>
      </w:pPr>
      <w:r w:rsidRPr="00215C44">
        <w:rPr>
          <w:rFonts w:eastAsia="SimSun" w:cstheme="majorBidi"/>
          <w:szCs w:val="32"/>
          <w:shd w:val="clear" w:color="auto" w:fill="FFFFFF"/>
          <w:lang w:val="es-EC"/>
          <w14:numForm w14:val="lining"/>
        </w:rPr>
        <w:t>La cosmovisión comunitaria puede ser entendida, por tanto, como una estructura normativa en la medida en que proporciona criterios para atribuir significado a obligaciones, autoridades, conflictos y respuestas comunitarias. Su reconocimiento transforma la comprensión del pluralismo jurídico: ya no se trata únicamente de permitir la coexistencia de determinadas prácticas indígenas junto al derecho estatal, sino de aceptar que esas prácticas pueden responder a una racionalidad jurídica propia. Esta conclusión constituye el punto de partida para examinar, a continuación, los principios que caracterizan esa racionalidad y la forma en que la colectividad, la relación comunitaria y la restauración del equilibrio inciden en su comprensión de la justicia.</w:t>
      </w:r>
    </w:p>
    <w:p w14:paraId="356E8815" w14:textId="77777777" w:rsidR="009166C8" w:rsidRPr="009166C8" w:rsidRDefault="009166C8" w:rsidP="009166C8">
      <w:pPr>
        <w:pStyle w:val="Ttulo3"/>
        <w:jc w:val="both"/>
        <w:rPr>
          <w:lang w:val="es-EC"/>
        </w:rPr>
      </w:pPr>
      <w:r w:rsidRPr="009166C8">
        <w:rPr>
          <w:lang w:val="es-EC"/>
        </w:rPr>
        <w:t>4.1.2. La racionalidad jurídica indígena: principios de colectividad, armonía y restauración</w:t>
      </w:r>
    </w:p>
    <w:p w14:paraId="2DDC525C" w14:textId="42823DFA"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t>Comprender la justicia indígena exige avanzar desde la cosmovisión comunitaria como estructura normativa hacia la racionalidad jurídica que se construye a partir de ella. Esta racionalidad involucra una forma particular de comprender la responsabilidad, el conflicto y la finalidad de la intervención comunitaria. Entre sus elementos más relevantes se encuentran la colectividad, la armonía y la restauración de los vínculos afectados.</w:t>
      </w:r>
    </w:p>
    <w:p w14:paraId="78505C79" w14:textId="77777777"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t>La colectividad constituye una categoría central porque la conducta individual se interpreta dentro de las relaciones que vinculan a la persona con su comunidad. Malinowski (1926) mostró que determinadas obligaciones sociales adquieren fuerza al insertarse en redes de reciprocidad y dependencia mutua. Esta perspectiva permite comprender que la responsabilidad puede trascender la relación entre infractor y afectado e incorporar las consecuencias que el conflicto produce sobre el conjunto de relaciones sociales.</w:t>
      </w:r>
    </w:p>
    <w:p w14:paraId="3DF891FB" w14:textId="77777777"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lastRenderedPageBreak/>
        <w:t>La consecuencia jurídica de esta dimensión es relevante: cuando el conflicto se concibe como una alteración de vínculos comunitarios, la respuesta no se agota en atribuir responsabilidad y establecer una consecuencia, sino que puede orientarse también a recomponer las relaciones afectadas. La colectividad no elimina la responsabilidad individual, pero amplía el espacio en el que esta adquiere significado.</w:t>
      </w:r>
    </w:p>
    <w:p w14:paraId="04052620" w14:textId="77777777"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t>La armonía se vincula directamente con esta lógica relacional. En determinados sistemas de justicia indígena ecuatorianos, la resolución de conflictos busca restablecer condiciones de convivencia y no únicamente identificar una infracción. La literatura especializada sobre justicia indígena en Ecuador destaca la necesidad de comprender estas prácticas dentro de sus contextos comunitarios y desde la lógica que les otorga sentido (Santos &amp; Grijalva, 2012).</w:t>
      </w:r>
    </w:p>
    <w:p w14:paraId="5494483B" w14:textId="77777777"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t>Desde esta perspectiva, la armonía no significa ausencia de conflicto, sino gestión de la ruptura producida por este. De allí que algunas respuestas comunitarias incorporen componentes de reparación, reintegración o restablecimiento de relaciones. Lo relevante es advertir que su finalidad puede responder a criterios distintos de aquellos centrados exclusivamente en la imposición de una consecuencia individual.</w:t>
      </w:r>
    </w:p>
    <w:p w14:paraId="57A3D886" w14:textId="77777777"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t>La restauración completa esta racionalidad. Su importancia no radica únicamente en la existencia de medidas reparadoras, sino en la función que cumplen dentro del orden comunitario. Restaurar supone intervenir sobre las consecuencias sociales del conflicto y no solo sobre la conducta de quien lo produjo. Por ello, sanción y restauración no deben entenderse como categorías necesariamente excluyentes: una medida puede tener un componente sancionador y, al mismo tiempo, perseguir la recomposición de relaciones comunitarias.</w:t>
      </w:r>
    </w:p>
    <w:p w14:paraId="43B66565" w14:textId="77777777"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t>Esta lectura evita también una oposición simplificadora entre justicia indígena y derecho estatal. Los sistemas jurídicos contemporáneos incorporan mecanismos restaurativos y formas alternativas de solución de conflictos; la diferencia se encuentra, más bien, en el lugar estructural que la relación comunitaria ocupa dentro de determinadas concepciones indígenas de justicia.</w:t>
      </w:r>
    </w:p>
    <w:p w14:paraId="475CAFEE" w14:textId="77777777" w:rsidR="008A7931" w:rsidRPr="008A7931"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lastRenderedPageBreak/>
        <w:t>La autonomía conceptual de estos sistemas no implica, sin embargo, que sus prácticas queden fuera de toda evaluación jurídica. El desafío consiste en comprender su racionalidad antes de valorar su compatibilidad con otros parámetros normativos. Esta cuestión será especialmente relevante al examinar la relación entre justicia indígena y derechos humanos.</w:t>
      </w:r>
    </w:p>
    <w:p w14:paraId="57965CCC" w14:textId="51ABAFC0" w:rsidR="009166C8" w:rsidRPr="009166C8" w:rsidRDefault="008A7931" w:rsidP="008A7931">
      <w:pPr>
        <w:spacing w:before="0" w:after="0"/>
        <w:rPr>
          <w:rFonts w:eastAsia="Aptos" w:cs="Times New Roman"/>
          <w:spacing w:val="0"/>
          <w:kern w:val="2"/>
          <w:sz w:val="24"/>
          <w:szCs w:val="24"/>
          <w:lang w:val="es-EC"/>
          <w14:ligatures w14:val="standardContextual"/>
          <w14:numForm w14:val="default"/>
        </w:rPr>
      </w:pPr>
      <w:r w:rsidRPr="008A7931">
        <w:rPr>
          <w:rFonts w:eastAsia="Aptos" w:cs="Times New Roman"/>
          <w:spacing w:val="0"/>
          <w:kern w:val="2"/>
          <w:sz w:val="24"/>
          <w:szCs w:val="24"/>
          <w:lang w:val="es-EC"/>
          <w14:ligatures w14:val="standardContextual"/>
          <w14:numForm w14:val="default"/>
        </w:rPr>
        <w:t>En suma, colectividad, armonía y restauración constituyen categorías útiles para explicar una racionalidad jurídica en la que el conflicto adquiere significado dentro de una red de relaciones comunitarias. Su identificación permite comprender la justicia indígena desde sus propios fundamentos y evita que el pluralismo jurídico se reduzca a un reconocimiento formal interpretado exclusivamente desde parámetros externos.</w:t>
      </w:r>
    </w:p>
    <w:p w14:paraId="0D70D8A9" w14:textId="77777777" w:rsidR="00EE7B3C" w:rsidRPr="00EE7B3C" w:rsidRDefault="00EE7B3C" w:rsidP="00EE7B3C">
      <w:pPr>
        <w:pStyle w:val="Ttulo3"/>
        <w:jc w:val="both"/>
        <w:rPr>
          <w:lang w:val="es-EC"/>
        </w:rPr>
      </w:pPr>
      <w:r w:rsidRPr="00EE7B3C">
        <w:rPr>
          <w:lang w:val="es-EC"/>
        </w:rPr>
        <w:t>4.1.3. Cosmovisión comunitaria y producción del conocimiento jurídico: hacia una epistemología intercultural</w:t>
      </w:r>
    </w:p>
    <w:p w14:paraId="61F140B7" w14:textId="3A21A3EE" w:rsidR="0051450B" w:rsidRPr="0051450B"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La dimensión normativa de la cosmovisión comunitaria conduce a una cuestión adicional: determinar desde qué formas de conocimiento se construye e interpreta lo jurídico. La justicia indígena no solo expresa reglas, autoridades o procedimientos diferenciados, sino también marcos de comprensión mediante los cuales una comunidad atribuye significado a la responsabilidad, la reparación, la legitimidad de la autoridad y la solución del conflicto. Por ello, reconocer una racionalidad jurídica indígena exige examinar también las condiciones epistemológicas desde las cuales esa racionalidad puede ser comprendida como jurídicamente válida.</w:t>
      </w:r>
    </w:p>
    <w:p w14:paraId="7F4C9BBF" w14:textId="77777777" w:rsidR="0051450B" w:rsidRPr="0051450B"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 xml:space="preserve">El pensamiento decolonial permite identificar uno de los principales obstáculos para este reconocimiento. Quijano (2000) relaciona la </w:t>
      </w:r>
      <w:proofErr w:type="spellStart"/>
      <w:r w:rsidRPr="0051450B">
        <w:rPr>
          <w:rFonts w:eastAsia="Aptos" w:cs="Times New Roman"/>
          <w:spacing w:val="0"/>
          <w:kern w:val="2"/>
          <w:sz w:val="24"/>
          <w:szCs w:val="24"/>
          <w:lang w:val="es-EC"/>
          <w14:ligatures w14:val="standardContextual"/>
          <w14:numForm w14:val="default"/>
        </w:rPr>
        <w:t>colonialidad</w:t>
      </w:r>
      <w:proofErr w:type="spellEnd"/>
      <w:r w:rsidRPr="0051450B">
        <w:rPr>
          <w:rFonts w:eastAsia="Aptos" w:cs="Times New Roman"/>
          <w:spacing w:val="0"/>
          <w:kern w:val="2"/>
          <w:sz w:val="24"/>
          <w:szCs w:val="24"/>
          <w:lang w:val="es-EC"/>
          <w14:ligatures w14:val="standardContextual"/>
          <w14:numForm w14:val="default"/>
        </w:rPr>
        <w:t xml:space="preserve"> del poder con la consolidación de una racionalidad eurocéntrica que adquirió capacidad para definir qué conocimientos podían presentarse como universales y cuáles quedaban relegados a posiciones subordinadas. </w:t>
      </w:r>
      <w:proofErr w:type="spellStart"/>
      <w:r w:rsidRPr="0051450B">
        <w:rPr>
          <w:rFonts w:eastAsia="Aptos" w:cs="Times New Roman"/>
          <w:spacing w:val="0"/>
          <w:kern w:val="2"/>
          <w:sz w:val="24"/>
          <w:szCs w:val="24"/>
          <w:lang w:val="es-EC"/>
          <w14:ligatures w14:val="standardContextual"/>
          <w14:numForm w14:val="default"/>
        </w:rPr>
        <w:t>Mignolo</w:t>
      </w:r>
      <w:proofErr w:type="spellEnd"/>
      <w:r w:rsidRPr="0051450B">
        <w:rPr>
          <w:rFonts w:eastAsia="Aptos" w:cs="Times New Roman"/>
          <w:spacing w:val="0"/>
          <w:kern w:val="2"/>
          <w:sz w:val="24"/>
          <w:szCs w:val="24"/>
          <w:lang w:val="es-EC"/>
          <w14:ligatures w14:val="standardContextual"/>
          <w14:numForm w14:val="default"/>
        </w:rPr>
        <w:t xml:space="preserve"> (2007), desde una perspectiva seme</w:t>
      </w:r>
      <w:r w:rsidRPr="0051450B">
        <w:rPr>
          <w:rFonts w:eastAsia="Aptos" w:cs="Times New Roman"/>
          <w:spacing w:val="0"/>
          <w:kern w:val="2"/>
          <w:sz w:val="24"/>
          <w:szCs w:val="24"/>
          <w:lang w:val="es-EC"/>
          <w14:ligatures w14:val="standardContextual"/>
          <w14:numForm w14:val="default"/>
        </w:rPr>
        <w:lastRenderedPageBreak/>
        <w:t>jante, plantea la necesidad de desprender la producción del conocimiento de una única matriz epistemológica y reconocer conocimientos construidos desde experiencias históricas situadas.</w:t>
      </w:r>
    </w:p>
    <w:p w14:paraId="38FFE479" w14:textId="77777777" w:rsidR="0051450B" w:rsidRPr="0051450B"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La incidencia de este planteamiento en el ámbito jurídico es especialmente relevante. Si la validez del conocimiento sobre el derecho depende exclusivamente de categorías desarrolladas por la tradición jurídica estatal, las formas indígenas de comprender la autoridad, el conflicto o la reparación solo pueden ser reconocidas después de ser traducidas a parámetros externos. En ese escenario, el pluralismo corre el riesgo de admitir la existencia de otros sistemas jurídicos sin reconocerles capacidad para producir conceptos propios sobre lo que constituye derecho. La subordinación, por tanto, puede producirse no solo en el plano normativo, sino también en el epistemológico.</w:t>
      </w:r>
    </w:p>
    <w:p w14:paraId="4BECD9FC" w14:textId="77777777" w:rsidR="0051450B" w:rsidRPr="0051450B"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Esta problemática puede observarse desde la teoría de los campos sociales semiautónomos formulada por Moore (1973), quien demuestra que determinados grupos sociales poseen capacidad para generar reglas y mecanismos destinados a inducir o asegurar su cumplimiento, aun cuando se encuentren insertos dentro de estructuras jurídicas más amplias. El interés de esta perspectiva para la justicia indígena reside en que permite separar dos cuestiones que suelen confundirse: la existencia de reconocimiento estatal y la capacidad social de producir normatividad. Un sistema comunitario no adquiere necesariamente su juridicidad porque el Estado la conceda; el reconocimiento constitucional puede, más bien, admitir jurídicamente una capacidad normativa que ya existe en el espacio comunitario.</w:t>
      </w:r>
    </w:p>
    <w:p w14:paraId="58738531" w14:textId="77777777" w:rsidR="0051450B" w:rsidRPr="0051450B"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Desde este punto de vista, una epistemología intercultural no debería limitarse a incorporar referencias culturales indígenas dentro de categorías jurídicas previamente definidas. Su función sería más exigente: permitir que distintas racionalidades participen en la determinación del significado de los conceptos jurídicos puestos en relación. Walsh (2009) entiende la interculturalidad crítica como un proyecto que cuestiona las relaciones históricas de desigualdad entre conocimientos y no simplemente como coexistencia o contacto entre cultu</w:t>
      </w:r>
      <w:r w:rsidRPr="0051450B">
        <w:rPr>
          <w:rFonts w:eastAsia="Aptos" w:cs="Times New Roman"/>
          <w:spacing w:val="0"/>
          <w:kern w:val="2"/>
          <w:sz w:val="24"/>
          <w:szCs w:val="24"/>
          <w:lang w:val="es-EC"/>
          <w14:ligatures w14:val="standardContextual"/>
          <w14:numForm w14:val="default"/>
        </w:rPr>
        <w:lastRenderedPageBreak/>
        <w:t>ras. Trasladado al campo jurídico, ello implica que el diálogo intercultural pierde sentido si una de las partes conserva de antemano la potestad exclusiva de determinar qué interpretación es jurídicamente válida.</w:t>
      </w:r>
    </w:p>
    <w:p w14:paraId="62C9912D" w14:textId="77777777" w:rsidR="0051450B" w:rsidRPr="0051450B"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Aquí aparece una distinción central para este capítulo. Reconocer epistemológicamente la justicia indígena no significa convertir toda práctica comunitaria en jurídicamente incuestionable. Significa modificar el punto de partida de la evaluación: antes de determinar la compatibilidad de una decisión indígena con los derechos humanos, es necesario comprender el significado que esa decisión posee dentro de la racionalidad jurídica que la produce. De lo contrario, la interpretación puede confundir diferencia conceptual con vulneración jurídica.</w:t>
      </w:r>
    </w:p>
    <w:p w14:paraId="69D34629" w14:textId="77777777" w:rsidR="0051450B" w:rsidRPr="0051450B"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La propuesta de Santos (2010) sobre la necesidad de ampliar los horizontes de producción del conocimiento resulta pertinente en este punto. Su crítica a las formas de exclusión epistemológica permite comprender que un pluralismo efectivo requiere algo más que reconocer normas provenientes de diferentes comunidades: exige admitir la posibilidad de que también existan formas distintas de conceptualizar y argumentar jurídicamente. La interculturalidad adquiere así una dimensión epistemológica, porque obliga al intérprete a confrontar sus propias categorías antes de utilizarlas como parámetro universal de valoración.</w:t>
      </w:r>
    </w:p>
    <w:p w14:paraId="36B46196" w14:textId="07DAF019" w:rsidR="00EE7B3C" w:rsidRPr="00EE7B3C" w:rsidRDefault="0051450B" w:rsidP="0051450B">
      <w:pPr>
        <w:spacing w:before="0" w:after="0"/>
        <w:rPr>
          <w:rFonts w:eastAsia="Aptos" w:cs="Times New Roman"/>
          <w:spacing w:val="0"/>
          <w:kern w:val="2"/>
          <w:sz w:val="24"/>
          <w:szCs w:val="24"/>
          <w:lang w:val="es-EC"/>
          <w14:ligatures w14:val="standardContextual"/>
          <w14:numForm w14:val="default"/>
        </w:rPr>
      </w:pPr>
      <w:r w:rsidRPr="0051450B">
        <w:rPr>
          <w:rFonts w:eastAsia="Aptos" w:cs="Times New Roman"/>
          <w:spacing w:val="0"/>
          <w:kern w:val="2"/>
          <w:sz w:val="24"/>
          <w:szCs w:val="24"/>
          <w:lang w:val="es-EC"/>
          <w14:ligatures w14:val="standardContextual"/>
          <w14:numForm w14:val="default"/>
        </w:rPr>
        <w:t>En consecuencia, la cosmovisión comunitaria interviene tanto en la producción normativa como en la construcción del conocimiento que permite interpretar esa normatividad. Una epistemología intercultural del derecho no pretende sustituir una racionalidad por otra, sino impedir que una de ellas sea considerada previamente como la única capaz de definir el sentido de lo jurídico. Esta conclusión permite cerrar el fundamento teórico de la justicia indígena y abre el problema que corresponde examinar a continuación: cómo relacionar esta autonomía normativa y epistemológica con los derechos humanos sin que ni la diversidad cultural ni la protección de derechos se conviertan en argumentos absolutos.</w:t>
      </w:r>
    </w:p>
    <w:p w14:paraId="37B07F45" w14:textId="77777777" w:rsidR="007E73A0" w:rsidRPr="007E73A0" w:rsidRDefault="007E73A0" w:rsidP="007E73A0">
      <w:pPr>
        <w:pStyle w:val="Ttulo2"/>
        <w:rPr>
          <w:lang w:val="es-EC"/>
        </w:rPr>
      </w:pPr>
      <w:r w:rsidRPr="007E73A0">
        <w:rPr>
          <w:lang w:val="es-EC"/>
        </w:rPr>
        <w:lastRenderedPageBreak/>
        <w:t>4.2. Relación entre cosmovisión comunitaria y derechos humanos</w:t>
      </w:r>
    </w:p>
    <w:p w14:paraId="090F3E2E" w14:textId="246F3118" w:rsidR="007E73A0" w:rsidRPr="007E73A0" w:rsidRDefault="007E73A0" w:rsidP="006C578E">
      <w:pPr>
        <w:pStyle w:val="Ttulo3"/>
        <w:jc w:val="both"/>
        <w:rPr>
          <w:lang w:val="es-EC"/>
        </w:rPr>
      </w:pPr>
      <w:r w:rsidRPr="007E73A0">
        <w:rPr>
          <w:lang w:val="es-EC"/>
        </w:rPr>
        <w:t xml:space="preserve">4.2.1. </w:t>
      </w:r>
      <w:r w:rsidR="00703BFD" w:rsidRPr="00703BFD">
        <w:rPr>
          <w:lang w:val="es-EC"/>
        </w:rPr>
        <w:t>Universalidad de los derechos humanos y particularismo cultural</w:t>
      </w:r>
    </w:p>
    <w:p w14:paraId="413167C2" w14:textId="10EB9184"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La relación entre justicia indígena y derechos humanos plantea una de las tensiones centrales del pluralismo jurídico: cómo sostener la universalidad de determinados derechos y, simultáneamente, reconocer que su interpretación y aplicación se producen dentro de contextos culturales y jurídicos diferenciados. El problema no consiste en decidir si los pueblos indígenas quedan sujetos o no a los derechos humanos, sino en determinar de qué manera esos derechos pueden operar como garantías universales sin convertirse en instrumentos de homogeneización jurídica.</w:t>
      </w:r>
    </w:p>
    <w:p w14:paraId="1F6652D2"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La teoría contemporánea de los derechos humanos ha debido responder precisamente a esta tensión. Donnelly (2003) defiende la universalidad de los derechos humanos, pero aborda también los cuestionamientos derivados del relativismo cultural y de la diversidad de concepciones sobre la dignidad y la organización social. La existencia de diferentes tradiciones culturales no elimina, desde esta perspectiva, la posibilidad de reconocer derechos universales, aunque obliga a distinguir entre la universalidad del derecho protegido y las formas históricas o institucionales mediante las cuales ese derecho puede concretarse.</w:t>
      </w:r>
    </w:p>
    <w:p w14:paraId="338417DC"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Esta distinción resulta especialmente útil para la justicia indígena. Si se identifica la universalidad con una única forma de aplicación, la protección de los derechos termina condicionada a la reproducción de instituciones y categorías propias del derecho estatal. La universalidad se transforma entonces en uniformidad. Desde una perspectiva intercultural, ambas nociones deben separarse: un derecho puede poseer pretensión universal y, al mismo tiempo, admitir modalidades distintas de realización compatibles con la dignidad de las personas y con la autonomía colectiva.</w:t>
      </w:r>
    </w:p>
    <w:p w14:paraId="6D941707"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lastRenderedPageBreak/>
        <w:t>El derecho internacional de los pueblos indígenas aporta elementos para esta lectura. Anaya (2004) muestra cómo la evolución del derecho internacional ha transitado desde estructuras históricamente vinculadas con la colonización hacia un reconocimiento progresivo de los pueblos indígenas como comunidades con derecho a conservar sus instituciones y participar en la determinación de sus propios asuntos. Esto modifica el problema tradicional de los derechos humanos: la protección del individuo no puede analizarse completamente al margen de las estructuras colectivas que hacen posible su identidad, pertenencia y participación comunitaria.</w:t>
      </w:r>
    </w:p>
    <w:p w14:paraId="65446C04"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 xml:space="preserve">La dimensión colectiva no debe interpretarse, sin embargo, como una excepción que neutraliza los derechos individuales. El desafío consiste precisamente en evitar que la defensa de la autonomía cultural o comunitaria se convierta en una justificación automática frente a posibles afectaciones de derechos. </w:t>
      </w:r>
      <w:proofErr w:type="spellStart"/>
      <w:r w:rsidRPr="00703BFD">
        <w:rPr>
          <w:rFonts w:eastAsia="Aptos" w:cs="Times New Roman"/>
          <w:spacing w:val="0"/>
          <w:kern w:val="2"/>
          <w:sz w:val="24"/>
          <w:szCs w:val="24"/>
          <w:lang w:val="es-EC"/>
          <w14:ligatures w14:val="standardContextual"/>
          <w14:numForm w14:val="default"/>
        </w:rPr>
        <w:t>Stavenhagen</w:t>
      </w:r>
      <w:proofErr w:type="spellEnd"/>
      <w:r w:rsidRPr="00703BFD">
        <w:rPr>
          <w:rFonts w:eastAsia="Aptos" w:cs="Times New Roman"/>
          <w:spacing w:val="0"/>
          <w:kern w:val="2"/>
          <w:sz w:val="24"/>
          <w:szCs w:val="24"/>
          <w:lang w:val="es-EC"/>
          <w14:ligatures w14:val="standardContextual"/>
          <w14:numForm w14:val="default"/>
        </w:rPr>
        <w:t xml:space="preserve"> (2002), al examinar la situación de los derechos humanos de los pueblos indígenas, identifica entre los problemas centrales tanto la discriminación histórica como la necesidad de garantizar derechos colectivos y formas propias de organización. La relación entre derechos humanos y justicia indígena exige, por ello, abandonar una lógica en la que lo individual y lo colectivo aparezcan necesariamente como categorías excluyentes.</w:t>
      </w:r>
    </w:p>
    <w:p w14:paraId="0CF0B4B1"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 xml:space="preserve">En este punto, el aporte de </w:t>
      </w:r>
      <w:proofErr w:type="spellStart"/>
      <w:r w:rsidRPr="00703BFD">
        <w:rPr>
          <w:rFonts w:eastAsia="Aptos" w:cs="Times New Roman"/>
          <w:spacing w:val="0"/>
          <w:kern w:val="2"/>
          <w:sz w:val="24"/>
          <w:szCs w:val="24"/>
          <w:lang w:val="es-EC"/>
          <w14:ligatures w14:val="standardContextual"/>
          <w14:numForm w14:val="default"/>
        </w:rPr>
        <w:t>Kymlicka</w:t>
      </w:r>
      <w:proofErr w:type="spellEnd"/>
      <w:r w:rsidRPr="00703BFD">
        <w:rPr>
          <w:rFonts w:eastAsia="Aptos" w:cs="Times New Roman"/>
          <w:spacing w:val="0"/>
          <w:kern w:val="2"/>
          <w:sz w:val="24"/>
          <w:szCs w:val="24"/>
          <w:lang w:val="es-EC"/>
          <w14:ligatures w14:val="standardContextual"/>
          <w14:numForm w14:val="default"/>
        </w:rPr>
        <w:t xml:space="preserve"> permite introducir una precisión adicional. Su teoría de los derechos de las minorías sostiene que determinados derechos diferenciados pueden ser necesarios precisamente para que los miembros de grupos culturales puedan ejercer efectivamente su libertad dentro de sociedades multiculturales. Trasladada al ámbito de la justicia indígena, esta idea permite comprender que la autonomía jurisdiccional no representa necesariamente una limitación de los derechos humanos; puede constituir también una condición para el ejercicio de derechos vinculados con identidad, participación, cultura y autodeterminación.</w:t>
      </w:r>
    </w:p>
    <w:p w14:paraId="0950989C"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El problema cambia, entonces, de formulación. Ya no se trata de preguntar si debe prevalecer el derecho humano universal o la particula</w:t>
      </w:r>
      <w:r w:rsidRPr="00703BFD">
        <w:rPr>
          <w:rFonts w:eastAsia="Aptos" w:cs="Times New Roman"/>
          <w:spacing w:val="0"/>
          <w:kern w:val="2"/>
          <w:sz w:val="24"/>
          <w:szCs w:val="24"/>
          <w:lang w:val="es-EC"/>
          <w14:ligatures w14:val="standardContextual"/>
          <w14:numForm w14:val="default"/>
        </w:rPr>
        <w:lastRenderedPageBreak/>
        <w:t xml:space="preserve">ridad cultural, sino de establecer cuándo una diferencia jurídica expresa legítimamente autonomía y cuándo produce una afectación que no puede justificarse mediante la diversidad cultural. Esa valoración requiere comprender previamente el significado de la práctica analizada. Sin ese paso, existe el riesgo de considerar </w:t>
      </w:r>
      <w:proofErr w:type="spellStart"/>
      <w:r w:rsidRPr="00703BFD">
        <w:rPr>
          <w:rFonts w:eastAsia="Aptos" w:cs="Times New Roman"/>
          <w:spacing w:val="0"/>
          <w:kern w:val="2"/>
          <w:sz w:val="24"/>
          <w:szCs w:val="24"/>
          <w:lang w:val="es-EC"/>
          <w14:ligatures w14:val="standardContextual"/>
          <w14:numForm w14:val="default"/>
        </w:rPr>
        <w:t>vulneratoria</w:t>
      </w:r>
      <w:proofErr w:type="spellEnd"/>
      <w:r w:rsidRPr="00703BFD">
        <w:rPr>
          <w:rFonts w:eastAsia="Aptos" w:cs="Times New Roman"/>
          <w:spacing w:val="0"/>
          <w:kern w:val="2"/>
          <w:sz w:val="24"/>
          <w:szCs w:val="24"/>
          <w:lang w:val="es-EC"/>
          <w14:ligatures w14:val="standardContextual"/>
          <w14:numForm w14:val="default"/>
        </w:rPr>
        <w:t xml:space="preserve"> una actuación simplemente porque no coincide con los procedimientos o conceptos del derecho estatal.</w:t>
      </w:r>
    </w:p>
    <w:p w14:paraId="73FB55E3"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La propuesta de Merry (2006) resulta especialmente útil para explicar este proceso. Su estudio sobre la traducción de los derechos humanos a contextos locales muestra que las normas internacionales adquieren eficacia cuando pueden ser apropiadas y reinterpretadas dentro de marcos sociales concretos. La traducción cultural no supone alterar arbitrariamente el contenido de los derechos, sino generar condiciones para que estos puedan ser comprendidos y aplicados dentro de universos normativos diferentes. En el ámbito indígena, esta idea permite superar tanto la imposición mecánica de estándares externos como una defensa absoluta del particularismo cultural.</w:t>
      </w:r>
    </w:p>
    <w:p w14:paraId="0C1ACEAB" w14:textId="77777777" w:rsidR="00703BFD" w:rsidRPr="00703BFD"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Desde esta perspectiva, la tensión entre universalismo y particularismo no debería resolverse mediante la subordinación de una racionalidad jurídica a otra. El reto consiste en identificar un núcleo de protección que preserve la dignidad humana y, al mismo tiempo, admitir que su interpretación puede exigir considerar los significados comunitarios de categorías como responsabilidad, reparación, autoridad o debido proceso. La universalidad conserva así su función garantista, pero deja de confundirse con uniformidad normativa.</w:t>
      </w:r>
    </w:p>
    <w:p w14:paraId="2DBF3F17" w14:textId="13E637F5" w:rsidR="007E73A0" w:rsidRPr="007E73A0" w:rsidRDefault="00703BFD" w:rsidP="00703BFD">
      <w:pPr>
        <w:spacing w:before="0" w:after="0"/>
        <w:rPr>
          <w:rFonts w:eastAsia="Aptos" w:cs="Times New Roman"/>
          <w:spacing w:val="0"/>
          <w:kern w:val="2"/>
          <w:sz w:val="24"/>
          <w:szCs w:val="24"/>
          <w:lang w:val="es-EC"/>
          <w14:ligatures w14:val="standardContextual"/>
          <w14:numForm w14:val="default"/>
        </w:rPr>
      </w:pPr>
      <w:r w:rsidRPr="00703BFD">
        <w:rPr>
          <w:rFonts w:eastAsia="Aptos" w:cs="Times New Roman"/>
          <w:spacing w:val="0"/>
          <w:kern w:val="2"/>
          <w:sz w:val="24"/>
          <w:szCs w:val="24"/>
          <w:lang w:val="es-EC"/>
          <w14:ligatures w14:val="standardContextual"/>
          <w14:numForm w14:val="default"/>
        </w:rPr>
        <w:t>En consecuencia, la relación entre justicia indígena y derechos humanos exige una interpretación capaz de distinguir entre diversidad jurídicamente legítima y afectación efectiva de derechos. Este criterio evita dos extremos igualmente problemáticos: utilizar los derechos humanos para desautorizar toda diferencia cultural o invocar la autonomía comunitaria para excluir cualquier examen de compatibilidad jurídica. El siguiente problema consiste, por tanto, en determinar qué herramientas interpretativas pueden permitir esa articulación dentro de un modelo de pluralismo jurídico intercultural.</w:t>
      </w:r>
    </w:p>
    <w:p w14:paraId="030A6837" w14:textId="77777777" w:rsidR="007365AB" w:rsidRPr="007365AB" w:rsidRDefault="007365AB" w:rsidP="006B1A03">
      <w:pPr>
        <w:pStyle w:val="Ttulo3"/>
        <w:jc w:val="both"/>
        <w:rPr>
          <w:lang w:val="es-EC"/>
        </w:rPr>
      </w:pPr>
      <w:r w:rsidRPr="007365AB">
        <w:rPr>
          <w:lang w:val="es-EC"/>
        </w:rPr>
        <w:lastRenderedPageBreak/>
        <w:t>4.2.2. Interpretación intercultural de los derechos humanos en contextos de justicia indígena</w:t>
      </w:r>
    </w:p>
    <w:p w14:paraId="4FD77EEA" w14:textId="77777777" w:rsidR="0050089B" w:rsidRPr="0050089B" w:rsidRDefault="004F5854" w:rsidP="0050089B">
      <w:pPr>
        <w:spacing w:before="0" w:after="0"/>
        <w:rPr>
          <w:rFonts w:eastAsia="Aptos" w:cs="Times New Roman"/>
          <w:spacing w:val="0"/>
          <w:kern w:val="2"/>
          <w:sz w:val="24"/>
          <w:szCs w:val="24"/>
          <w:lang w:val="es-EC"/>
          <w14:ligatures w14:val="standardContextual"/>
          <w14:numForm w14:val="default"/>
        </w:rPr>
      </w:pPr>
      <w:r w:rsidRPr="004F5854">
        <w:rPr>
          <w:rFonts w:eastAsia="Aptos" w:cs="Times New Roman"/>
          <w:spacing w:val="0"/>
          <w:kern w:val="2"/>
          <w:sz w:val="24"/>
          <w:szCs w:val="24"/>
          <w14:ligatures w14:val="standardContextual"/>
          <w14:numForm w14:val="default"/>
        </w:rPr>
        <w:t xml:space="preserve">La </w:t>
      </w:r>
      <w:r w:rsidR="0050089B" w:rsidRPr="0050089B">
        <w:rPr>
          <w:rFonts w:eastAsia="Aptos" w:cs="Times New Roman"/>
          <w:spacing w:val="0"/>
          <w:kern w:val="2"/>
          <w:sz w:val="24"/>
          <w:szCs w:val="24"/>
          <w:lang w:val="es-EC"/>
          <w14:ligatures w14:val="standardContextual"/>
          <w14:numForm w14:val="default"/>
        </w:rPr>
        <w:t>La relación entre justicia indígena y derechos humanos exige una forma de interpretación capaz de articular ambos ámbitos sin reducir la diversidad jurídica a una simple excepción frente al derecho estatal. La interpretación intercultural responde a esta necesidad, pues parte del reconocimiento de que los derechos humanos poseen vocación universal, pero su aplicación concreta debe considerar los significados jurídicos y culturales presentes en los sistemas normativos indígenas.</w:t>
      </w:r>
    </w:p>
    <w:p w14:paraId="192CC023"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Este enfoque encuentra sustento en el derecho internacional. El Convenio Núm. 169 de la Organización Internacional del Trabajo reconoce el derecho de los pueblos indígenas a conservar sus costumbres e instituciones propias, siempre que sean compatibles con los derechos fundamentales y con los derechos humanos internacionalmente reconocidos (Organización Internacional del Trabajo [OIT], 1989, arts. 8–9). Del mismo modo, la Declaración de las Naciones Unidas sobre los Derechos de los Pueblos Indígenas reconoce el derecho a mantener y desarrollar estructuras institucionales y sistemas jurídicos propios, en conformidad con las normas internacionales de derechos humanos (Naciones Unidas, 2007, art. 34).</w:t>
      </w:r>
    </w:p>
    <w:p w14:paraId="64D3AC1F"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Estas disposiciones permiten formular un primer criterio interpretativo: la diferencia jurídica no constituye por sí misma una vulneración de derechos. Una práctica indígena no puede considerarse incompatible con los derechos humanos únicamente porque adopte procedimientos, fundamentos o finalidades distintas de las utilizadas por la jurisdicción estatal. Antes de valorar su compatibilidad, debe comprenderse el significado que esa práctica posee dentro de la racionalidad comunitaria que la produce.</w:t>
      </w:r>
    </w:p>
    <w:p w14:paraId="277EFDF3"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 xml:space="preserve">La propuesta de Merry (2006) sobre la traducción cultural resulta útil para explicar este proceso, pues muestra cómo los derechos humanos adquieren eficacia cuando son apropiados e interpretados dentro de contextos sociales concretos. Trasladado a la justicia indígena, esto implica que categorías como dignidad, reparación, participación o </w:t>
      </w:r>
      <w:r w:rsidRPr="0050089B">
        <w:rPr>
          <w:rFonts w:eastAsia="Aptos" w:cs="Times New Roman"/>
          <w:spacing w:val="0"/>
          <w:kern w:val="2"/>
          <w:sz w:val="24"/>
          <w:szCs w:val="24"/>
          <w:lang w:val="es-EC"/>
          <w14:ligatures w14:val="standardContextual"/>
          <w14:numForm w14:val="default"/>
        </w:rPr>
        <w:lastRenderedPageBreak/>
        <w:t>debido proceso no deberían ser evaluadas únicamente desde sus formas estatales, sino también desde los mecanismos propios mediante los cuales una comunidad procura garantizar contenidos equivalentes.</w:t>
      </w:r>
    </w:p>
    <w:p w14:paraId="4DE12134"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A partir de ello puede formularse un segundo criterio: la interpretación intercultural debe ser bidireccional. No corresponde únicamente traducir las prácticas indígenas al lenguaje del derecho estatal; también las categorías estatales deben ser examinadas críticamente cuando interactúan con otra racionalidad jurídica. De lo contrario, el diálogo intercultural se convierte en una relación asimétrica en la que uno de los sistemas conserva de antemano la potestad de definir qué es jurídicamente válido.</w:t>
      </w:r>
    </w:p>
    <w:p w14:paraId="50C39E22"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Un tercer criterio consiste en distinguir entre forma jurídica y contenido sustantivo del derecho. La existencia de procedimientos distintos a los estatales no implica necesariamente ausencia de garantías, así como el carácter cultural de una práctica tampoco la excluye de todo control jurídico. El análisis debe considerar el contexto comunitario, la finalidad de la actuación, la participación de los afectados y la existencia de una afectación material a derechos fundamentales.</w:t>
      </w:r>
    </w:p>
    <w:p w14:paraId="7B965ACF"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En este sentido, la autonomía indígena no puede operar como una cláusula de inmunidad frente a los derechos humanos, pero estos tampoco deberían convertirse en un mecanismo automático de subordinación de la jurisdicción indígena. La interpretación intercultural exige precisamente mantener ambos planos en relación: comprender la racionalidad propia del sistema y verificar, desde esa comprensión, si la actuación preserva un núcleo sustantivo de protección de derechos.</w:t>
      </w:r>
    </w:p>
    <w:p w14:paraId="68528948" w14:textId="4DA9E890" w:rsidR="007365AB" w:rsidRPr="007365A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En consecuencia, la interpretación intercultural puede entenderse como un método de articulación entre sistemas jurídicos diversos basado en contextualización, comprensión recíproca y control sustantivo de derechos. Su finalidad no es eliminar las tensiones entre justicia indígena y derechos humanos, sino ofrecer criterios para resolverlas sin presuponer la superioridad normativa o epistemológica de uno de los sistemas.</w:t>
      </w:r>
    </w:p>
    <w:p w14:paraId="750385D0" w14:textId="77777777" w:rsidR="00E554D4" w:rsidRPr="00E554D4" w:rsidRDefault="00E554D4" w:rsidP="00E554D4">
      <w:pPr>
        <w:pStyle w:val="Ttulo3"/>
        <w:rPr>
          <w:lang w:val="es-EC"/>
        </w:rPr>
      </w:pPr>
      <w:r w:rsidRPr="00E554D4">
        <w:rPr>
          <w:lang w:val="es-EC"/>
        </w:rPr>
        <w:lastRenderedPageBreak/>
        <w:t>4.3. Armonización entre justicia indígena y derechos humanos en el constitucionalismo ecuatoriano</w:t>
      </w:r>
    </w:p>
    <w:p w14:paraId="20D27202" w14:textId="6A97519B" w:rsidR="0050089B" w:rsidRPr="0050089B" w:rsidRDefault="00E554D4" w:rsidP="0050089B">
      <w:pPr>
        <w:spacing w:before="0" w:after="0"/>
        <w:rPr>
          <w:rFonts w:eastAsia="Aptos" w:cs="Times New Roman"/>
          <w:spacing w:val="0"/>
          <w:kern w:val="2"/>
          <w:sz w:val="24"/>
          <w:szCs w:val="24"/>
          <w:lang w:val="es-EC"/>
          <w14:ligatures w14:val="standardContextual"/>
          <w14:numForm w14:val="default"/>
        </w:rPr>
      </w:pPr>
      <w:r w:rsidRPr="00E554D4">
        <w:rPr>
          <w:rFonts w:eastAsia="Aptos" w:cs="Times New Roman"/>
          <w:spacing w:val="0"/>
          <w:kern w:val="2"/>
          <w:sz w:val="24"/>
          <w:szCs w:val="24"/>
          <w:lang w:val="es-EC"/>
          <w14:ligatures w14:val="standardContextual"/>
          <w14:numForm w14:val="default"/>
        </w:rPr>
        <w:t xml:space="preserve">La </w:t>
      </w:r>
      <w:r w:rsidR="0050089B" w:rsidRPr="0050089B">
        <w:rPr>
          <w:rFonts w:eastAsia="Aptos" w:cs="Times New Roman"/>
          <w:spacing w:val="0"/>
          <w:kern w:val="2"/>
          <w:sz w:val="24"/>
          <w:szCs w:val="24"/>
          <w:lang w:val="es-EC"/>
          <w14:ligatures w14:val="standardContextual"/>
          <w14:numForm w14:val="default"/>
        </w:rPr>
        <w:t>armonización entre justicia indígena y derechos humanos constituye uno de los desafíos centrales del pluralismo jurídico ecuatoriano. No se trata de integrar la jurisdicción indígena dentro de la justicia estatal ni de establecer una autonomía desligada del orden constitucional, sino de articular dos exigencias reconocidas simultáneamente por la Constitución: el derecho de los pueblos indígenas a ejercer su derecho propio y la protección de los derechos constitucionales. Desde esta perspectiva, armonizar no significa uniformar, sino establecer condiciones para que sistemas jurídicos distintos puedan coexistir sin que la diversidad normativa se convierta en subordinación ni la autonomía en ausencia de control.</w:t>
      </w:r>
    </w:p>
    <w:p w14:paraId="446C6C73"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La Constitución ecuatoriana ofrece el punto de partida para esta articulación. El artículo 57, numeral 10, reconoce a las comunas, comunidades, pueblos y nacionalidades indígenas el derecho a crear, desarrollar, aplicar y practicar su derecho propio, con el límite de no vulnerar derechos constitucionales, particularmente los de mujeres, niñas, niños y adolescentes (Constitución de la República del Ecuador, 2008, art. 57.10). A su vez, el artículo 171 reconoce a sus autoridades funciones jurisdiccionales con base en sus tradiciones ancestrales y derecho propio, dispone que sus decisiones sean respetadas por las instituciones públicas y establece su sujeción al control de constitucionalidad (Constitución de la República del Ecuador, 2008, art. 171). La Constitución configura así una relación en la que autonomía y garantía de derechos no aparecen como principios excluyentes.</w:t>
      </w:r>
    </w:p>
    <w:p w14:paraId="0E895AB0" w14:textId="728AACEA"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 xml:space="preserve">El problema jurídico surge al determinar cómo debe ejercerse ese control sin transformar a la jurisdicción estatal en una instancia ordinaria de revisión de la justicia indígena. La Corte Constitucional ha desarrollado elementos relevantes en este sentido. </w:t>
      </w:r>
      <w:r w:rsidR="00B619E6" w:rsidRPr="00B619E6">
        <w:rPr>
          <w:rFonts w:eastAsia="Aptos" w:cs="Times New Roman"/>
          <w:spacing w:val="0"/>
          <w:kern w:val="2"/>
          <w:sz w:val="24"/>
          <w:szCs w:val="24"/>
          <w14:ligatures w14:val="standardContextual"/>
          <w14:numForm w14:val="default"/>
        </w:rPr>
        <w:t>La Corte Constitucional del Ecuador (2022), en la Sentencia No. 1-11-EI/22</w:t>
      </w:r>
      <w:r w:rsidRPr="0050089B">
        <w:rPr>
          <w:rFonts w:eastAsia="Aptos" w:cs="Times New Roman"/>
          <w:spacing w:val="0"/>
          <w:kern w:val="2"/>
          <w:sz w:val="24"/>
          <w:szCs w:val="24"/>
          <w:lang w:val="es-EC"/>
          <w14:ligatures w14:val="standardContextual"/>
          <w14:numForm w14:val="default"/>
        </w:rPr>
        <w:t xml:space="preserve">, al examinar garantías del debido proceso en una decisión de justicia indígena, adoptó expresamente una interpretación intercultural y determinó que determinadas garantías no pueden evaluarse prescindiendo </w:t>
      </w:r>
      <w:r w:rsidRPr="0050089B">
        <w:rPr>
          <w:rFonts w:eastAsia="Aptos" w:cs="Times New Roman"/>
          <w:spacing w:val="0"/>
          <w:kern w:val="2"/>
          <w:sz w:val="24"/>
          <w:szCs w:val="24"/>
          <w:lang w:val="es-EC"/>
          <w14:ligatures w14:val="standardContextual"/>
          <w14:numForm w14:val="default"/>
        </w:rPr>
        <w:lastRenderedPageBreak/>
        <w:t>del carácter colectivo y restaurativo del sistema comunitario analizado. Este razonamiento resulta especialmente significativo porque desplaza el análisis desde la exigencia de identidad formal entre procedimientos hacia la valoración de las garantías dentro de la racionalidad jurídica en la que estas operan.</w:t>
      </w:r>
    </w:p>
    <w:p w14:paraId="4668BC6C"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De esta jurisprudencia puede extraerse un criterio central de armonización: la equivalencia constitucional no exige identidad institucional. Una garantía como el debido proceso puede materializarse mediante procedimientos distintos de aquellos utilizados en la justicia ordinaria, siempre que la diferencia no elimine su contenido sustantivo. Este criterio permite reconocer la autonomía jurisdiccional sin renunciar a la protección de derechos y evita convertir al derecho estatal en el único modelo posible de juridicidad.</w:t>
      </w:r>
    </w:p>
    <w:p w14:paraId="3B1154B3" w14:textId="57A5B31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 xml:space="preserve">La jurisprudencia más reciente confirma esa orientación. </w:t>
      </w:r>
      <w:r w:rsidR="00C358F2" w:rsidRPr="00C358F2">
        <w:rPr>
          <w:rFonts w:eastAsia="Aptos" w:cs="Times New Roman"/>
          <w:spacing w:val="0"/>
          <w:kern w:val="2"/>
          <w:sz w:val="24"/>
          <w:szCs w:val="24"/>
          <w14:ligatures w14:val="standardContextual"/>
          <w14:numForm w14:val="default"/>
        </w:rPr>
        <w:t>En la Sentencia No. 6-23-EI/26, la Corte Constitucional del Ecuador (2026</w:t>
      </w:r>
      <w:r w:rsidR="00C358F2" w:rsidRPr="00C358F2">
        <w:rPr>
          <w:rFonts w:eastAsia="Aptos" w:cs="Times New Roman"/>
          <w:spacing w:val="0"/>
          <w:kern w:val="2"/>
          <w:sz w:val="24"/>
          <w:szCs w:val="24"/>
          <w14:ligatures w14:val="standardContextual"/>
          <w14:numForm w14:val="default"/>
        </w:rPr>
        <w:t xml:space="preserve">b) </w:t>
      </w:r>
      <w:r w:rsidR="00C358F2" w:rsidRPr="00C358F2">
        <w:rPr>
          <w:rFonts w:eastAsia="Aptos" w:cs="Times New Roman"/>
          <w:spacing w:val="0"/>
          <w:kern w:val="2"/>
          <w:sz w:val="24"/>
          <w:szCs w:val="24"/>
          <w:lang w:val="es-EC"/>
          <w14:ligatures w14:val="standardContextual"/>
          <w14:numForm w14:val="default"/>
        </w:rPr>
        <w:t>descartó</w:t>
      </w:r>
      <w:r w:rsidRPr="0050089B">
        <w:rPr>
          <w:rFonts w:eastAsia="Aptos" w:cs="Times New Roman"/>
          <w:spacing w:val="0"/>
          <w:kern w:val="2"/>
          <w:sz w:val="24"/>
          <w:szCs w:val="24"/>
          <w:lang w:val="es-EC"/>
          <w14:ligatures w14:val="standardContextual"/>
          <w14:numForm w14:val="default"/>
        </w:rPr>
        <w:t xml:space="preserve"> la vulneración del debido proceso después de verificar que la decisión provenía de una autoridad indígena competente y que se había respetado el trámite propio de la comunidad. </w:t>
      </w:r>
      <w:r w:rsidR="00803619" w:rsidRPr="00803619">
        <w:rPr>
          <w:rFonts w:eastAsia="Aptos" w:cs="Times New Roman"/>
          <w:spacing w:val="0"/>
          <w:kern w:val="2"/>
          <w:sz w:val="24"/>
          <w:szCs w:val="24"/>
          <w14:ligatures w14:val="standardContextual"/>
          <w14:numForm w14:val="default"/>
        </w:rPr>
        <w:t>De igual manera, en la Sentencia No. 12-22-EI/26, la Corte Constitucional del Ecuador (2026a)</w:t>
      </w:r>
      <w:r w:rsidRPr="0050089B">
        <w:rPr>
          <w:rFonts w:eastAsia="Aptos" w:cs="Times New Roman"/>
          <w:spacing w:val="0"/>
          <w:kern w:val="2"/>
          <w:sz w:val="24"/>
          <w:szCs w:val="24"/>
          <w:lang w:val="es-EC"/>
          <w14:ligatures w14:val="standardContextual"/>
          <w14:numForm w14:val="default"/>
        </w:rPr>
        <w:t xml:space="preserve"> consideró válida una convocatoria verbal realizada conforme al derecho consuetudinario de la comunidad, valorando el conocimiento efectivo del conflicto y la participación dentro del procedimiento antes que la exigencia de una formalidad escrita propia del proceso estatal.</w:t>
      </w:r>
    </w:p>
    <w:p w14:paraId="22EB2C39"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Estos precedentes permiten advertir que la armonización constitucional debe operar mediante un examen contextual y no mediante una comparación mecánica con las formas procesales ordinarias. El control constitucional debería concentrarse en determinar si la autoridad indígena actuó dentro de su ámbito legítimo, si el procedimiento respondió al derecho propio y si la decisión produjo una afectación sustantiva de derechos. De esta manera, la diferencia cultural deja de ser considerada una anomalía que debe corregirse y pasa a formar parte del análisis jurídico.</w:t>
      </w:r>
    </w:p>
    <w:p w14:paraId="330C4E57"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lastRenderedPageBreak/>
        <w:t>La armonización requiere, por tanto, una relación de complementariedad crítica. La justicia indígena debe ser reconocida desde su propia racionalidad normativa, pero ese reconocimiento no excluye el examen de derechos; a su vez, el control constitucional debe garantizar esos derechos sin convertir las categorías estatales en parámetros exclusivos de validez. El punto de equilibrio se encuentra en una interpretación intercultural capaz de distinguir entre una diferencia legítima en la forma de administrar justicia y una afectación material que comprometa derechos constitucionalmente protegidos.</w:t>
      </w:r>
    </w:p>
    <w:p w14:paraId="4E037556" w14:textId="6DC23DDD" w:rsidR="00857415"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 xml:space="preserve">En consecuencia, el constitucionalismo ecuatoriano ofrece bases para superar tanto el monismo jurídico como un relativismo absoluto. La autonomía indígena, el derecho propio y el control de constitucionalidad pueden coexistir si la interpretación reconoce que la protección de derechos no exige homogeneidad institucional. La armonización se </w:t>
      </w:r>
      <w:proofErr w:type="gramStart"/>
      <w:r w:rsidRPr="0050089B">
        <w:rPr>
          <w:rFonts w:eastAsia="Aptos" w:cs="Times New Roman"/>
          <w:spacing w:val="0"/>
          <w:kern w:val="2"/>
          <w:sz w:val="24"/>
          <w:szCs w:val="24"/>
          <w:lang w:val="es-EC"/>
          <w14:ligatures w14:val="standardContextual"/>
          <w14:numForm w14:val="default"/>
        </w:rPr>
        <w:t>configura</w:t>
      </w:r>
      <w:proofErr w:type="gramEnd"/>
      <w:r w:rsidRPr="0050089B">
        <w:rPr>
          <w:rFonts w:eastAsia="Aptos" w:cs="Times New Roman"/>
          <w:spacing w:val="0"/>
          <w:kern w:val="2"/>
          <w:sz w:val="24"/>
          <w:szCs w:val="24"/>
          <w:lang w:val="es-EC"/>
          <w14:ligatures w14:val="standardContextual"/>
          <w14:numForm w14:val="default"/>
        </w:rPr>
        <w:t xml:space="preserve"> así como un proceso de articulación entre racionalidades jurídicas que preserva la identidad del sistema indígena y, al mismo tiempo, mantiene un núcleo sustantivo de protección de derechos humanos.</w:t>
      </w:r>
    </w:p>
    <w:bookmarkEnd w:id="3"/>
    <w:p w14:paraId="740C7DA7" w14:textId="117F55D7" w:rsidR="00CE0F4B" w:rsidRDefault="002A43CD" w:rsidP="009718C5">
      <w:pPr>
        <w:pStyle w:val="Ttulo1"/>
        <w:jc w:val="both"/>
      </w:pPr>
      <w:r w:rsidRPr="002A43CD">
        <w:t>5.</w:t>
      </w:r>
      <w:r>
        <w:t xml:space="preserve"> </w:t>
      </w:r>
      <w:r w:rsidR="00CE0F4B">
        <w:t>discusión</w:t>
      </w:r>
    </w:p>
    <w:p w14:paraId="7626BF01" w14:textId="6683CC36"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Los resultados muestran que el pluralismo jurídico ecuatoriano no se agota en el reconocimiento constitucional de una jurisdicción indígena, pues exige admitir que esta se sustenta en categorías normativas y epistemológicas que no necesariamente reproducen las del derecho estatal. La cosmovisión comunitaria interviene en la comprensión de la autoridad, la responsabilidad, el conflicto y la reparación, de manera que reconocer la justicia indígena únicamente en el plano institucional, pero interpretar sus actuaciones exclusivamente desde categorías externas, puede producir un pluralismo formal acompañado de subordinación material.</w:t>
      </w:r>
    </w:p>
    <w:p w14:paraId="477A7064"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 xml:space="preserve">Esta constatación permite replantear también la relación entre justicia indígena y derechos humanos. El análisis realizado no demuestra una incompatibilidad estructural entre ambos, sino una tensión respecto </w:t>
      </w:r>
      <w:r w:rsidRPr="0050089B">
        <w:rPr>
          <w:rFonts w:eastAsia="Aptos" w:cs="Times New Roman"/>
          <w:spacing w:val="0"/>
          <w:kern w:val="2"/>
          <w:sz w:val="24"/>
          <w:szCs w:val="24"/>
          <w:lang w:val="es-EC"/>
          <w14:ligatures w14:val="standardContextual"/>
          <w14:numForm w14:val="default"/>
        </w:rPr>
        <w:lastRenderedPageBreak/>
        <w:t>de los parámetros mediante los cuales se determina el contenido y la realización de los derechos. La universalidad no requiere uniformidad institucional: procedimientos distintos de los utilizados por la justicia estatal pueden ofrecer protección jurídica equivalente cuando preservan materialmente los derechos involucrados.</w:t>
      </w:r>
    </w:p>
    <w:p w14:paraId="3F367CE0"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En este punto, la interpretación intercultural adquiere una función que excede la simple consideración del contexto cultural. Exige que el intérprete comprenda previamente la racionalidad del sistema indígena y que, al mismo tiempo, examine si la actuación concreta produce una afectación sustantiva de derechos. Esta doble exigencia permite evitar dos extremos: utilizar los derechos humanos como mecanismo automático de subordinación o convertir la autonomía cultural en una cláusula de inmunidad frente al control constitucional.</w:t>
      </w:r>
    </w:p>
    <w:p w14:paraId="4CCA2A52" w14:textId="14EDC20D" w:rsidR="008A70B9"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La jurisprudencia constitucional ecuatoriana analizada confirma que la articulación entre sistemas jurídicos puede construirse desde parámetros de equivalencia y no de identidad. El desafío pendiente radica, por tanto, menos en ampliar el reconocimiento normativo que en consolidar prácticas interpretativas capaces de asumir la diversidad jurídica como componente del propio orden constitucional. El pluralismo efectivo depende finalmente de que la diferencia deje de ser evaluada como una anomalía frente al derecho estatal y sea examinada desde criterios compatibles, simultáneamente, con la autonomía indígena y la protección sustantiva de los derechos.</w:t>
      </w:r>
    </w:p>
    <w:p w14:paraId="568F694A" w14:textId="7870DBEA" w:rsidR="004307D4" w:rsidRDefault="00721EBE" w:rsidP="009718C5">
      <w:pPr>
        <w:pStyle w:val="Ttulo1"/>
        <w:jc w:val="both"/>
      </w:pPr>
      <w:r w:rsidRPr="00721EBE">
        <w:rPr>
          <w:caps w:val="0"/>
        </w:rPr>
        <w:t>6.</w:t>
      </w:r>
      <w:r>
        <w:t xml:space="preserve"> </w:t>
      </w:r>
      <w:r w:rsidR="004307D4">
        <w:t xml:space="preserve">conclusiones </w:t>
      </w:r>
    </w:p>
    <w:p w14:paraId="6589D986" w14:textId="2C3971FD"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La cosmovisión comunitaria constituye un fundamento normativo y epistemológico relevante para comprender la justicia indígena, pues proporciona marcos propios desde los cuales adquieren significado la autoridad, la responsabilidad, el conflicto y las respuestas destinadas a restablecer las relaciones comunitarias. Su reconocimiento impide reducir la juridicidad indígena a costumbre o informalidad y permite comprenderla como expresión de pluralismo jurídico.</w:t>
      </w:r>
    </w:p>
    <w:p w14:paraId="746ACB4F"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lastRenderedPageBreak/>
        <w:t>El análisis permitió identificar una racionalidad en la que colectividad, armonía y restauración operan como categorías útiles para explicar formas diferenciadas de comprender la justicia. Estas características no deben generalizarse de manera uniforme a todos los pueblos indígenas ni construirse como oposición absoluta frente al derecho estatal; su importancia reside en demostrar que la diversidad jurídica puede alcanzar también los fundamentos desde los cuales se atribuye sentido al derecho.</w:t>
      </w:r>
    </w:p>
    <w:p w14:paraId="4006898A"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La relación con los derechos humanos no exige optar entre universalidad y autonomía cultural. La distinción central radica entre universalidad y uniformidad: la protección de un derecho puede admitir formas institucionales diversas siempre que preserve su contenido sustantivo. De ahí que la diferencia respecto del procedimiento estatal no constituya, por sí sola, una vulneración de derechos.</w:t>
      </w:r>
    </w:p>
    <w:p w14:paraId="55D74614" w14:textId="77777777" w:rsidR="0050089B" w:rsidRPr="0050089B"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A partir de ello, el capítulo propone una interpretación intercultural basada en tres criterios: contextualizar la práctica dentro de la racionalidad jurídica que la produce, establecer un diálogo interpretativo bidireccional entre sistemas y distinguir las diferencias formales de las afectaciones sustantivas de derechos. Bajo esta perspectiva, la autonomía indígena no constituye inmunidad frente a los derechos humanos, pero estos tampoco justifican la subordinación automática de la jurisdicción indígena.</w:t>
      </w:r>
    </w:p>
    <w:p w14:paraId="340277A2" w14:textId="21E3139A" w:rsidR="0046169A" w:rsidRPr="0046169A" w:rsidRDefault="0050089B" w:rsidP="0050089B">
      <w:pPr>
        <w:spacing w:before="0" w:after="0"/>
        <w:rPr>
          <w:rFonts w:eastAsia="Aptos" w:cs="Times New Roman"/>
          <w:spacing w:val="0"/>
          <w:kern w:val="2"/>
          <w:sz w:val="24"/>
          <w:szCs w:val="24"/>
          <w:lang w:val="es-EC"/>
          <w14:ligatures w14:val="standardContextual"/>
          <w14:numForm w14:val="default"/>
        </w:rPr>
      </w:pPr>
      <w:r w:rsidRPr="0050089B">
        <w:rPr>
          <w:rFonts w:eastAsia="Aptos" w:cs="Times New Roman"/>
          <w:spacing w:val="0"/>
          <w:kern w:val="2"/>
          <w:sz w:val="24"/>
          <w:szCs w:val="24"/>
          <w:lang w:val="es-EC"/>
          <w14:ligatures w14:val="standardContextual"/>
          <w14:numForm w14:val="default"/>
        </w:rPr>
        <w:t>En el constitucionalismo ecuatoriano, esta articulación permite sostener que la equivalencia constitucional no exige identidad institucional. El desafío consiste en consolidar un control constitucional capaz de proteger derechos sin convertir al derecho estatal en el único parámetro posible de juridicidad. En ello radica la posibilidad de avanzar desde el reconocimiento formal del pluralismo hacia un constitucionalismo efectivamente intercultural.</w:t>
      </w:r>
    </w:p>
    <w:p w14:paraId="703B2935" w14:textId="072E4275" w:rsidR="004307D4" w:rsidRPr="008434B9" w:rsidRDefault="00721EBE" w:rsidP="00721EBE">
      <w:pPr>
        <w:pStyle w:val="Ttulo1"/>
        <w:rPr>
          <w:lang w:val="en-US"/>
        </w:rPr>
      </w:pPr>
      <w:r w:rsidRPr="008434B9">
        <w:rPr>
          <w:caps w:val="0"/>
          <w:lang w:val="en-US"/>
        </w:rPr>
        <w:t>8.</w:t>
      </w:r>
      <w:r w:rsidRPr="008434B9">
        <w:rPr>
          <w:lang w:val="en-US"/>
        </w:rPr>
        <w:t xml:space="preserve"> </w:t>
      </w:r>
      <w:r w:rsidR="002F3733" w:rsidRPr="008434B9">
        <w:rPr>
          <w:lang w:val="en-US"/>
        </w:rPr>
        <w:t>Referencias</w:t>
      </w:r>
      <w:r w:rsidR="005417EB" w:rsidRPr="008434B9">
        <w:rPr>
          <w:lang w:val="en-US"/>
        </w:rPr>
        <w:t xml:space="preserve"> </w:t>
      </w:r>
    </w:p>
    <w:p w14:paraId="3138D133" w14:textId="77777777" w:rsidR="00690809" w:rsidRPr="00FF0CD6" w:rsidRDefault="00690809" w:rsidP="00690809">
      <w:pPr>
        <w:spacing w:before="0" w:after="0"/>
        <w:rPr>
          <w:sz w:val="20"/>
          <w:szCs w:val="20"/>
          <w:lang w:val="en-US"/>
        </w:rPr>
      </w:pPr>
      <w:r w:rsidRPr="00FF0CD6">
        <w:rPr>
          <w:sz w:val="20"/>
          <w:szCs w:val="20"/>
          <w:lang w:val="en-US"/>
        </w:rPr>
        <w:t xml:space="preserve">Anaya, S. J. (2004). </w:t>
      </w:r>
      <w:r w:rsidRPr="00FF0CD6">
        <w:rPr>
          <w:i/>
          <w:iCs/>
          <w:sz w:val="20"/>
          <w:szCs w:val="20"/>
          <w:lang w:val="en-US"/>
        </w:rPr>
        <w:t>Indigenous peoples in international law</w:t>
      </w:r>
      <w:r w:rsidRPr="00FF0CD6">
        <w:rPr>
          <w:sz w:val="20"/>
          <w:szCs w:val="20"/>
          <w:lang w:val="en-US"/>
        </w:rPr>
        <w:t xml:space="preserve"> (2nd ed.). </w:t>
      </w:r>
    </w:p>
    <w:p w14:paraId="7948B8DB" w14:textId="0427AC54" w:rsidR="00690809" w:rsidRPr="00FF0CD6" w:rsidRDefault="00690809" w:rsidP="00690809">
      <w:pPr>
        <w:spacing w:before="0" w:after="0"/>
        <w:ind w:left="708"/>
        <w:rPr>
          <w:sz w:val="20"/>
          <w:szCs w:val="20"/>
          <w:lang w:val="en-US"/>
        </w:rPr>
      </w:pPr>
      <w:r w:rsidRPr="00FF0CD6">
        <w:rPr>
          <w:sz w:val="20"/>
          <w:szCs w:val="20"/>
          <w:lang w:val="en-US"/>
        </w:rPr>
        <w:t xml:space="preserve">Oxford University Press. </w:t>
      </w:r>
      <w:hyperlink r:id="rId9" w:history="1">
        <w:r w:rsidRPr="00FF0CD6">
          <w:rPr>
            <w:rStyle w:val="Hipervnculo"/>
            <w:sz w:val="20"/>
            <w:szCs w:val="20"/>
            <w:lang w:val="en-US"/>
          </w:rPr>
          <w:t>https://doi.org/10.1093/oso/9780195173499.001.0001</w:t>
        </w:r>
      </w:hyperlink>
    </w:p>
    <w:p w14:paraId="7464A316" w14:textId="77777777" w:rsidR="00690809" w:rsidRPr="00FF0CD6" w:rsidRDefault="00690809" w:rsidP="00690809">
      <w:pPr>
        <w:spacing w:before="0" w:after="0"/>
        <w:rPr>
          <w:sz w:val="20"/>
          <w:szCs w:val="20"/>
          <w:lang w:val="en-US"/>
        </w:rPr>
      </w:pPr>
      <w:r w:rsidRPr="00FF0CD6">
        <w:rPr>
          <w:sz w:val="20"/>
          <w:szCs w:val="20"/>
          <w:lang w:val="en-US"/>
        </w:rPr>
        <w:lastRenderedPageBreak/>
        <w:t xml:space="preserve">Bowen, G. A. (2009). Document analysis as </w:t>
      </w:r>
      <w:proofErr w:type="gramStart"/>
      <w:r w:rsidRPr="00FF0CD6">
        <w:rPr>
          <w:sz w:val="20"/>
          <w:szCs w:val="20"/>
          <w:lang w:val="en-US"/>
        </w:rPr>
        <w:t>a qualitative research</w:t>
      </w:r>
      <w:proofErr w:type="gramEnd"/>
      <w:r w:rsidRPr="00FF0CD6">
        <w:rPr>
          <w:sz w:val="20"/>
          <w:szCs w:val="20"/>
          <w:lang w:val="en-US"/>
        </w:rPr>
        <w:t xml:space="preserve"> </w:t>
      </w:r>
    </w:p>
    <w:p w14:paraId="75E89E72" w14:textId="20774770" w:rsidR="00690809" w:rsidRPr="00FF0CD6" w:rsidRDefault="00690809" w:rsidP="00690809">
      <w:pPr>
        <w:spacing w:before="0" w:after="0"/>
        <w:ind w:left="708"/>
        <w:rPr>
          <w:sz w:val="20"/>
          <w:szCs w:val="20"/>
          <w:lang w:val="en-US"/>
        </w:rPr>
      </w:pPr>
      <w:r w:rsidRPr="00FF0CD6">
        <w:rPr>
          <w:sz w:val="20"/>
          <w:szCs w:val="20"/>
          <w:lang w:val="en-US"/>
        </w:rPr>
        <w:t xml:space="preserve">method. </w:t>
      </w:r>
      <w:r w:rsidRPr="00FF0CD6">
        <w:rPr>
          <w:i/>
          <w:iCs/>
          <w:sz w:val="20"/>
          <w:szCs w:val="20"/>
          <w:lang w:val="en-US"/>
        </w:rPr>
        <w:t>Qualitative Research Journal, 9</w:t>
      </w:r>
      <w:r w:rsidRPr="00FF0CD6">
        <w:rPr>
          <w:sz w:val="20"/>
          <w:szCs w:val="20"/>
          <w:lang w:val="en-US"/>
        </w:rPr>
        <w:t xml:space="preserve">(2), 27–40. </w:t>
      </w:r>
      <w:hyperlink r:id="rId10" w:history="1">
        <w:r w:rsidRPr="00FF0CD6">
          <w:rPr>
            <w:rStyle w:val="Hipervnculo"/>
            <w:sz w:val="20"/>
            <w:szCs w:val="20"/>
            <w:lang w:val="en-US"/>
          </w:rPr>
          <w:t>https://doi.org/10.3316/QRJ0902027</w:t>
        </w:r>
      </w:hyperlink>
    </w:p>
    <w:p w14:paraId="4341D925" w14:textId="77777777" w:rsidR="00690809" w:rsidRPr="00FF0CD6" w:rsidRDefault="00690809" w:rsidP="00690809">
      <w:pPr>
        <w:spacing w:before="0" w:after="0"/>
        <w:rPr>
          <w:sz w:val="20"/>
          <w:szCs w:val="20"/>
          <w:lang w:val="es-EC"/>
        </w:rPr>
      </w:pPr>
      <w:r w:rsidRPr="00FF0CD6">
        <w:rPr>
          <w:i/>
          <w:iCs/>
          <w:sz w:val="20"/>
          <w:szCs w:val="20"/>
          <w:lang w:val="es-EC"/>
        </w:rPr>
        <w:t>Constitución de la República del Ecuador</w:t>
      </w:r>
      <w:r w:rsidRPr="00FF0CD6">
        <w:rPr>
          <w:sz w:val="20"/>
          <w:szCs w:val="20"/>
          <w:lang w:val="es-EC"/>
        </w:rPr>
        <w:t xml:space="preserve">. (2008). Registro Oficial No. </w:t>
      </w:r>
    </w:p>
    <w:p w14:paraId="78136309" w14:textId="060C2B33" w:rsidR="00690809" w:rsidRPr="00FF0CD6" w:rsidRDefault="00690809" w:rsidP="00690809">
      <w:pPr>
        <w:spacing w:before="0" w:after="0"/>
        <w:ind w:left="708"/>
        <w:rPr>
          <w:sz w:val="20"/>
          <w:szCs w:val="20"/>
          <w:lang w:val="es-EC"/>
        </w:rPr>
      </w:pPr>
      <w:r w:rsidRPr="00FF0CD6">
        <w:rPr>
          <w:sz w:val="20"/>
          <w:szCs w:val="20"/>
          <w:lang w:val="es-EC"/>
        </w:rPr>
        <w:t xml:space="preserve">449, 20 de octubre de 2008. </w:t>
      </w:r>
      <w:hyperlink r:id="rId11" w:history="1">
        <w:r w:rsidRPr="00FF0CD6">
          <w:rPr>
            <w:rStyle w:val="Hipervnculo"/>
            <w:sz w:val="20"/>
            <w:szCs w:val="20"/>
            <w:lang w:val="es-EC"/>
          </w:rPr>
          <w:t>https://www.asambleanacional.gob.ec/documentos/Constitucion-2008.pdf</w:t>
        </w:r>
      </w:hyperlink>
    </w:p>
    <w:p w14:paraId="33C19200" w14:textId="77777777" w:rsidR="00690809" w:rsidRPr="00FF0CD6" w:rsidRDefault="00690809" w:rsidP="00690809">
      <w:pPr>
        <w:spacing w:before="0" w:after="0"/>
        <w:rPr>
          <w:sz w:val="20"/>
          <w:szCs w:val="20"/>
          <w:lang w:val="es-EC"/>
        </w:rPr>
      </w:pPr>
      <w:r w:rsidRPr="00FF0CD6">
        <w:rPr>
          <w:sz w:val="20"/>
          <w:szCs w:val="20"/>
          <w:lang w:val="es-EC"/>
        </w:rPr>
        <w:t xml:space="preserve">Corte Constitucional del Ecuador. (2022). </w:t>
      </w:r>
      <w:r w:rsidRPr="00FF0CD6">
        <w:rPr>
          <w:i/>
          <w:iCs/>
          <w:sz w:val="20"/>
          <w:szCs w:val="20"/>
          <w:lang w:val="es-EC"/>
        </w:rPr>
        <w:t>Sentencia No. 1-11-EI/22</w:t>
      </w:r>
      <w:r w:rsidRPr="00FF0CD6">
        <w:rPr>
          <w:sz w:val="20"/>
          <w:szCs w:val="20"/>
          <w:lang w:val="es-EC"/>
        </w:rPr>
        <w:t xml:space="preserve">. </w:t>
      </w:r>
    </w:p>
    <w:p w14:paraId="1ACB5891" w14:textId="6BF9946C" w:rsidR="00690809" w:rsidRPr="00FF0CD6" w:rsidRDefault="00690809" w:rsidP="00690809">
      <w:pPr>
        <w:spacing w:before="0" w:after="0"/>
        <w:ind w:firstLine="708"/>
        <w:rPr>
          <w:sz w:val="20"/>
          <w:szCs w:val="20"/>
          <w:lang w:val="es-EC"/>
        </w:rPr>
      </w:pPr>
      <w:hyperlink r:id="rId12" w:history="1">
        <w:r w:rsidRPr="00FF0CD6">
          <w:rPr>
            <w:rStyle w:val="Hipervnculo"/>
            <w:sz w:val="20"/>
            <w:szCs w:val="20"/>
            <w:lang w:val="es-EC"/>
          </w:rPr>
          <w:t>https://www.corteconstitucional.gob.ec/sentencia-1-11-ei-22/</w:t>
        </w:r>
      </w:hyperlink>
    </w:p>
    <w:p w14:paraId="26A0EC8F" w14:textId="77777777" w:rsidR="00690809" w:rsidRPr="00FF0CD6" w:rsidRDefault="00690809" w:rsidP="00690809">
      <w:pPr>
        <w:spacing w:before="0" w:after="0"/>
        <w:rPr>
          <w:sz w:val="20"/>
          <w:szCs w:val="20"/>
          <w:lang w:val="es-EC"/>
        </w:rPr>
      </w:pPr>
      <w:r w:rsidRPr="00FF0CD6">
        <w:rPr>
          <w:sz w:val="20"/>
          <w:szCs w:val="20"/>
          <w:lang w:val="es-EC"/>
        </w:rPr>
        <w:t xml:space="preserve">Corte Constitucional del Ecuador. (2026a). </w:t>
      </w:r>
      <w:r w:rsidRPr="00FF0CD6">
        <w:rPr>
          <w:i/>
          <w:iCs/>
          <w:sz w:val="20"/>
          <w:szCs w:val="20"/>
          <w:lang w:val="es-EC"/>
        </w:rPr>
        <w:t>Sentencia No. 12-22-EI/26</w:t>
      </w:r>
      <w:r w:rsidRPr="00FF0CD6">
        <w:rPr>
          <w:sz w:val="20"/>
          <w:szCs w:val="20"/>
          <w:lang w:val="es-EC"/>
        </w:rPr>
        <w:t xml:space="preserve">. </w:t>
      </w:r>
    </w:p>
    <w:p w14:paraId="061175BE" w14:textId="74CB714C" w:rsidR="00690809" w:rsidRPr="00FF0CD6" w:rsidRDefault="00690809" w:rsidP="00690809">
      <w:pPr>
        <w:spacing w:before="0" w:after="0"/>
        <w:ind w:firstLine="708"/>
        <w:rPr>
          <w:sz w:val="20"/>
          <w:szCs w:val="20"/>
          <w:lang w:val="es-EC"/>
        </w:rPr>
      </w:pPr>
      <w:hyperlink r:id="rId13" w:history="1">
        <w:r w:rsidRPr="00FF0CD6">
          <w:rPr>
            <w:rStyle w:val="Hipervnculo"/>
            <w:sz w:val="20"/>
            <w:szCs w:val="20"/>
            <w:lang w:val="es-EC"/>
          </w:rPr>
          <w:t>https://www.corteconstitucional.gob.ec/sentencia-12-22-ei-26/</w:t>
        </w:r>
      </w:hyperlink>
    </w:p>
    <w:p w14:paraId="23C6D20D" w14:textId="77777777" w:rsidR="00690809" w:rsidRPr="00FF0CD6" w:rsidRDefault="00690809" w:rsidP="00690809">
      <w:pPr>
        <w:spacing w:before="0" w:after="0"/>
        <w:rPr>
          <w:sz w:val="20"/>
          <w:szCs w:val="20"/>
          <w:lang w:val="es-EC"/>
        </w:rPr>
      </w:pPr>
      <w:r w:rsidRPr="00FF0CD6">
        <w:rPr>
          <w:sz w:val="20"/>
          <w:szCs w:val="20"/>
          <w:lang w:val="es-EC"/>
        </w:rPr>
        <w:t xml:space="preserve">Corte Constitucional del Ecuador. (2026b). </w:t>
      </w:r>
      <w:r w:rsidRPr="00FF0CD6">
        <w:rPr>
          <w:i/>
          <w:iCs/>
          <w:sz w:val="20"/>
          <w:szCs w:val="20"/>
          <w:lang w:val="es-EC"/>
        </w:rPr>
        <w:t>Sentencia No. 6-23-EI/26</w:t>
      </w:r>
      <w:r w:rsidRPr="00FF0CD6">
        <w:rPr>
          <w:sz w:val="20"/>
          <w:szCs w:val="20"/>
          <w:lang w:val="es-EC"/>
        </w:rPr>
        <w:t xml:space="preserve">. </w:t>
      </w:r>
    </w:p>
    <w:p w14:paraId="66DE9CF0" w14:textId="67576762" w:rsidR="00690809" w:rsidRPr="00FF0CD6" w:rsidRDefault="00690809" w:rsidP="00690809">
      <w:pPr>
        <w:spacing w:before="0" w:after="0"/>
        <w:ind w:firstLine="708"/>
        <w:rPr>
          <w:sz w:val="20"/>
          <w:szCs w:val="20"/>
          <w:lang w:val="es-EC"/>
        </w:rPr>
      </w:pPr>
      <w:hyperlink r:id="rId14" w:history="1">
        <w:r w:rsidRPr="00FF0CD6">
          <w:rPr>
            <w:rStyle w:val="Hipervnculo"/>
            <w:sz w:val="20"/>
            <w:szCs w:val="20"/>
            <w:lang w:val="es-EC"/>
          </w:rPr>
          <w:t>https://www.corteconstitucional.gob.ec/sentencia-6-23-ei-26/</w:t>
        </w:r>
      </w:hyperlink>
    </w:p>
    <w:p w14:paraId="4D871286" w14:textId="77777777" w:rsidR="00690809" w:rsidRPr="00FF0CD6" w:rsidRDefault="00690809" w:rsidP="00690809">
      <w:pPr>
        <w:spacing w:before="0" w:after="0"/>
        <w:rPr>
          <w:i/>
          <w:iCs/>
          <w:sz w:val="20"/>
          <w:szCs w:val="20"/>
          <w:lang w:val="en-US"/>
        </w:rPr>
      </w:pPr>
      <w:r w:rsidRPr="00FF0CD6">
        <w:rPr>
          <w:sz w:val="20"/>
          <w:szCs w:val="20"/>
          <w:lang w:val="en-US"/>
        </w:rPr>
        <w:t xml:space="preserve">Creswell, J. W. (2009). </w:t>
      </w:r>
      <w:r w:rsidRPr="00FF0CD6">
        <w:rPr>
          <w:i/>
          <w:iCs/>
          <w:sz w:val="20"/>
          <w:szCs w:val="20"/>
          <w:lang w:val="en-US"/>
        </w:rPr>
        <w:t xml:space="preserve">Research design: Qualitative, quantitative, and </w:t>
      </w:r>
    </w:p>
    <w:p w14:paraId="053795C2" w14:textId="22B3245F" w:rsidR="00690809" w:rsidRPr="00FF0CD6" w:rsidRDefault="00690809" w:rsidP="00690809">
      <w:pPr>
        <w:spacing w:before="0" w:after="0"/>
        <w:ind w:firstLine="708"/>
        <w:rPr>
          <w:sz w:val="20"/>
          <w:szCs w:val="20"/>
          <w:lang w:val="en-US"/>
        </w:rPr>
      </w:pPr>
      <w:r w:rsidRPr="00FF0CD6">
        <w:rPr>
          <w:i/>
          <w:iCs/>
          <w:sz w:val="20"/>
          <w:szCs w:val="20"/>
          <w:lang w:val="en-US"/>
        </w:rPr>
        <w:t xml:space="preserve">mixed methods </w:t>
      </w:r>
      <w:proofErr w:type="gramStart"/>
      <w:r w:rsidRPr="00FF0CD6">
        <w:rPr>
          <w:i/>
          <w:iCs/>
          <w:sz w:val="20"/>
          <w:szCs w:val="20"/>
          <w:lang w:val="en-US"/>
        </w:rPr>
        <w:t>approaches</w:t>
      </w:r>
      <w:proofErr w:type="gramEnd"/>
      <w:r w:rsidRPr="00FF0CD6">
        <w:rPr>
          <w:sz w:val="20"/>
          <w:szCs w:val="20"/>
          <w:lang w:val="en-US"/>
        </w:rPr>
        <w:t xml:space="preserve"> (3rd ed.). SAGE Publications.</w:t>
      </w:r>
    </w:p>
    <w:p w14:paraId="5EE7B64E" w14:textId="77777777" w:rsidR="00690809" w:rsidRPr="00FF0CD6" w:rsidRDefault="00690809" w:rsidP="00690809">
      <w:pPr>
        <w:spacing w:before="0" w:after="0"/>
        <w:rPr>
          <w:sz w:val="20"/>
          <w:szCs w:val="20"/>
          <w:lang w:val="en-US"/>
        </w:rPr>
      </w:pPr>
      <w:r w:rsidRPr="00FF0CD6">
        <w:rPr>
          <w:sz w:val="20"/>
          <w:szCs w:val="20"/>
          <w:lang w:val="en-US"/>
        </w:rPr>
        <w:t xml:space="preserve">Donnelly, J. (2003). </w:t>
      </w:r>
      <w:r w:rsidRPr="00FF0CD6">
        <w:rPr>
          <w:i/>
          <w:iCs/>
          <w:sz w:val="20"/>
          <w:szCs w:val="20"/>
          <w:lang w:val="en-US"/>
        </w:rPr>
        <w:t>Universal human rights in theory and practice</w:t>
      </w:r>
      <w:r w:rsidRPr="00FF0CD6">
        <w:rPr>
          <w:sz w:val="20"/>
          <w:szCs w:val="20"/>
          <w:lang w:val="en-US"/>
        </w:rPr>
        <w:t xml:space="preserve"> (2nd </w:t>
      </w:r>
    </w:p>
    <w:p w14:paraId="4078DC8A" w14:textId="51DE797E" w:rsidR="00690809" w:rsidRPr="00FF0CD6" w:rsidRDefault="00690809" w:rsidP="00690809">
      <w:pPr>
        <w:spacing w:before="0" w:after="0"/>
        <w:ind w:firstLine="708"/>
        <w:rPr>
          <w:sz w:val="20"/>
          <w:szCs w:val="20"/>
          <w:lang w:val="en-US"/>
        </w:rPr>
      </w:pPr>
      <w:r w:rsidRPr="00FF0CD6">
        <w:rPr>
          <w:sz w:val="20"/>
          <w:szCs w:val="20"/>
          <w:lang w:val="en-US"/>
        </w:rPr>
        <w:t>ed.). Cornell University Press.</w:t>
      </w:r>
    </w:p>
    <w:p w14:paraId="7A2C90D5" w14:textId="77777777" w:rsidR="00690809" w:rsidRPr="00FF0CD6" w:rsidRDefault="00690809" w:rsidP="00690809">
      <w:pPr>
        <w:spacing w:before="0" w:after="0"/>
        <w:rPr>
          <w:i/>
          <w:iCs/>
          <w:sz w:val="20"/>
          <w:szCs w:val="20"/>
          <w:lang w:val="en-US"/>
        </w:rPr>
      </w:pPr>
      <w:r w:rsidRPr="00FF0CD6">
        <w:rPr>
          <w:sz w:val="20"/>
          <w:szCs w:val="20"/>
          <w:lang w:val="en-US"/>
        </w:rPr>
        <w:t xml:space="preserve">Griffiths, J. (1986). What is legal pluralism? </w:t>
      </w:r>
      <w:r w:rsidRPr="00FF0CD6">
        <w:rPr>
          <w:i/>
          <w:iCs/>
          <w:sz w:val="20"/>
          <w:szCs w:val="20"/>
          <w:lang w:val="en-US"/>
        </w:rPr>
        <w:t xml:space="preserve">The Journal of Legal </w:t>
      </w:r>
      <w:proofErr w:type="spellStart"/>
      <w:r w:rsidRPr="00FF0CD6">
        <w:rPr>
          <w:i/>
          <w:iCs/>
          <w:sz w:val="20"/>
          <w:szCs w:val="20"/>
          <w:lang w:val="en-US"/>
        </w:rPr>
        <w:t>Plu</w:t>
      </w:r>
      <w:proofErr w:type="spellEnd"/>
    </w:p>
    <w:p w14:paraId="656D79DC" w14:textId="77777777" w:rsidR="00690809" w:rsidRPr="00FF0CD6" w:rsidRDefault="00690809" w:rsidP="00690809">
      <w:pPr>
        <w:spacing w:before="0" w:after="0"/>
        <w:ind w:firstLine="708"/>
        <w:rPr>
          <w:sz w:val="20"/>
          <w:szCs w:val="20"/>
          <w:lang w:val="en-US"/>
        </w:rPr>
      </w:pPr>
      <w:proofErr w:type="spellStart"/>
      <w:r w:rsidRPr="00FF0CD6">
        <w:rPr>
          <w:i/>
          <w:iCs/>
          <w:sz w:val="20"/>
          <w:szCs w:val="20"/>
          <w:lang w:val="en-US"/>
        </w:rPr>
        <w:t>ralism</w:t>
      </w:r>
      <w:proofErr w:type="spellEnd"/>
      <w:r w:rsidRPr="00FF0CD6">
        <w:rPr>
          <w:i/>
          <w:iCs/>
          <w:sz w:val="20"/>
          <w:szCs w:val="20"/>
          <w:lang w:val="en-US"/>
        </w:rPr>
        <w:t xml:space="preserve"> and Unofficial Law, 18</w:t>
      </w:r>
      <w:r w:rsidRPr="00FF0CD6">
        <w:rPr>
          <w:sz w:val="20"/>
          <w:szCs w:val="20"/>
          <w:lang w:val="en-US"/>
        </w:rPr>
        <w:t xml:space="preserve">(24), 1–55. </w:t>
      </w:r>
    </w:p>
    <w:p w14:paraId="77B16249" w14:textId="6033C785" w:rsidR="00690809" w:rsidRPr="00FF0CD6" w:rsidRDefault="00690809" w:rsidP="00690809">
      <w:pPr>
        <w:spacing w:before="0" w:after="0"/>
        <w:ind w:left="708"/>
        <w:rPr>
          <w:sz w:val="20"/>
          <w:szCs w:val="20"/>
          <w:lang w:val="en-US"/>
        </w:rPr>
      </w:pPr>
      <w:hyperlink r:id="rId15" w:history="1">
        <w:r w:rsidRPr="00FF0CD6">
          <w:rPr>
            <w:rStyle w:val="Hipervnculo"/>
            <w:sz w:val="20"/>
            <w:szCs w:val="20"/>
            <w:lang w:val="en-US"/>
          </w:rPr>
          <w:t>https://doi.org/10.1080/07329113.1986.10756387</w:t>
        </w:r>
      </w:hyperlink>
    </w:p>
    <w:p w14:paraId="2296449F" w14:textId="77777777" w:rsidR="00690809" w:rsidRPr="00FF0CD6" w:rsidRDefault="00690809" w:rsidP="00690809">
      <w:pPr>
        <w:spacing w:before="0" w:after="0"/>
        <w:rPr>
          <w:i/>
          <w:iCs/>
          <w:sz w:val="20"/>
          <w:szCs w:val="20"/>
          <w:lang w:val="en-US"/>
        </w:rPr>
      </w:pPr>
      <w:proofErr w:type="spellStart"/>
      <w:r w:rsidRPr="00FF0CD6">
        <w:rPr>
          <w:sz w:val="20"/>
          <w:szCs w:val="20"/>
          <w:lang w:val="en-US"/>
        </w:rPr>
        <w:t>Kymlicka</w:t>
      </w:r>
      <w:proofErr w:type="spellEnd"/>
      <w:r w:rsidRPr="00FF0CD6">
        <w:rPr>
          <w:sz w:val="20"/>
          <w:szCs w:val="20"/>
          <w:lang w:val="en-US"/>
        </w:rPr>
        <w:t xml:space="preserve">, W. (1995). </w:t>
      </w:r>
      <w:r w:rsidRPr="00FF0CD6">
        <w:rPr>
          <w:i/>
          <w:iCs/>
          <w:sz w:val="20"/>
          <w:szCs w:val="20"/>
          <w:lang w:val="en-US"/>
        </w:rPr>
        <w:t>Multicultural citizenship: A liberal theory of mi</w:t>
      </w:r>
    </w:p>
    <w:p w14:paraId="6B1487A6" w14:textId="03DF24DF" w:rsidR="00690809" w:rsidRPr="00FF0CD6" w:rsidRDefault="00690809" w:rsidP="00690809">
      <w:pPr>
        <w:spacing w:before="0" w:after="0"/>
        <w:ind w:firstLine="708"/>
        <w:rPr>
          <w:sz w:val="20"/>
          <w:szCs w:val="20"/>
          <w:lang w:val="en-US"/>
        </w:rPr>
      </w:pPr>
      <w:proofErr w:type="spellStart"/>
      <w:r w:rsidRPr="00FF0CD6">
        <w:rPr>
          <w:i/>
          <w:iCs/>
          <w:sz w:val="20"/>
          <w:szCs w:val="20"/>
          <w:lang w:val="en-US"/>
        </w:rPr>
        <w:t>nority</w:t>
      </w:r>
      <w:proofErr w:type="spellEnd"/>
      <w:r w:rsidRPr="00FF0CD6">
        <w:rPr>
          <w:i/>
          <w:iCs/>
          <w:sz w:val="20"/>
          <w:szCs w:val="20"/>
          <w:lang w:val="en-US"/>
        </w:rPr>
        <w:t xml:space="preserve"> rights</w:t>
      </w:r>
      <w:r w:rsidRPr="00FF0CD6">
        <w:rPr>
          <w:sz w:val="20"/>
          <w:szCs w:val="20"/>
          <w:lang w:val="en-US"/>
        </w:rPr>
        <w:t>. Oxford University Press.</w:t>
      </w:r>
    </w:p>
    <w:p w14:paraId="3BDB938F" w14:textId="77777777" w:rsidR="00690809" w:rsidRPr="00FF0CD6" w:rsidRDefault="00690809" w:rsidP="00690809">
      <w:pPr>
        <w:spacing w:before="0" w:after="0"/>
        <w:rPr>
          <w:sz w:val="20"/>
          <w:szCs w:val="20"/>
          <w:lang w:val="es-EC"/>
        </w:rPr>
      </w:pPr>
      <w:proofErr w:type="spellStart"/>
      <w:r w:rsidRPr="00FF0CD6">
        <w:rPr>
          <w:sz w:val="20"/>
          <w:szCs w:val="20"/>
          <w:lang w:val="es-EC"/>
        </w:rPr>
        <w:t>Langbroek</w:t>
      </w:r>
      <w:proofErr w:type="spellEnd"/>
      <w:r w:rsidRPr="00FF0CD6">
        <w:rPr>
          <w:sz w:val="20"/>
          <w:szCs w:val="20"/>
          <w:lang w:val="es-EC"/>
        </w:rPr>
        <w:t>, P., van den Bos, K., Thomas, M. S., Milo, M., &amp; van Ros</w:t>
      </w:r>
    </w:p>
    <w:p w14:paraId="557248EA" w14:textId="77777777" w:rsidR="00690809" w:rsidRPr="00FF0CD6" w:rsidRDefault="00690809" w:rsidP="00690809">
      <w:pPr>
        <w:spacing w:before="0" w:after="0"/>
        <w:ind w:left="708"/>
        <w:rPr>
          <w:sz w:val="20"/>
          <w:szCs w:val="20"/>
          <w:lang w:val="en-US"/>
        </w:rPr>
      </w:pPr>
      <w:r w:rsidRPr="00FF0CD6">
        <w:rPr>
          <w:sz w:val="20"/>
          <w:szCs w:val="20"/>
          <w:lang w:val="en-US"/>
        </w:rPr>
        <w:t xml:space="preserve">sum, W. (2017). Methodology of legal research: Challenges and opportunities. </w:t>
      </w:r>
      <w:r w:rsidRPr="00FF0CD6">
        <w:rPr>
          <w:i/>
          <w:iCs/>
          <w:sz w:val="20"/>
          <w:szCs w:val="20"/>
          <w:lang w:val="en-US"/>
        </w:rPr>
        <w:t>Utrecht Law Review, 13</w:t>
      </w:r>
      <w:r w:rsidRPr="00FF0CD6">
        <w:rPr>
          <w:sz w:val="20"/>
          <w:szCs w:val="20"/>
          <w:lang w:val="en-US"/>
        </w:rPr>
        <w:t xml:space="preserve">(3), 1–8. </w:t>
      </w:r>
    </w:p>
    <w:p w14:paraId="0DA4D256" w14:textId="04A5744D" w:rsidR="00690809" w:rsidRPr="00FF0CD6" w:rsidRDefault="00690809" w:rsidP="00690809">
      <w:pPr>
        <w:spacing w:before="0" w:after="0"/>
        <w:ind w:firstLine="708"/>
        <w:rPr>
          <w:sz w:val="20"/>
          <w:szCs w:val="20"/>
          <w:lang w:val="en-US"/>
        </w:rPr>
      </w:pPr>
      <w:hyperlink r:id="rId16" w:history="1">
        <w:r w:rsidRPr="00FF0CD6">
          <w:rPr>
            <w:rStyle w:val="Hipervnculo"/>
            <w:sz w:val="20"/>
            <w:szCs w:val="20"/>
            <w:lang w:val="en-US"/>
          </w:rPr>
          <w:t>https://doi.org/10.18352/ulr.411</w:t>
        </w:r>
      </w:hyperlink>
    </w:p>
    <w:p w14:paraId="4DAB02FE" w14:textId="77777777" w:rsidR="00690809" w:rsidRPr="00FF0CD6" w:rsidRDefault="00690809" w:rsidP="00690809">
      <w:pPr>
        <w:spacing w:before="0" w:after="0"/>
        <w:rPr>
          <w:sz w:val="20"/>
          <w:szCs w:val="20"/>
          <w:lang w:val="en-US"/>
        </w:rPr>
      </w:pPr>
      <w:r w:rsidRPr="00FF0CD6">
        <w:rPr>
          <w:sz w:val="20"/>
          <w:szCs w:val="20"/>
          <w:lang w:val="en-US"/>
        </w:rPr>
        <w:t xml:space="preserve">Malinowski, B. (1926). </w:t>
      </w:r>
      <w:r w:rsidRPr="00FF0CD6">
        <w:rPr>
          <w:i/>
          <w:iCs/>
          <w:sz w:val="20"/>
          <w:szCs w:val="20"/>
          <w:lang w:val="en-US"/>
        </w:rPr>
        <w:t xml:space="preserve">Crime and </w:t>
      </w:r>
      <w:proofErr w:type="gramStart"/>
      <w:r w:rsidRPr="00FF0CD6">
        <w:rPr>
          <w:i/>
          <w:iCs/>
          <w:sz w:val="20"/>
          <w:szCs w:val="20"/>
          <w:lang w:val="en-US"/>
        </w:rPr>
        <w:t>custom</w:t>
      </w:r>
      <w:proofErr w:type="gramEnd"/>
      <w:r w:rsidRPr="00FF0CD6">
        <w:rPr>
          <w:i/>
          <w:iCs/>
          <w:sz w:val="20"/>
          <w:szCs w:val="20"/>
          <w:lang w:val="en-US"/>
        </w:rPr>
        <w:t xml:space="preserve"> in savage society</w:t>
      </w:r>
      <w:r w:rsidRPr="00FF0CD6">
        <w:rPr>
          <w:sz w:val="20"/>
          <w:szCs w:val="20"/>
          <w:lang w:val="en-US"/>
        </w:rPr>
        <w:t xml:space="preserve">. Kegan </w:t>
      </w:r>
    </w:p>
    <w:p w14:paraId="0725D76E" w14:textId="0EB194ED" w:rsidR="00690809" w:rsidRPr="00FF0CD6" w:rsidRDefault="00690809" w:rsidP="00690809">
      <w:pPr>
        <w:spacing w:before="0" w:after="0"/>
        <w:ind w:firstLine="708"/>
        <w:rPr>
          <w:sz w:val="20"/>
          <w:szCs w:val="20"/>
          <w:lang w:val="en-US"/>
        </w:rPr>
      </w:pPr>
      <w:r w:rsidRPr="00FF0CD6">
        <w:rPr>
          <w:sz w:val="20"/>
          <w:szCs w:val="20"/>
          <w:lang w:val="en-US"/>
        </w:rPr>
        <w:t xml:space="preserve">Paul, Trench, </w:t>
      </w:r>
      <w:proofErr w:type="spellStart"/>
      <w:r w:rsidRPr="00FF0CD6">
        <w:rPr>
          <w:sz w:val="20"/>
          <w:szCs w:val="20"/>
          <w:lang w:val="en-US"/>
        </w:rPr>
        <w:t>Trubner</w:t>
      </w:r>
      <w:proofErr w:type="spellEnd"/>
      <w:r w:rsidRPr="00FF0CD6">
        <w:rPr>
          <w:sz w:val="20"/>
          <w:szCs w:val="20"/>
          <w:lang w:val="en-US"/>
        </w:rPr>
        <w:t xml:space="preserve"> &amp; Co.</w:t>
      </w:r>
    </w:p>
    <w:p w14:paraId="43B78D78" w14:textId="77777777" w:rsidR="00690809" w:rsidRPr="00FF0CD6" w:rsidRDefault="00690809" w:rsidP="00690809">
      <w:pPr>
        <w:spacing w:before="0" w:after="0"/>
        <w:rPr>
          <w:i/>
          <w:iCs/>
          <w:sz w:val="20"/>
          <w:szCs w:val="20"/>
          <w:lang w:val="en-US"/>
        </w:rPr>
      </w:pPr>
      <w:r w:rsidRPr="00FF0CD6">
        <w:rPr>
          <w:sz w:val="20"/>
          <w:szCs w:val="20"/>
          <w:lang w:val="en-US"/>
        </w:rPr>
        <w:t xml:space="preserve">Merry, S. E. (2006). </w:t>
      </w:r>
      <w:r w:rsidRPr="00FF0CD6">
        <w:rPr>
          <w:i/>
          <w:iCs/>
          <w:sz w:val="20"/>
          <w:szCs w:val="20"/>
          <w:lang w:val="en-US"/>
        </w:rPr>
        <w:t xml:space="preserve">Human rights and gender violence: Translating </w:t>
      </w:r>
    </w:p>
    <w:p w14:paraId="51C6548D" w14:textId="349E9B46" w:rsidR="00690809" w:rsidRPr="00FF0CD6" w:rsidRDefault="00690809" w:rsidP="00690809">
      <w:pPr>
        <w:spacing w:before="0" w:after="0"/>
        <w:ind w:firstLine="708"/>
        <w:rPr>
          <w:sz w:val="20"/>
          <w:szCs w:val="20"/>
          <w:lang w:val="en-US"/>
        </w:rPr>
      </w:pPr>
      <w:r w:rsidRPr="00FF0CD6">
        <w:rPr>
          <w:i/>
          <w:iCs/>
          <w:sz w:val="20"/>
          <w:szCs w:val="20"/>
          <w:lang w:val="en-US"/>
        </w:rPr>
        <w:t>international law into local justice</w:t>
      </w:r>
      <w:r w:rsidRPr="00FF0CD6">
        <w:rPr>
          <w:sz w:val="20"/>
          <w:szCs w:val="20"/>
          <w:lang w:val="en-US"/>
        </w:rPr>
        <w:t>. University of Chicago Press.</w:t>
      </w:r>
    </w:p>
    <w:p w14:paraId="6837203D" w14:textId="77777777" w:rsidR="00690809" w:rsidRPr="00FF0CD6" w:rsidRDefault="00690809" w:rsidP="00690809">
      <w:pPr>
        <w:spacing w:before="0" w:after="0"/>
        <w:rPr>
          <w:sz w:val="20"/>
          <w:szCs w:val="20"/>
          <w:lang w:val="en-US"/>
        </w:rPr>
      </w:pPr>
      <w:proofErr w:type="spellStart"/>
      <w:r w:rsidRPr="00FF0CD6">
        <w:rPr>
          <w:sz w:val="20"/>
          <w:szCs w:val="20"/>
          <w:lang w:val="en-US"/>
        </w:rPr>
        <w:t>Mignolo</w:t>
      </w:r>
      <w:proofErr w:type="spellEnd"/>
      <w:r w:rsidRPr="00FF0CD6">
        <w:rPr>
          <w:sz w:val="20"/>
          <w:szCs w:val="20"/>
          <w:lang w:val="en-US"/>
        </w:rPr>
        <w:t xml:space="preserve">, W. D. (2007). Delinking: The rhetoric of modernity, the logic </w:t>
      </w:r>
    </w:p>
    <w:p w14:paraId="40A68AE7" w14:textId="73BB018B" w:rsidR="00690809" w:rsidRPr="00FF0CD6" w:rsidRDefault="00690809" w:rsidP="00690809">
      <w:pPr>
        <w:spacing w:before="0" w:after="0"/>
        <w:ind w:left="708"/>
        <w:rPr>
          <w:sz w:val="20"/>
          <w:szCs w:val="20"/>
          <w:lang w:val="en-US"/>
        </w:rPr>
      </w:pPr>
      <w:r w:rsidRPr="00FF0CD6">
        <w:rPr>
          <w:sz w:val="20"/>
          <w:szCs w:val="20"/>
          <w:lang w:val="en-US"/>
        </w:rPr>
        <w:t xml:space="preserve">of coloniality and the grammar of de-coloniality. </w:t>
      </w:r>
      <w:r w:rsidRPr="00FF0CD6">
        <w:rPr>
          <w:i/>
          <w:iCs/>
          <w:sz w:val="20"/>
          <w:szCs w:val="20"/>
          <w:lang w:val="en-US"/>
        </w:rPr>
        <w:t>Cultural Studies, 21</w:t>
      </w:r>
      <w:r w:rsidRPr="00FF0CD6">
        <w:rPr>
          <w:sz w:val="20"/>
          <w:szCs w:val="20"/>
          <w:lang w:val="en-US"/>
        </w:rPr>
        <w:t xml:space="preserve">(2–3), 449–514. </w:t>
      </w:r>
      <w:hyperlink r:id="rId17" w:tgtFrame="_new" w:history="1">
        <w:r w:rsidRPr="00FF0CD6">
          <w:rPr>
            <w:rStyle w:val="Hipervnculo"/>
            <w:sz w:val="20"/>
            <w:szCs w:val="20"/>
            <w:lang w:val="en-US"/>
          </w:rPr>
          <w:t>https://doi.org/10.1080/09502380601162647</w:t>
        </w:r>
      </w:hyperlink>
    </w:p>
    <w:p w14:paraId="1E5818A3" w14:textId="77777777" w:rsidR="00690809" w:rsidRPr="00FF0CD6" w:rsidRDefault="00690809" w:rsidP="00690809">
      <w:pPr>
        <w:spacing w:before="0" w:after="0"/>
        <w:rPr>
          <w:sz w:val="20"/>
          <w:szCs w:val="20"/>
          <w:lang w:val="en-US"/>
        </w:rPr>
      </w:pPr>
      <w:r w:rsidRPr="00FF0CD6">
        <w:rPr>
          <w:sz w:val="20"/>
          <w:szCs w:val="20"/>
          <w:lang w:val="en-US"/>
        </w:rPr>
        <w:t>Moore, S. F. (1973). Law and social change: The semi-autonomous so</w:t>
      </w:r>
    </w:p>
    <w:p w14:paraId="502B860D" w14:textId="25DCAFFC" w:rsidR="00690809" w:rsidRPr="00FF0CD6" w:rsidRDefault="00690809" w:rsidP="00690809">
      <w:pPr>
        <w:spacing w:before="0" w:after="0"/>
        <w:ind w:left="708"/>
        <w:rPr>
          <w:sz w:val="20"/>
          <w:szCs w:val="20"/>
          <w:lang w:val="en-US"/>
        </w:rPr>
      </w:pPr>
      <w:proofErr w:type="spellStart"/>
      <w:r w:rsidRPr="00FF0CD6">
        <w:rPr>
          <w:sz w:val="20"/>
          <w:szCs w:val="20"/>
          <w:lang w:val="en-US"/>
        </w:rPr>
        <w:t>cial</w:t>
      </w:r>
      <w:proofErr w:type="spellEnd"/>
      <w:r w:rsidRPr="00FF0CD6">
        <w:rPr>
          <w:sz w:val="20"/>
          <w:szCs w:val="20"/>
          <w:lang w:val="en-US"/>
        </w:rPr>
        <w:t xml:space="preserve"> field as an appropriate subject of study. </w:t>
      </w:r>
      <w:r w:rsidRPr="00FF0CD6">
        <w:rPr>
          <w:i/>
          <w:iCs/>
          <w:sz w:val="20"/>
          <w:szCs w:val="20"/>
          <w:lang w:val="en-US"/>
        </w:rPr>
        <w:t>Law &amp; Society Review, 7</w:t>
      </w:r>
      <w:r w:rsidRPr="00FF0CD6">
        <w:rPr>
          <w:sz w:val="20"/>
          <w:szCs w:val="20"/>
          <w:lang w:val="en-US"/>
        </w:rPr>
        <w:t xml:space="preserve">(4), 719–746. </w:t>
      </w:r>
      <w:hyperlink r:id="rId18" w:tgtFrame="_new" w:history="1">
        <w:r w:rsidRPr="00FF0CD6">
          <w:rPr>
            <w:rStyle w:val="Hipervnculo"/>
            <w:sz w:val="20"/>
            <w:szCs w:val="20"/>
            <w:lang w:val="en-US"/>
          </w:rPr>
          <w:t>https://doi.org/10.2307/3052967</w:t>
        </w:r>
      </w:hyperlink>
    </w:p>
    <w:p w14:paraId="40778244" w14:textId="77777777" w:rsidR="00690809" w:rsidRPr="00FF0CD6" w:rsidRDefault="00690809" w:rsidP="00690809">
      <w:pPr>
        <w:spacing w:before="0" w:after="0"/>
        <w:rPr>
          <w:i/>
          <w:iCs/>
          <w:sz w:val="20"/>
          <w:szCs w:val="20"/>
          <w:lang w:val="es-EC"/>
        </w:rPr>
      </w:pPr>
      <w:r w:rsidRPr="00FF0CD6">
        <w:rPr>
          <w:sz w:val="20"/>
          <w:szCs w:val="20"/>
          <w:lang w:val="es-EC"/>
        </w:rPr>
        <w:t xml:space="preserve">Naciones Unidas. (2007). </w:t>
      </w:r>
      <w:r w:rsidRPr="00FF0CD6">
        <w:rPr>
          <w:i/>
          <w:iCs/>
          <w:sz w:val="20"/>
          <w:szCs w:val="20"/>
          <w:lang w:val="es-EC"/>
        </w:rPr>
        <w:t xml:space="preserve">Declaración de las Naciones Unidas sobre </w:t>
      </w:r>
    </w:p>
    <w:p w14:paraId="30C27B2A" w14:textId="2C50109D" w:rsidR="00690809" w:rsidRPr="00FF0CD6" w:rsidRDefault="00690809" w:rsidP="00690809">
      <w:pPr>
        <w:spacing w:before="0" w:after="0"/>
        <w:ind w:left="708"/>
        <w:rPr>
          <w:sz w:val="20"/>
          <w:szCs w:val="20"/>
          <w:lang w:val="es-EC"/>
        </w:rPr>
      </w:pPr>
      <w:r w:rsidRPr="00FF0CD6">
        <w:rPr>
          <w:i/>
          <w:iCs/>
          <w:sz w:val="20"/>
          <w:szCs w:val="20"/>
          <w:lang w:val="es-EC"/>
        </w:rPr>
        <w:t>los derechos de los pueblos indígenas</w:t>
      </w:r>
      <w:r w:rsidRPr="00FF0CD6">
        <w:rPr>
          <w:sz w:val="20"/>
          <w:szCs w:val="20"/>
          <w:lang w:val="es-EC"/>
        </w:rPr>
        <w:t xml:space="preserve">. </w:t>
      </w:r>
      <w:hyperlink r:id="rId19" w:history="1">
        <w:r w:rsidRPr="00FF0CD6">
          <w:rPr>
            <w:rStyle w:val="Hipervnculo"/>
            <w:sz w:val="20"/>
            <w:szCs w:val="20"/>
            <w:lang w:val="es-EC"/>
          </w:rPr>
          <w:t>https://www.un.org/esa/socdev/unpfii/documents/DRIPS_es.pdf</w:t>
        </w:r>
      </w:hyperlink>
    </w:p>
    <w:p w14:paraId="6114F228" w14:textId="77777777" w:rsidR="00690809" w:rsidRPr="00FF0CD6" w:rsidRDefault="00690809" w:rsidP="00690809">
      <w:pPr>
        <w:spacing w:before="0" w:after="0"/>
        <w:rPr>
          <w:i/>
          <w:iCs/>
          <w:sz w:val="20"/>
          <w:szCs w:val="20"/>
          <w:lang w:val="es-EC"/>
        </w:rPr>
      </w:pPr>
      <w:r w:rsidRPr="00FF0CD6">
        <w:rPr>
          <w:sz w:val="20"/>
          <w:szCs w:val="20"/>
          <w:lang w:val="es-EC"/>
        </w:rPr>
        <w:t xml:space="preserve">Organización Internacional del Trabajo. (1989). </w:t>
      </w:r>
      <w:r w:rsidRPr="00FF0CD6">
        <w:rPr>
          <w:i/>
          <w:iCs/>
          <w:sz w:val="20"/>
          <w:szCs w:val="20"/>
          <w:lang w:val="es-EC"/>
        </w:rPr>
        <w:t>Convenio sobre pue</w:t>
      </w:r>
    </w:p>
    <w:p w14:paraId="2FFBB6F3" w14:textId="3CB40447" w:rsidR="00690809" w:rsidRPr="00FF0CD6" w:rsidRDefault="00690809" w:rsidP="00690809">
      <w:pPr>
        <w:spacing w:before="0" w:after="0"/>
        <w:ind w:left="708"/>
        <w:rPr>
          <w:sz w:val="20"/>
          <w:szCs w:val="20"/>
          <w:lang w:val="es-EC"/>
        </w:rPr>
      </w:pPr>
      <w:proofErr w:type="spellStart"/>
      <w:r w:rsidRPr="00FF0CD6">
        <w:rPr>
          <w:i/>
          <w:iCs/>
          <w:sz w:val="20"/>
          <w:szCs w:val="20"/>
          <w:lang w:val="es-EC"/>
        </w:rPr>
        <w:lastRenderedPageBreak/>
        <w:t>blos</w:t>
      </w:r>
      <w:proofErr w:type="spellEnd"/>
      <w:r w:rsidRPr="00FF0CD6">
        <w:rPr>
          <w:i/>
          <w:iCs/>
          <w:sz w:val="20"/>
          <w:szCs w:val="20"/>
          <w:lang w:val="es-EC"/>
        </w:rPr>
        <w:t xml:space="preserve"> indígenas y tribales, 1989 (núm. 169).</w:t>
      </w:r>
      <w:r w:rsidRPr="00FF0CD6">
        <w:rPr>
          <w:sz w:val="20"/>
          <w:szCs w:val="20"/>
          <w:lang w:val="es-EC"/>
        </w:rPr>
        <w:t xml:space="preserve"> https://normlex.ilo.org/dyn/nrmlx_es/f?p=NORMLEXPUB:12100:0::NO::P12100_INSTRUMENT_ID:312314</w:t>
      </w:r>
    </w:p>
    <w:p w14:paraId="759A47AC" w14:textId="77777777" w:rsidR="00690809" w:rsidRPr="00FF0CD6" w:rsidRDefault="00690809" w:rsidP="00690809">
      <w:pPr>
        <w:spacing w:before="0" w:after="0"/>
        <w:rPr>
          <w:sz w:val="20"/>
          <w:szCs w:val="20"/>
          <w:lang w:val="en-US"/>
        </w:rPr>
      </w:pPr>
      <w:r w:rsidRPr="00FF0CD6">
        <w:rPr>
          <w:sz w:val="20"/>
          <w:szCs w:val="20"/>
          <w:lang w:val="en-US"/>
        </w:rPr>
        <w:t xml:space="preserve">Quijano, A. (2000). Coloniality of power and Eurocentrism in Latin </w:t>
      </w:r>
    </w:p>
    <w:p w14:paraId="66A6670F" w14:textId="5B2B4F6C" w:rsidR="00690809" w:rsidRPr="00FF0CD6" w:rsidRDefault="00690809" w:rsidP="00690809">
      <w:pPr>
        <w:spacing w:before="0" w:after="0"/>
        <w:ind w:left="708"/>
        <w:rPr>
          <w:sz w:val="20"/>
          <w:szCs w:val="20"/>
          <w:lang w:val="es-EC"/>
        </w:rPr>
      </w:pPr>
      <w:r w:rsidRPr="00FF0CD6">
        <w:rPr>
          <w:sz w:val="20"/>
          <w:szCs w:val="20"/>
          <w:lang w:val="es-EC"/>
        </w:rPr>
        <w:t xml:space="preserve">America. </w:t>
      </w:r>
      <w:r w:rsidRPr="00FF0CD6">
        <w:rPr>
          <w:i/>
          <w:iCs/>
          <w:sz w:val="20"/>
          <w:szCs w:val="20"/>
          <w:lang w:val="es-EC"/>
        </w:rPr>
        <w:t xml:space="preserve">International </w:t>
      </w:r>
      <w:proofErr w:type="spellStart"/>
      <w:r w:rsidRPr="00FF0CD6">
        <w:rPr>
          <w:i/>
          <w:iCs/>
          <w:sz w:val="20"/>
          <w:szCs w:val="20"/>
          <w:lang w:val="es-EC"/>
        </w:rPr>
        <w:t>Sociology</w:t>
      </w:r>
      <w:proofErr w:type="spellEnd"/>
      <w:r w:rsidRPr="00FF0CD6">
        <w:rPr>
          <w:i/>
          <w:iCs/>
          <w:sz w:val="20"/>
          <w:szCs w:val="20"/>
          <w:lang w:val="es-EC"/>
        </w:rPr>
        <w:t>, 15</w:t>
      </w:r>
      <w:r w:rsidRPr="00FF0CD6">
        <w:rPr>
          <w:sz w:val="20"/>
          <w:szCs w:val="20"/>
          <w:lang w:val="es-EC"/>
        </w:rPr>
        <w:t xml:space="preserve">(2), 215–232. </w:t>
      </w:r>
      <w:hyperlink r:id="rId20" w:history="1">
        <w:r w:rsidRPr="00FF0CD6">
          <w:rPr>
            <w:rStyle w:val="Hipervnculo"/>
            <w:sz w:val="20"/>
            <w:szCs w:val="20"/>
            <w:lang w:val="es-EC"/>
          </w:rPr>
          <w:t>https://doi.org/10.1177/0268580900015002005</w:t>
        </w:r>
      </w:hyperlink>
    </w:p>
    <w:p w14:paraId="18830E63" w14:textId="77777777" w:rsidR="00690809" w:rsidRPr="00FF0CD6" w:rsidRDefault="00690809" w:rsidP="00690809">
      <w:pPr>
        <w:spacing w:before="0" w:after="0"/>
        <w:rPr>
          <w:i/>
          <w:iCs/>
          <w:sz w:val="20"/>
          <w:szCs w:val="20"/>
          <w:lang w:val="es-EC"/>
        </w:rPr>
      </w:pPr>
      <w:r w:rsidRPr="00FF0CD6">
        <w:rPr>
          <w:sz w:val="20"/>
          <w:szCs w:val="20"/>
          <w:lang w:val="es-EC"/>
        </w:rPr>
        <w:t xml:space="preserve">Santos, B. de S. (2010). </w:t>
      </w:r>
      <w:r w:rsidRPr="00FF0CD6">
        <w:rPr>
          <w:i/>
          <w:iCs/>
          <w:sz w:val="20"/>
          <w:szCs w:val="20"/>
          <w:lang w:val="es-EC"/>
        </w:rPr>
        <w:t>Para descolonizar Occidente: Más allá del pen</w:t>
      </w:r>
    </w:p>
    <w:p w14:paraId="18CCA20A" w14:textId="5410831F" w:rsidR="00690809" w:rsidRPr="00FF0CD6" w:rsidRDefault="00690809" w:rsidP="00690809">
      <w:pPr>
        <w:spacing w:before="0" w:after="0"/>
        <w:ind w:firstLine="708"/>
        <w:rPr>
          <w:sz w:val="20"/>
          <w:szCs w:val="20"/>
          <w:lang w:val="es-EC"/>
        </w:rPr>
      </w:pPr>
      <w:proofErr w:type="spellStart"/>
      <w:r w:rsidRPr="00FF0CD6">
        <w:rPr>
          <w:i/>
          <w:iCs/>
          <w:sz w:val="20"/>
          <w:szCs w:val="20"/>
          <w:lang w:val="es-EC"/>
        </w:rPr>
        <w:t>samiento</w:t>
      </w:r>
      <w:proofErr w:type="spellEnd"/>
      <w:r w:rsidRPr="00FF0CD6">
        <w:rPr>
          <w:i/>
          <w:iCs/>
          <w:sz w:val="20"/>
          <w:szCs w:val="20"/>
          <w:lang w:val="es-EC"/>
        </w:rPr>
        <w:t xml:space="preserve"> abismal</w:t>
      </w:r>
      <w:r w:rsidRPr="00FF0CD6">
        <w:rPr>
          <w:sz w:val="20"/>
          <w:szCs w:val="20"/>
          <w:lang w:val="es-EC"/>
        </w:rPr>
        <w:t>. CLACSO; Prometeo Libros.</w:t>
      </w:r>
    </w:p>
    <w:p w14:paraId="7D237E8C" w14:textId="77777777" w:rsidR="00690809" w:rsidRPr="00FF0CD6" w:rsidRDefault="00690809" w:rsidP="00690809">
      <w:pPr>
        <w:spacing w:before="0" w:after="0"/>
        <w:rPr>
          <w:i/>
          <w:iCs/>
          <w:sz w:val="20"/>
          <w:szCs w:val="20"/>
          <w:lang w:val="es-EC"/>
        </w:rPr>
      </w:pPr>
      <w:r w:rsidRPr="00FF0CD6">
        <w:rPr>
          <w:sz w:val="20"/>
          <w:szCs w:val="20"/>
          <w:lang w:val="es-EC"/>
        </w:rPr>
        <w:t xml:space="preserve">Santos, B. de S., &amp; Grijalva Jiménez, A. (Eds.). (2012). </w:t>
      </w:r>
      <w:r w:rsidRPr="00FF0CD6">
        <w:rPr>
          <w:i/>
          <w:iCs/>
          <w:sz w:val="20"/>
          <w:szCs w:val="20"/>
          <w:lang w:val="es-EC"/>
        </w:rPr>
        <w:t xml:space="preserve">Justicia </w:t>
      </w:r>
      <w:proofErr w:type="spellStart"/>
      <w:r w:rsidRPr="00FF0CD6">
        <w:rPr>
          <w:i/>
          <w:iCs/>
          <w:sz w:val="20"/>
          <w:szCs w:val="20"/>
          <w:lang w:val="es-EC"/>
        </w:rPr>
        <w:t>indí</w:t>
      </w:r>
      <w:proofErr w:type="spellEnd"/>
    </w:p>
    <w:p w14:paraId="7D710935" w14:textId="76CBA26F" w:rsidR="00690809" w:rsidRPr="00FF0CD6" w:rsidRDefault="00690809" w:rsidP="00690809">
      <w:pPr>
        <w:spacing w:before="0" w:after="0"/>
        <w:ind w:left="708"/>
        <w:rPr>
          <w:sz w:val="20"/>
          <w:szCs w:val="20"/>
          <w:lang w:val="es-EC"/>
        </w:rPr>
      </w:pPr>
      <w:r w:rsidRPr="00FF0CD6">
        <w:rPr>
          <w:i/>
          <w:iCs/>
          <w:sz w:val="20"/>
          <w:szCs w:val="20"/>
          <w:lang w:val="es-EC"/>
        </w:rPr>
        <w:t>gena, plurinacionalidad e interculturalidad en Ecuador</w:t>
      </w:r>
      <w:r w:rsidRPr="00FF0CD6">
        <w:rPr>
          <w:sz w:val="20"/>
          <w:szCs w:val="20"/>
          <w:lang w:val="es-EC"/>
        </w:rPr>
        <w:t xml:space="preserve">. Ediciones Abya-Yala; Fundación Rosa Luxemburg. </w:t>
      </w:r>
      <w:hyperlink r:id="rId21" w:tgtFrame="_new" w:history="1">
        <w:r w:rsidRPr="00FF0CD6">
          <w:rPr>
            <w:rStyle w:val="Hipervnculo"/>
            <w:sz w:val="20"/>
            <w:szCs w:val="20"/>
            <w:lang w:val="es-EC"/>
          </w:rPr>
          <w:t>https://dspace.ups.edu.ec/handle/123456789/24903</w:t>
        </w:r>
      </w:hyperlink>
    </w:p>
    <w:p w14:paraId="76CCE8BB" w14:textId="77777777" w:rsidR="00690809" w:rsidRPr="00FF0CD6" w:rsidRDefault="00690809" w:rsidP="00690809">
      <w:pPr>
        <w:spacing w:before="0" w:after="0"/>
        <w:rPr>
          <w:i/>
          <w:iCs/>
          <w:sz w:val="20"/>
          <w:szCs w:val="20"/>
          <w:lang w:val="en-US"/>
        </w:rPr>
      </w:pPr>
      <w:proofErr w:type="spellStart"/>
      <w:r w:rsidRPr="00FF0CD6">
        <w:rPr>
          <w:sz w:val="20"/>
          <w:szCs w:val="20"/>
          <w:lang w:val="en-US"/>
        </w:rPr>
        <w:t>Stavenhagen</w:t>
      </w:r>
      <w:proofErr w:type="spellEnd"/>
      <w:r w:rsidRPr="00FF0CD6">
        <w:rPr>
          <w:sz w:val="20"/>
          <w:szCs w:val="20"/>
          <w:lang w:val="en-US"/>
        </w:rPr>
        <w:t xml:space="preserve">, R. (2002). </w:t>
      </w:r>
      <w:r w:rsidRPr="00FF0CD6">
        <w:rPr>
          <w:i/>
          <w:iCs/>
          <w:sz w:val="20"/>
          <w:szCs w:val="20"/>
          <w:lang w:val="en-US"/>
        </w:rPr>
        <w:t xml:space="preserve">Human rights and indigenous issues: Report </w:t>
      </w:r>
    </w:p>
    <w:p w14:paraId="747B4391" w14:textId="55BAB55F" w:rsidR="00690809" w:rsidRPr="00FF0CD6" w:rsidRDefault="00690809" w:rsidP="00690809">
      <w:pPr>
        <w:spacing w:before="0" w:after="0"/>
        <w:ind w:left="708"/>
        <w:rPr>
          <w:sz w:val="20"/>
          <w:szCs w:val="20"/>
          <w:lang w:val="en-US"/>
        </w:rPr>
      </w:pPr>
      <w:r w:rsidRPr="00FF0CD6">
        <w:rPr>
          <w:i/>
          <w:iCs/>
          <w:sz w:val="20"/>
          <w:szCs w:val="20"/>
          <w:lang w:val="en-US"/>
        </w:rPr>
        <w:t>of the Special Rapporteur on the situation of human rights and fundamental freedoms of indigenous people</w:t>
      </w:r>
      <w:r w:rsidRPr="00FF0CD6">
        <w:rPr>
          <w:sz w:val="20"/>
          <w:szCs w:val="20"/>
          <w:lang w:val="en-US"/>
        </w:rPr>
        <w:t xml:space="preserve"> (E/CN.4/2002/97). United Nations Commission on Human Rights. </w:t>
      </w:r>
      <w:hyperlink r:id="rId22" w:tgtFrame="_new" w:history="1">
        <w:r w:rsidRPr="00FF0CD6">
          <w:rPr>
            <w:rStyle w:val="Hipervnculo"/>
            <w:sz w:val="20"/>
            <w:szCs w:val="20"/>
            <w:lang w:val="en-US"/>
          </w:rPr>
          <w:t>https://digitallibrary.un.org/record/458806</w:t>
        </w:r>
      </w:hyperlink>
    </w:p>
    <w:p w14:paraId="359D0B53" w14:textId="77777777" w:rsidR="00690809" w:rsidRPr="00FF0CD6" w:rsidRDefault="00690809" w:rsidP="00690809">
      <w:pPr>
        <w:spacing w:before="0" w:after="0"/>
        <w:rPr>
          <w:sz w:val="20"/>
          <w:szCs w:val="20"/>
          <w:lang w:val="es-EC"/>
        </w:rPr>
      </w:pPr>
      <w:r w:rsidRPr="00FF0CD6">
        <w:rPr>
          <w:sz w:val="20"/>
          <w:szCs w:val="20"/>
          <w:lang w:val="es-EC"/>
        </w:rPr>
        <w:t xml:space="preserve">Walsh, C. (2009). Interculturalidad crítica y pedagogía </w:t>
      </w:r>
      <w:proofErr w:type="spellStart"/>
      <w:r w:rsidRPr="00FF0CD6">
        <w:rPr>
          <w:sz w:val="20"/>
          <w:szCs w:val="20"/>
          <w:lang w:val="es-EC"/>
        </w:rPr>
        <w:t>de-colonial</w:t>
      </w:r>
      <w:proofErr w:type="spellEnd"/>
      <w:r w:rsidRPr="00FF0CD6">
        <w:rPr>
          <w:sz w:val="20"/>
          <w:szCs w:val="20"/>
          <w:lang w:val="es-EC"/>
        </w:rPr>
        <w:t xml:space="preserve">: </w:t>
      </w:r>
    </w:p>
    <w:p w14:paraId="37DC01B2" w14:textId="2E094B5D" w:rsidR="00690809" w:rsidRPr="00FF0CD6" w:rsidRDefault="00690809" w:rsidP="00690809">
      <w:pPr>
        <w:spacing w:before="0" w:after="0"/>
        <w:ind w:left="708"/>
        <w:rPr>
          <w:sz w:val="20"/>
          <w:szCs w:val="20"/>
          <w:lang w:val="en-US"/>
        </w:rPr>
      </w:pPr>
      <w:r w:rsidRPr="00FF0CD6">
        <w:rPr>
          <w:sz w:val="20"/>
          <w:szCs w:val="20"/>
          <w:lang w:val="es-EC"/>
        </w:rPr>
        <w:t>Apuestas (des)</w:t>
      </w:r>
      <w:proofErr w:type="spellStart"/>
      <w:r w:rsidRPr="00FF0CD6">
        <w:rPr>
          <w:sz w:val="20"/>
          <w:szCs w:val="20"/>
          <w:lang w:val="es-EC"/>
        </w:rPr>
        <w:t>de el</w:t>
      </w:r>
      <w:proofErr w:type="spellEnd"/>
      <w:r w:rsidRPr="00FF0CD6">
        <w:rPr>
          <w:sz w:val="20"/>
          <w:szCs w:val="20"/>
          <w:lang w:val="es-EC"/>
        </w:rPr>
        <w:t xml:space="preserve"> </w:t>
      </w:r>
      <w:proofErr w:type="spellStart"/>
      <w:r w:rsidRPr="00FF0CD6">
        <w:rPr>
          <w:sz w:val="20"/>
          <w:szCs w:val="20"/>
          <w:lang w:val="es-EC"/>
        </w:rPr>
        <w:t>in-surgir</w:t>
      </w:r>
      <w:proofErr w:type="spellEnd"/>
      <w:r w:rsidRPr="00FF0CD6">
        <w:rPr>
          <w:sz w:val="20"/>
          <w:szCs w:val="20"/>
          <w:lang w:val="es-EC"/>
        </w:rPr>
        <w:t xml:space="preserve">, </w:t>
      </w:r>
      <w:proofErr w:type="spellStart"/>
      <w:r w:rsidRPr="00FF0CD6">
        <w:rPr>
          <w:sz w:val="20"/>
          <w:szCs w:val="20"/>
          <w:lang w:val="es-EC"/>
        </w:rPr>
        <w:t>re-existir</w:t>
      </w:r>
      <w:proofErr w:type="spellEnd"/>
      <w:r w:rsidRPr="00FF0CD6">
        <w:rPr>
          <w:sz w:val="20"/>
          <w:szCs w:val="20"/>
          <w:lang w:val="es-EC"/>
        </w:rPr>
        <w:t xml:space="preserve"> y </w:t>
      </w:r>
      <w:proofErr w:type="spellStart"/>
      <w:r w:rsidRPr="00FF0CD6">
        <w:rPr>
          <w:sz w:val="20"/>
          <w:szCs w:val="20"/>
          <w:lang w:val="es-EC"/>
        </w:rPr>
        <w:t>re-vivir</w:t>
      </w:r>
      <w:proofErr w:type="spellEnd"/>
      <w:r w:rsidRPr="00FF0CD6">
        <w:rPr>
          <w:sz w:val="20"/>
          <w:szCs w:val="20"/>
          <w:lang w:val="es-EC"/>
        </w:rPr>
        <w:t xml:space="preserve">. </w:t>
      </w:r>
      <w:proofErr w:type="spellStart"/>
      <w:r w:rsidRPr="00FF0CD6">
        <w:rPr>
          <w:i/>
          <w:iCs/>
          <w:sz w:val="20"/>
          <w:szCs w:val="20"/>
          <w:lang w:val="en-US"/>
        </w:rPr>
        <w:t>Educação</w:t>
      </w:r>
      <w:proofErr w:type="spellEnd"/>
      <w:r w:rsidRPr="00FF0CD6">
        <w:rPr>
          <w:i/>
          <w:iCs/>
          <w:sz w:val="20"/>
          <w:szCs w:val="20"/>
          <w:lang w:val="en-US"/>
        </w:rPr>
        <w:t xml:space="preserve"> On-line</w:t>
      </w:r>
      <w:r w:rsidRPr="00FF0CD6">
        <w:rPr>
          <w:sz w:val="20"/>
          <w:szCs w:val="20"/>
          <w:lang w:val="en-US"/>
        </w:rPr>
        <w:t xml:space="preserve">, (4). </w:t>
      </w:r>
      <w:hyperlink r:id="rId23" w:tgtFrame="_new" w:history="1">
        <w:r w:rsidRPr="00FF0CD6">
          <w:rPr>
            <w:rStyle w:val="Hipervnculo"/>
            <w:sz w:val="20"/>
            <w:szCs w:val="20"/>
            <w:lang w:val="en-US"/>
          </w:rPr>
          <w:t>https://educacaoonline.edu.puc-rio.br/index.php/eduonline/article/view/1802</w:t>
        </w:r>
      </w:hyperlink>
    </w:p>
    <w:p w14:paraId="1CED1DA4" w14:textId="77777777" w:rsidR="00CE0F4B" w:rsidRPr="00FF0CD6" w:rsidRDefault="00CE0F4B" w:rsidP="008B6A98">
      <w:pPr>
        <w:rPr>
          <w:sz w:val="20"/>
          <w:szCs w:val="20"/>
          <w:lang w:val="en-US"/>
        </w:rPr>
      </w:pPr>
    </w:p>
    <w:sectPr w:rsidR="00CE0F4B" w:rsidRPr="00FF0CD6"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1CAD7" w14:textId="77777777" w:rsidR="0077152D" w:rsidRDefault="0077152D" w:rsidP="00EB0247">
      <w:pPr>
        <w:spacing w:after="0" w:line="240" w:lineRule="auto"/>
      </w:pPr>
      <w:r>
        <w:separator/>
      </w:r>
    </w:p>
  </w:endnote>
  <w:endnote w:type="continuationSeparator" w:id="0">
    <w:p w14:paraId="7D25F358" w14:textId="77777777" w:rsidR="0077152D" w:rsidRDefault="0077152D"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CB5D2" w14:textId="77777777" w:rsidR="0077152D" w:rsidRDefault="0077152D" w:rsidP="00EB0247">
      <w:pPr>
        <w:spacing w:after="0" w:line="240" w:lineRule="auto"/>
      </w:pPr>
      <w:r>
        <w:separator/>
      </w:r>
    </w:p>
  </w:footnote>
  <w:footnote w:type="continuationSeparator" w:id="0">
    <w:p w14:paraId="32ED630C" w14:textId="77777777" w:rsidR="0077152D" w:rsidRDefault="0077152D"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CEB48E1"/>
    <w:multiLevelType w:val="multilevel"/>
    <w:tmpl w:val="5DA6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30"/>
  </w:num>
  <w:num w:numId="21" w16cid:durableId="1389261098">
    <w:abstractNumId w:val="31"/>
  </w:num>
  <w:num w:numId="22" w16cid:durableId="2057120259">
    <w:abstractNumId w:val="21"/>
  </w:num>
  <w:num w:numId="23" w16cid:durableId="2094281302">
    <w:abstractNumId w:val="31"/>
    <w:lvlOverride w:ilvl="0">
      <w:startOverride w:val="1"/>
    </w:lvlOverride>
  </w:num>
  <w:num w:numId="24" w16cid:durableId="1101535958">
    <w:abstractNumId w:val="31"/>
    <w:lvlOverride w:ilvl="0">
      <w:startOverride w:val="1"/>
    </w:lvlOverride>
  </w:num>
  <w:num w:numId="25" w16cid:durableId="1325545862">
    <w:abstractNumId w:val="12"/>
  </w:num>
  <w:num w:numId="26" w16cid:durableId="577521618">
    <w:abstractNumId w:val="32"/>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3"/>
  </w:num>
  <w:num w:numId="36" w16cid:durableId="1414818766">
    <w:abstractNumId w:val="31"/>
    <w:lvlOverride w:ilvl="0">
      <w:startOverride w:val="1"/>
    </w:lvlOverride>
  </w:num>
  <w:num w:numId="37" w16cid:durableId="532958873">
    <w:abstractNumId w:val="31"/>
    <w:lvlOverride w:ilvl="0">
      <w:startOverride w:val="1"/>
    </w:lvlOverride>
  </w:num>
  <w:num w:numId="38" w16cid:durableId="1155561952">
    <w:abstractNumId w:val="31"/>
    <w:lvlOverride w:ilvl="0">
      <w:startOverride w:val="1"/>
    </w:lvlOverride>
  </w:num>
  <w:num w:numId="39" w16cid:durableId="342585045">
    <w:abstractNumId w:val="33"/>
    <w:lvlOverride w:ilvl="0">
      <w:startOverride w:val="1"/>
    </w:lvlOverride>
  </w:num>
  <w:num w:numId="40" w16cid:durableId="346520185">
    <w:abstractNumId w:val="33"/>
    <w:lvlOverride w:ilvl="0">
      <w:startOverride w:val="1"/>
    </w:lvlOverride>
  </w:num>
  <w:num w:numId="41" w16cid:durableId="1703744177">
    <w:abstractNumId w:val="31"/>
    <w:lvlOverride w:ilvl="0">
      <w:startOverride w:val="1"/>
    </w:lvlOverride>
  </w:num>
  <w:num w:numId="42" w16cid:durableId="457184035">
    <w:abstractNumId w:val="33"/>
    <w:lvlOverride w:ilvl="0">
      <w:startOverride w:val="1"/>
    </w:lvlOverride>
  </w:num>
  <w:num w:numId="43" w16cid:durableId="518083198">
    <w:abstractNumId w:val="31"/>
    <w:lvlOverride w:ilvl="0">
      <w:startOverride w:val="1"/>
    </w:lvlOverride>
  </w:num>
  <w:num w:numId="44" w16cid:durableId="150829909">
    <w:abstractNumId w:val="33"/>
    <w:lvlOverride w:ilvl="0">
      <w:startOverride w:val="1"/>
    </w:lvlOverride>
  </w:num>
  <w:num w:numId="45" w16cid:durableId="9422253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06D88"/>
    <w:rsid w:val="00012517"/>
    <w:rsid w:val="00033E3E"/>
    <w:rsid w:val="00063421"/>
    <w:rsid w:val="00097EEF"/>
    <w:rsid w:val="000B75E7"/>
    <w:rsid w:val="000C5EDB"/>
    <w:rsid w:val="001140A7"/>
    <w:rsid w:val="001348A0"/>
    <w:rsid w:val="00140844"/>
    <w:rsid w:val="001468AC"/>
    <w:rsid w:val="0015066B"/>
    <w:rsid w:val="00156F2B"/>
    <w:rsid w:val="0017410E"/>
    <w:rsid w:val="00182667"/>
    <w:rsid w:val="00185A00"/>
    <w:rsid w:val="0018654D"/>
    <w:rsid w:val="001950D8"/>
    <w:rsid w:val="00197D57"/>
    <w:rsid w:val="001A7AD8"/>
    <w:rsid w:val="001D088A"/>
    <w:rsid w:val="001E7C07"/>
    <w:rsid w:val="00215C44"/>
    <w:rsid w:val="00232EA7"/>
    <w:rsid w:val="00242EFB"/>
    <w:rsid w:val="002433EC"/>
    <w:rsid w:val="00254F0F"/>
    <w:rsid w:val="00280126"/>
    <w:rsid w:val="00281564"/>
    <w:rsid w:val="00285B53"/>
    <w:rsid w:val="00293B4D"/>
    <w:rsid w:val="002A43CD"/>
    <w:rsid w:val="002B1B30"/>
    <w:rsid w:val="002C152D"/>
    <w:rsid w:val="002C5703"/>
    <w:rsid w:val="002C74EF"/>
    <w:rsid w:val="002D23FB"/>
    <w:rsid w:val="002D268C"/>
    <w:rsid w:val="002D6F2F"/>
    <w:rsid w:val="002F2A3C"/>
    <w:rsid w:val="002F3733"/>
    <w:rsid w:val="0032004E"/>
    <w:rsid w:val="003512A0"/>
    <w:rsid w:val="00354509"/>
    <w:rsid w:val="00375999"/>
    <w:rsid w:val="0038507E"/>
    <w:rsid w:val="00395052"/>
    <w:rsid w:val="0039591A"/>
    <w:rsid w:val="003C41C6"/>
    <w:rsid w:val="003C4D9F"/>
    <w:rsid w:val="003E66FB"/>
    <w:rsid w:val="004111BB"/>
    <w:rsid w:val="00422CDA"/>
    <w:rsid w:val="00425515"/>
    <w:rsid w:val="004307D4"/>
    <w:rsid w:val="00437ED3"/>
    <w:rsid w:val="0044345A"/>
    <w:rsid w:val="0046169A"/>
    <w:rsid w:val="00477173"/>
    <w:rsid w:val="004819D7"/>
    <w:rsid w:val="004842F0"/>
    <w:rsid w:val="00484413"/>
    <w:rsid w:val="004874EE"/>
    <w:rsid w:val="00493A17"/>
    <w:rsid w:val="004C0202"/>
    <w:rsid w:val="004C5004"/>
    <w:rsid w:val="004D0180"/>
    <w:rsid w:val="004D7554"/>
    <w:rsid w:val="004F5854"/>
    <w:rsid w:val="0050089B"/>
    <w:rsid w:val="0051450B"/>
    <w:rsid w:val="005332D9"/>
    <w:rsid w:val="005335DF"/>
    <w:rsid w:val="005417EB"/>
    <w:rsid w:val="005430EA"/>
    <w:rsid w:val="00572430"/>
    <w:rsid w:val="00584BB4"/>
    <w:rsid w:val="005865F9"/>
    <w:rsid w:val="005A2EDC"/>
    <w:rsid w:val="005A43E3"/>
    <w:rsid w:val="005A4AFE"/>
    <w:rsid w:val="005A4FC6"/>
    <w:rsid w:val="005A6174"/>
    <w:rsid w:val="00607EE3"/>
    <w:rsid w:val="006131F7"/>
    <w:rsid w:val="00626B26"/>
    <w:rsid w:val="00675757"/>
    <w:rsid w:val="00680332"/>
    <w:rsid w:val="00681364"/>
    <w:rsid w:val="0068745E"/>
    <w:rsid w:val="00690809"/>
    <w:rsid w:val="006B1A03"/>
    <w:rsid w:val="006B7745"/>
    <w:rsid w:val="006C578E"/>
    <w:rsid w:val="006D1F96"/>
    <w:rsid w:val="006E02FA"/>
    <w:rsid w:val="006F0B6E"/>
    <w:rsid w:val="00703BFD"/>
    <w:rsid w:val="00714CBD"/>
    <w:rsid w:val="00721EBE"/>
    <w:rsid w:val="007365AB"/>
    <w:rsid w:val="00742AC5"/>
    <w:rsid w:val="007701F1"/>
    <w:rsid w:val="0077152D"/>
    <w:rsid w:val="00783CEA"/>
    <w:rsid w:val="00792960"/>
    <w:rsid w:val="007A0F17"/>
    <w:rsid w:val="007A38A1"/>
    <w:rsid w:val="007E4E94"/>
    <w:rsid w:val="007E73A0"/>
    <w:rsid w:val="007F0683"/>
    <w:rsid w:val="007F0944"/>
    <w:rsid w:val="007F437D"/>
    <w:rsid w:val="00803619"/>
    <w:rsid w:val="0080497C"/>
    <w:rsid w:val="008238DE"/>
    <w:rsid w:val="008434B9"/>
    <w:rsid w:val="008526C6"/>
    <w:rsid w:val="008573D5"/>
    <w:rsid w:val="00857415"/>
    <w:rsid w:val="00863A4D"/>
    <w:rsid w:val="008A4085"/>
    <w:rsid w:val="008A483F"/>
    <w:rsid w:val="008A70B9"/>
    <w:rsid w:val="008A7931"/>
    <w:rsid w:val="008B3ABD"/>
    <w:rsid w:val="008B6A98"/>
    <w:rsid w:val="008C1056"/>
    <w:rsid w:val="008C2B2C"/>
    <w:rsid w:val="008E14DD"/>
    <w:rsid w:val="008F1330"/>
    <w:rsid w:val="008F3F8E"/>
    <w:rsid w:val="0091337D"/>
    <w:rsid w:val="009166C8"/>
    <w:rsid w:val="009171C1"/>
    <w:rsid w:val="00920563"/>
    <w:rsid w:val="00931433"/>
    <w:rsid w:val="0093429F"/>
    <w:rsid w:val="009477E3"/>
    <w:rsid w:val="00957D47"/>
    <w:rsid w:val="00962592"/>
    <w:rsid w:val="009638A5"/>
    <w:rsid w:val="009718C5"/>
    <w:rsid w:val="009847F6"/>
    <w:rsid w:val="00994F66"/>
    <w:rsid w:val="00997AA4"/>
    <w:rsid w:val="009A05A6"/>
    <w:rsid w:val="009A336B"/>
    <w:rsid w:val="009B37A3"/>
    <w:rsid w:val="009B4D05"/>
    <w:rsid w:val="009C0DFA"/>
    <w:rsid w:val="009C304F"/>
    <w:rsid w:val="009C657C"/>
    <w:rsid w:val="009D0814"/>
    <w:rsid w:val="009D4514"/>
    <w:rsid w:val="009E664A"/>
    <w:rsid w:val="009F1EEA"/>
    <w:rsid w:val="009F5F74"/>
    <w:rsid w:val="00A160A6"/>
    <w:rsid w:val="00A206F1"/>
    <w:rsid w:val="00A4539A"/>
    <w:rsid w:val="00A8553F"/>
    <w:rsid w:val="00A94DF9"/>
    <w:rsid w:val="00AA1F67"/>
    <w:rsid w:val="00AA3B04"/>
    <w:rsid w:val="00AB2707"/>
    <w:rsid w:val="00B0717D"/>
    <w:rsid w:val="00B51CF8"/>
    <w:rsid w:val="00B53432"/>
    <w:rsid w:val="00B57A4E"/>
    <w:rsid w:val="00B60DF4"/>
    <w:rsid w:val="00B619E6"/>
    <w:rsid w:val="00B729DB"/>
    <w:rsid w:val="00B957D1"/>
    <w:rsid w:val="00BA4EA8"/>
    <w:rsid w:val="00BA4FD5"/>
    <w:rsid w:val="00BB38AC"/>
    <w:rsid w:val="00BD7178"/>
    <w:rsid w:val="00BE3D2B"/>
    <w:rsid w:val="00BE5F2C"/>
    <w:rsid w:val="00BF45D1"/>
    <w:rsid w:val="00BF50C0"/>
    <w:rsid w:val="00C21F8C"/>
    <w:rsid w:val="00C302E3"/>
    <w:rsid w:val="00C30BA1"/>
    <w:rsid w:val="00C358F2"/>
    <w:rsid w:val="00C45F7D"/>
    <w:rsid w:val="00C930F7"/>
    <w:rsid w:val="00CA0400"/>
    <w:rsid w:val="00CC152D"/>
    <w:rsid w:val="00CD0091"/>
    <w:rsid w:val="00CE0F4B"/>
    <w:rsid w:val="00CF367E"/>
    <w:rsid w:val="00D0381D"/>
    <w:rsid w:val="00D05D1F"/>
    <w:rsid w:val="00D2615A"/>
    <w:rsid w:val="00D36F76"/>
    <w:rsid w:val="00D47BD3"/>
    <w:rsid w:val="00D86CAA"/>
    <w:rsid w:val="00DA0BED"/>
    <w:rsid w:val="00DC3839"/>
    <w:rsid w:val="00DC5E7D"/>
    <w:rsid w:val="00DE0B74"/>
    <w:rsid w:val="00DF1B76"/>
    <w:rsid w:val="00E04357"/>
    <w:rsid w:val="00E05A14"/>
    <w:rsid w:val="00E05E1A"/>
    <w:rsid w:val="00E06000"/>
    <w:rsid w:val="00E554D4"/>
    <w:rsid w:val="00E649D6"/>
    <w:rsid w:val="00EA6509"/>
    <w:rsid w:val="00EB0247"/>
    <w:rsid w:val="00EC01A5"/>
    <w:rsid w:val="00EE69D8"/>
    <w:rsid w:val="00EE7B3C"/>
    <w:rsid w:val="00F13B97"/>
    <w:rsid w:val="00F3598C"/>
    <w:rsid w:val="00F403F0"/>
    <w:rsid w:val="00F534E4"/>
    <w:rsid w:val="00F60611"/>
    <w:rsid w:val="00F6387D"/>
    <w:rsid w:val="00F63B01"/>
    <w:rsid w:val="00F66726"/>
    <w:rsid w:val="00FA51E8"/>
    <w:rsid w:val="00FA7CDE"/>
    <w:rsid w:val="00FF0C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857415"/>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character" w:styleId="nfasis">
    <w:name w:val="Emphasis"/>
    <w:basedOn w:val="Fuentedeprrafopredeter"/>
    <w:uiPriority w:val="20"/>
    <w:qFormat/>
    <w:locked/>
    <w:rsid w:val="00857415"/>
    <w:rPr>
      <w:i/>
      <w:iCs/>
    </w:rPr>
  </w:style>
  <w:style w:type="paragraph" w:styleId="z-Principiodelformulario">
    <w:name w:val="HTML Top of Form"/>
    <w:basedOn w:val="Normal"/>
    <w:next w:val="Normal"/>
    <w:link w:val="z-PrincipiodelformularioCar"/>
    <w:hidden/>
    <w:uiPriority w:val="99"/>
    <w:semiHidden/>
    <w:unhideWhenUsed/>
    <w:rsid w:val="00857415"/>
    <w:pPr>
      <w:pBdr>
        <w:bottom w:val="single" w:sz="6" w:space="1" w:color="auto"/>
      </w:pBdr>
      <w:spacing w:before="0" w:after="0" w:line="240" w:lineRule="auto"/>
      <w:jc w:val="center"/>
    </w:pPr>
    <w:rPr>
      <w:rFonts w:ascii="Arial" w:eastAsia="Times New Roman" w:hAnsi="Arial" w:cs="Arial"/>
      <w:vanish/>
      <w:spacing w:val="0"/>
      <w:sz w:val="16"/>
      <w:szCs w:val="16"/>
      <w:lang w:val="es-EC" w:eastAsia="es-EC"/>
      <w14:numForm w14:val="default"/>
    </w:rPr>
  </w:style>
  <w:style w:type="character" w:customStyle="1" w:styleId="z-PrincipiodelformularioCar">
    <w:name w:val="z-Principio del formulario Car"/>
    <w:basedOn w:val="Fuentedeprrafopredeter"/>
    <w:link w:val="z-Principiodelformulario"/>
    <w:uiPriority w:val="99"/>
    <w:semiHidden/>
    <w:rsid w:val="00857415"/>
    <w:rPr>
      <w:rFonts w:ascii="Arial" w:eastAsia="Times New Roman" w:hAnsi="Arial" w:cs="Arial"/>
      <w:vanish/>
      <w:sz w:val="16"/>
      <w:szCs w:val="16"/>
      <w:lang w:val="es-EC" w:eastAsia="es-EC"/>
    </w:rPr>
  </w:style>
  <w:style w:type="paragraph" w:styleId="z-Finaldelformulario">
    <w:name w:val="HTML Bottom of Form"/>
    <w:basedOn w:val="Normal"/>
    <w:next w:val="Normal"/>
    <w:link w:val="z-FinaldelformularioCar"/>
    <w:hidden/>
    <w:uiPriority w:val="99"/>
    <w:semiHidden/>
    <w:unhideWhenUsed/>
    <w:rsid w:val="00857415"/>
    <w:pPr>
      <w:pBdr>
        <w:top w:val="single" w:sz="6" w:space="1" w:color="auto"/>
      </w:pBdr>
      <w:spacing w:before="0" w:after="0" w:line="240" w:lineRule="auto"/>
      <w:jc w:val="center"/>
    </w:pPr>
    <w:rPr>
      <w:rFonts w:ascii="Arial" w:eastAsia="Times New Roman" w:hAnsi="Arial" w:cs="Arial"/>
      <w:vanish/>
      <w:spacing w:val="0"/>
      <w:sz w:val="16"/>
      <w:szCs w:val="16"/>
      <w:lang w:val="es-EC" w:eastAsia="es-EC"/>
      <w14:numForm w14:val="default"/>
    </w:rPr>
  </w:style>
  <w:style w:type="character" w:customStyle="1" w:styleId="z-FinaldelformularioCar">
    <w:name w:val="z-Final del formulario Car"/>
    <w:basedOn w:val="Fuentedeprrafopredeter"/>
    <w:link w:val="z-Finaldelformulario"/>
    <w:uiPriority w:val="99"/>
    <w:semiHidden/>
    <w:rsid w:val="00857415"/>
    <w:rPr>
      <w:rFonts w:ascii="Arial" w:eastAsia="Times New Roman" w:hAnsi="Arial" w:cs="Arial"/>
      <w:vanish/>
      <w:sz w:val="16"/>
      <w:szCs w:val="16"/>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7898">
      <w:bodyDiv w:val="1"/>
      <w:marLeft w:val="0"/>
      <w:marRight w:val="0"/>
      <w:marTop w:val="0"/>
      <w:marBottom w:val="0"/>
      <w:divBdr>
        <w:top w:val="none" w:sz="0" w:space="0" w:color="auto"/>
        <w:left w:val="none" w:sz="0" w:space="0" w:color="auto"/>
        <w:bottom w:val="none" w:sz="0" w:space="0" w:color="auto"/>
        <w:right w:val="none" w:sz="0" w:space="0" w:color="auto"/>
      </w:divBdr>
    </w:div>
    <w:div w:id="230653672">
      <w:bodyDiv w:val="1"/>
      <w:marLeft w:val="0"/>
      <w:marRight w:val="0"/>
      <w:marTop w:val="0"/>
      <w:marBottom w:val="0"/>
      <w:divBdr>
        <w:top w:val="none" w:sz="0" w:space="0" w:color="auto"/>
        <w:left w:val="none" w:sz="0" w:space="0" w:color="auto"/>
        <w:bottom w:val="none" w:sz="0" w:space="0" w:color="auto"/>
        <w:right w:val="none" w:sz="0" w:space="0" w:color="auto"/>
      </w:divBdr>
    </w:div>
    <w:div w:id="324944559">
      <w:bodyDiv w:val="1"/>
      <w:marLeft w:val="0"/>
      <w:marRight w:val="0"/>
      <w:marTop w:val="0"/>
      <w:marBottom w:val="0"/>
      <w:divBdr>
        <w:top w:val="none" w:sz="0" w:space="0" w:color="auto"/>
        <w:left w:val="none" w:sz="0" w:space="0" w:color="auto"/>
        <w:bottom w:val="none" w:sz="0" w:space="0" w:color="auto"/>
        <w:right w:val="none" w:sz="0" w:space="0" w:color="auto"/>
      </w:divBdr>
    </w:div>
    <w:div w:id="432095686">
      <w:bodyDiv w:val="1"/>
      <w:marLeft w:val="0"/>
      <w:marRight w:val="0"/>
      <w:marTop w:val="0"/>
      <w:marBottom w:val="0"/>
      <w:divBdr>
        <w:top w:val="none" w:sz="0" w:space="0" w:color="auto"/>
        <w:left w:val="none" w:sz="0" w:space="0" w:color="auto"/>
        <w:bottom w:val="none" w:sz="0" w:space="0" w:color="auto"/>
        <w:right w:val="none" w:sz="0" w:space="0" w:color="auto"/>
      </w:divBdr>
    </w:div>
    <w:div w:id="475298467">
      <w:bodyDiv w:val="1"/>
      <w:marLeft w:val="0"/>
      <w:marRight w:val="0"/>
      <w:marTop w:val="0"/>
      <w:marBottom w:val="0"/>
      <w:divBdr>
        <w:top w:val="none" w:sz="0" w:space="0" w:color="auto"/>
        <w:left w:val="none" w:sz="0" w:space="0" w:color="auto"/>
        <w:bottom w:val="none" w:sz="0" w:space="0" w:color="auto"/>
        <w:right w:val="none" w:sz="0" w:space="0" w:color="auto"/>
      </w:divBdr>
    </w:div>
    <w:div w:id="493686173">
      <w:bodyDiv w:val="1"/>
      <w:marLeft w:val="0"/>
      <w:marRight w:val="0"/>
      <w:marTop w:val="0"/>
      <w:marBottom w:val="0"/>
      <w:divBdr>
        <w:top w:val="none" w:sz="0" w:space="0" w:color="auto"/>
        <w:left w:val="none" w:sz="0" w:space="0" w:color="auto"/>
        <w:bottom w:val="none" w:sz="0" w:space="0" w:color="auto"/>
        <w:right w:val="none" w:sz="0" w:space="0" w:color="auto"/>
      </w:divBdr>
    </w:div>
    <w:div w:id="595333747">
      <w:bodyDiv w:val="1"/>
      <w:marLeft w:val="0"/>
      <w:marRight w:val="0"/>
      <w:marTop w:val="0"/>
      <w:marBottom w:val="0"/>
      <w:divBdr>
        <w:top w:val="none" w:sz="0" w:space="0" w:color="auto"/>
        <w:left w:val="none" w:sz="0" w:space="0" w:color="auto"/>
        <w:bottom w:val="none" w:sz="0" w:space="0" w:color="auto"/>
        <w:right w:val="none" w:sz="0" w:space="0" w:color="auto"/>
      </w:divBdr>
    </w:div>
    <w:div w:id="697779972">
      <w:bodyDiv w:val="1"/>
      <w:marLeft w:val="0"/>
      <w:marRight w:val="0"/>
      <w:marTop w:val="0"/>
      <w:marBottom w:val="0"/>
      <w:divBdr>
        <w:top w:val="none" w:sz="0" w:space="0" w:color="auto"/>
        <w:left w:val="none" w:sz="0" w:space="0" w:color="auto"/>
        <w:bottom w:val="none" w:sz="0" w:space="0" w:color="auto"/>
        <w:right w:val="none" w:sz="0" w:space="0" w:color="auto"/>
      </w:divBdr>
    </w:div>
    <w:div w:id="832723196">
      <w:bodyDiv w:val="1"/>
      <w:marLeft w:val="0"/>
      <w:marRight w:val="0"/>
      <w:marTop w:val="0"/>
      <w:marBottom w:val="0"/>
      <w:divBdr>
        <w:top w:val="none" w:sz="0" w:space="0" w:color="auto"/>
        <w:left w:val="none" w:sz="0" w:space="0" w:color="auto"/>
        <w:bottom w:val="none" w:sz="0" w:space="0" w:color="auto"/>
        <w:right w:val="none" w:sz="0" w:space="0" w:color="auto"/>
      </w:divBdr>
    </w:div>
    <w:div w:id="880869491">
      <w:bodyDiv w:val="1"/>
      <w:marLeft w:val="0"/>
      <w:marRight w:val="0"/>
      <w:marTop w:val="0"/>
      <w:marBottom w:val="0"/>
      <w:divBdr>
        <w:top w:val="none" w:sz="0" w:space="0" w:color="auto"/>
        <w:left w:val="none" w:sz="0" w:space="0" w:color="auto"/>
        <w:bottom w:val="none" w:sz="0" w:space="0" w:color="auto"/>
        <w:right w:val="none" w:sz="0" w:space="0" w:color="auto"/>
      </w:divBdr>
    </w:div>
    <w:div w:id="883827626">
      <w:bodyDiv w:val="1"/>
      <w:marLeft w:val="0"/>
      <w:marRight w:val="0"/>
      <w:marTop w:val="0"/>
      <w:marBottom w:val="0"/>
      <w:divBdr>
        <w:top w:val="none" w:sz="0" w:space="0" w:color="auto"/>
        <w:left w:val="none" w:sz="0" w:space="0" w:color="auto"/>
        <w:bottom w:val="none" w:sz="0" w:space="0" w:color="auto"/>
        <w:right w:val="none" w:sz="0" w:space="0" w:color="auto"/>
      </w:divBdr>
    </w:div>
    <w:div w:id="951286629">
      <w:bodyDiv w:val="1"/>
      <w:marLeft w:val="0"/>
      <w:marRight w:val="0"/>
      <w:marTop w:val="0"/>
      <w:marBottom w:val="0"/>
      <w:divBdr>
        <w:top w:val="none" w:sz="0" w:space="0" w:color="auto"/>
        <w:left w:val="none" w:sz="0" w:space="0" w:color="auto"/>
        <w:bottom w:val="none" w:sz="0" w:space="0" w:color="auto"/>
        <w:right w:val="none" w:sz="0" w:space="0" w:color="auto"/>
      </w:divBdr>
    </w:div>
    <w:div w:id="952396195">
      <w:bodyDiv w:val="1"/>
      <w:marLeft w:val="0"/>
      <w:marRight w:val="0"/>
      <w:marTop w:val="0"/>
      <w:marBottom w:val="0"/>
      <w:divBdr>
        <w:top w:val="none" w:sz="0" w:space="0" w:color="auto"/>
        <w:left w:val="none" w:sz="0" w:space="0" w:color="auto"/>
        <w:bottom w:val="none" w:sz="0" w:space="0" w:color="auto"/>
        <w:right w:val="none" w:sz="0" w:space="0" w:color="auto"/>
      </w:divBdr>
    </w:div>
    <w:div w:id="964888469">
      <w:bodyDiv w:val="1"/>
      <w:marLeft w:val="0"/>
      <w:marRight w:val="0"/>
      <w:marTop w:val="0"/>
      <w:marBottom w:val="0"/>
      <w:divBdr>
        <w:top w:val="none" w:sz="0" w:space="0" w:color="auto"/>
        <w:left w:val="none" w:sz="0" w:space="0" w:color="auto"/>
        <w:bottom w:val="none" w:sz="0" w:space="0" w:color="auto"/>
        <w:right w:val="none" w:sz="0" w:space="0" w:color="auto"/>
      </w:divBdr>
    </w:div>
    <w:div w:id="1038816318">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21723126">
      <w:bodyDiv w:val="1"/>
      <w:marLeft w:val="0"/>
      <w:marRight w:val="0"/>
      <w:marTop w:val="0"/>
      <w:marBottom w:val="0"/>
      <w:divBdr>
        <w:top w:val="none" w:sz="0" w:space="0" w:color="auto"/>
        <w:left w:val="none" w:sz="0" w:space="0" w:color="auto"/>
        <w:bottom w:val="none" w:sz="0" w:space="0" w:color="auto"/>
        <w:right w:val="none" w:sz="0" w:space="0" w:color="auto"/>
      </w:divBdr>
    </w:div>
    <w:div w:id="1243026251">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265721617">
      <w:bodyDiv w:val="1"/>
      <w:marLeft w:val="0"/>
      <w:marRight w:val="0"/>
      <w:marTop w:val="0"/>
      <w:marBottom w:val="0"/>
      <w:divBdr>
        <w:top w:val="none" w:sz="0" w:space="0" w:color="auto"/>
        <w:left w:val="none" w:sz="0" w:space="0" w:color="auto"/>
        <w:bottom w:val="none" w:sz="0" w:space="0" w:color="auto"/>
        <w:right w:val="none" w:sz="0" w:space="0" w:color="auto"/>
      </w:divBdr>
    </w:div>
    <w:div w:id="135137502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09976559">
      <w:bodyDiv w:val="1"/>
      <w:marLeft w:val="0"/>
      <w:marRight w:val="0"/>
      <w:marTop w:val="0"/>
      <w:marBottom w:val="0"/>
      <w:divBdr>
        <w:top w:val="none" w:sz="0" w:space="0" w:color="auto"/>
        <w:left w:val="none" w:sz="0" w:space="0" w:color="auto"/>
        <w:bottom w:val="none" w:sz="0" w:space="0" w:color="auto"/>
        <w:right w:val="none" w:sz="0" w:space="0" w:color="auto"/>
      </w:divBdr>
    </w:div>
    <w:div w:id="1536305116">
      <w:bodyDiv w:val="1"/>
      <w:marLeft w:val="0"/>
      <w:marRight w:val="0"/>
      <w:marTop w:val="0"/>
      <w:marBottom w:val="0"/>
      <w:divBdr>
        <w:top w:val="none" w:sz="0" w:space="0" w:color="auto"/>
        <w:left w:val="none" w:sz="0" w:space="0" w:color="auto"/>
        <w:bottom w:val="none" w:sz="0" w:space="0" w:color="auto"/>
        <w:right w:val="none" w:sz="0" w:space="0" w:color="auto"/>
      </w:divBdr>
    </w:div>
    <w:div w:id="1584415486">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753161727">
      <w:bodyDiv w:val="1"/>
      <w:marLeft w:val="0"/>
      <w:marRight w:val="0"/>
      <w:marTop w:val="0"/>
      <w:marBottom w:val="0"/>
      <w:divBdr>
        <w:top w:val="none" w:sz="0" w:space="0" w:color="auto"/>
        <w:left w:val="none" w:sz="0" w:space="0" w:color="auto"/>
        <w:bottom w:val="none" w:sz="0" w:space="0" w:color="auto"/>
        <w:right w:val="none" w:sz="0" w:space="0" w:color="auto"/>
      </w:divBdr>
    </w:div>
    <w:div w:id="1786534237">
      <w:bodyDiv w:val="1"/>
      <w:marLeft w:val="0"/>
      <w:marRight w:val="0"/>
      <w:marTop w:val="0"/>
      <w:marBottom w:val="0"/>
      <w:divBdr>
        <w:top w:val="none" w:sz="0" w:space="0" w:color="auto"/>
        <w:left w:val="none" w:sz="0" w:space="0" w:color="auto"/>
        <w:bottom w:val="none" w:sz="0" w:space="0" w:color="auto"/>
        <w:right w:val="none" w:sz="0" w:space="0" w:color="auto"/>
      </w:divBdr>
    </w:div>
    <w:div w:id="1806776093">
      <w:bodyDiv w:val="1"/>
      <w:marLeft w:val="0"/>
      <w:marRight w:val="0"/>
      <w:marTop w:val="0"/>
      <w:marBottom w:val="0"/>
      <w:divBdr>
        <w:top w:val="none" w:sz="0" w:space="0" w:color="auto"/>
        <w:left w:val="none" w:sz="0" w:space="0" w:color="auto"/>
        <w:bottom w:val="none" w:sz="0" w:space="0" w:color="auto"/>
        <w:right w:val="none" w:sz="0" w:space="0" w:color="auto"/>
      </w:divBdr>
    </w:div>
    <w:div w:id="1835099954">
      <w:bodyDiv w:val="1"/>
      <w:marLeft w:val="0"/>
      <w:marRight w:val="0"/>
      <w:marTop w:val="0"/>
      <w:marBottom w:val="0"/>
      <w:divBdr>
        <w:top w:val="none" w:sz="0" w:space="0" w:color="auto"/>
        <w:left w:val="none" w:sz="0" w:space="0" w:color="auto"/>
        <w:bottom w:val="none" w:sz="0" w:space="0" w:color="auto"/>
        <w:right w:val="none" w:sz="0" w:space="0" w:color="auto"/>
      </w:divBdr>
    </w:div>
    <w:div w:id="1957907112">
      <w:bodyDiv w:val="1"/>
      <w:marLeft w:val="0"/>
      <w:marRight w:val="0"/>
      <w:marTop w:val="0"/>
      <w:marBottom w:val="0"/>
      <w:divBdr>
        <w:top w:val="none" w:sz="0" w:space="0" w:color="auto"/>
        <w:left w:val="none" w:sz="0" w:space="0" w:color="auto"/>
        <w:bottom w:val="none" w:sz="0" w:space="0" w:color="auto"/>
        <w:right w:val="none" w:sz="0" w:space="0" w:color="auto"/>
      </w:divBdr>
    </w:div>
    <w:div w:id="1962027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rteconstitucional.gob.ec/sentencia-12-22-ei-26/" TargetMode="External"/><Relationship Id="rId18" Type="http://schemas.openxmlformats.org/officeDocument/2006/relationships/hyperlink" Target="https://doi.org/10.2307/3052967" TargetMode="External"/><Relationship Id="rId3" Type="http://schemas.openxmlformats.org/officeDocument/2006/relationships/numbering" Target="numbering.xml"/><Relationship Id="rId21" Type="http://schemas.openxmlformats.org/officeDocument/2006/relationships/hyperlink" Target="https://dspace.ups.edu.ec/handle/123456789/24903" TargetMode="External"/><Relationship Id="rId7" Type="http://schemas.openxmlformats.org/officeDocument/2006/relationships/footnotes" Target="footnotes.xml"/><Relationship Id="rId12" Type="http://schemas.openxmlformats.org/officeDocument/2006/relationships/hyperlink" Target="https://www.corteconstitucional.gob.ec/sentencia-1-11-ei-22/" TargetMode="External"/><Relationship Id="rId17" Type="http://schemas.openxmlformats.org/officeDocument/2006/relationships/hyperlink" Target="https://doi.org/10.1080/09502380601162647?utm_source=chatgpt.com" TargetMode="Externa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yperlink" Target="https://doi.org/10.18352/ulr.411" TargetMode="External"/><Relationship Id="rId20" Type="http://schemas.openxmlformats.org/officeDocument/2006/relationships/hyperlink" Target="https://doi.org/10.1177/0268580900015002005"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asambleanacional.gob.ec/documentos/Constitucion-2008.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80/07329113.1986.10756387" TargetMode="External"/><Relationship Id="rId23" Type="http://schemas.openxmlformats.org/officeDocument/2006/relationships/hyperlink" Target="https://educacaoonline.edu.puc-rio.br/index.php/eduonline/article/view/1802?utm_source=chatgpt.com" TargetMode="External"/><Relationship Id="rId10" Type="http://schemas.openxmlformats.org/officeDocument/2006/relationships/hyperlink" Target="https://doi.org/10.3316/QRJ0902027" TargetMode="External"/><Relationship Id="rId19" Type="http://schemas.openxmlformats.org/officeDocument/2006/relationships/hyperlink" Target="https://www.un.org/esa/socdev/unpfii/documents/DRIPS_es.pdf" TargetMode="External"/><Relationship Id="rId4" Type="http://schemas.openxmlformats.org/officeDocument/2006/relationships/styles" Target="styles.xml"/><Relationship Id="rId9" Type="http://schemas.openxmlformats.org/officeDocument/2006/relationships/hyperlink" Target="https://doi.org/10.1093/oso/9780195173499.001.0001" TargetMode="External"/><Relationship Id="rId14" Type="http://schemas.openxmlformats.org/officeDocument/2006/relationships/hyperlink" Target="https://www.corteconstitucional.gob.ec/sentencia-6-23-ei-26/" TargetMode="External"/><Relationship Id="rId22" Type="http://schemas.openxmlformats.org/officeDocument/2006/relationships/hyperlink" Target="https://digitallibrary.un.org/record/458806?utm_source=chatgpt.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7375</Words>
  <Characters>40567</Characters>
  <Application>Microsoft Office Word</Application>
  <DocSecurity>0</DocSecurity>
  <Lines>338</Lines>
  <Paragraphs>95</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Usuario</cp:lastModifiedBy>
  <cp:revision>6</cp:revision>
  <dcterms:created xsi:type="dcterms:W3CDTF">2026-08-27T20:06:00Z</dcterms:created>
  <dcterms:modified xsi:type="dcterms:W3CDTF">2026-08-27T20:29:00Z</dcterms:modified>
  <cp:category>Categoria</cp:category>
  <cp:contentStatus>Estado</cp:contentStatus>
</cp:coreProperties>
</file>