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5A9CC6F4" w:rsidR="001348A0" w:rsidRDefault="001348A0" w:rsidP="00BE77BD">
      <w:pPr>
        <w:spacing w:before="0" w:after="160" w:line="259" w:lineRule="auto"/>
        <w:jc w:val="left"/>
      </w:pPr>
      <w:bookmarkStart w:id="0" w:name="_GoBack"/>
      <w:bookmarkEnd w:id="0"/>
    </w:p>
    <w:p w14:paraId="53F485B9" w14:textId="1B1EB597" w:rsidR="0015066B" w:rsidRPr="009C0DFA" w:rsidRDefault="00125F86" w:rsidP="00125F86">
      <w:pPr>
        <w:pStyle w:val="TtCap"/>
      </w:pPr>
      <w:r w:rsidRPr="00125F86">
        <w:t xml:space="preserve">GUAYAQUIL COMO LABORATORIO </w:t>
      </w:r>
      <w:r>
        <w:t xml:space="preserve">                               </w:t>
      </w:r>
      <w:r w:rsidRPr="00125F86">
        <w:t xml:space="preserve">DE ARQUITECTURA ESCOLAR. </w:t>
      </w:r>
      <w:r>
        <w:t xml:space="preserve">      </w:t>
      </w:r>
      <w:r w:rsidRPr="00125F86">
        <w:t xml:space="preserve">TRANSFORMACIONES Y PERSISTENCIAS </w:t>
      </w:r>
      <w:r>
        <w:t xml:space="preserve">                  </w:t>
      </w:r>
      <w:r w:rsidRPr="00125F86">
        <w:t>DEL MODELO TRADICIONAL,</w:t>
      </w:r>
      <w:r>
        <w:t xml:space="preserve"> </w:t>
      </w:r>
      <w:r w:rsidRPr="00125F86">
        <w:t>2007-2016</w:t>
      </w:r>
      <w:r>
        <w:t xml:space="preserve"> </w:t>
      </w:r>
    </w:p>
    <w:p w14:paraId="4645F320" w14:textId="1A12A8BC" w:rsidR="0015066B" w:rsidRPr="009C0DFA" w:rsidRDefault="00BE77BD" w:rsidP="00125F86">
      <w:pPr>
        <w:pStyle w:val="Autor"/>
      </w:pPr>
      <w:r>
        <w:t xml:space="preserve">ARQ. </w:t>
      </w:r>
      <w:proofErr w:type="spellStart"/>
      <w:r w:rsidR="00125F86">
        <w:t>carlos</w:t>
      </w:r>
      <w:proofErr w:type="spellEnd"/>
      <w:r w:rsidR="00125F86">
        <w:t xml:space="preserve"> </w:t>
      </w:r>
      <w:proofErr w:type="spellStart"/>
      <w:r w:rsidR="00125F86">
        <w:t>alberto</w:t>
      </w:r>
      <w:proofErr w:type="spellEnd"/>
      <w:r w:rsidR="00125F86">
        <w:t xml:space="preserve"> </w:t>
      </w:r>
      <w:proofErr w:type="spellStart"/>
      <w:r w:rsidR="00125F86">
        <w:t>andrés</w:t>
      </w:r>
      <w:proofErr w:type="spellEnd"/>
      <w:r w:rsidR="00125F86">
        <w:t xml:space="preserve"> donoso </w:t>
      </w:r>
      <w:proofErr w:type="spellStart"/>
      <w:r w:rsidR="00125F86">
        <w:t>paulson</w:t>
      </w:r>
      <w:proofErr w:type="spellEnd"/>
      <w:r>
        <w:t>, PHD.</w:t>
      </w:r>
      <w:r w:rsidR="00125F86">
        <w:t xml:space="preserve"> </w:t>
      </w:r>
    </w:p>
    <w:p w14:paraId="69FA3E26" w14:textId="3E467922" w:rsidR="0015066B" w:rsidRPr="009C0DFA" w:rsidRDefault="00125F86" w:rsidP="00125F86">
      <w:pPr>
        <w:pStyle w:val="Adscripcin"/>
      </w:pPr>
      <w:r>
        <w:t>Universidad Católica de Santiago de Guayaquil</w:t>
      </w:r>
    </w:p>
    <w:p w14:paraId="6A02D415" w14:textId="30A1DDFA" w:rsidR="0015066B" w:rsidRDefault="0015066B" w:rsidP="0015066B">
      <w:pPr>
        <w:pStyle w:val="Adscripcin"/>
      </w:pPr>
    </w:p>
    <w:p w14:paraId="7FB42A6F" w14:textId="5B37724D" w:rsidR="009C0DFA" w:rsidRPr="00C45F7D" w:rsidRDefault="00721EBE" w:rsidP="00125F86">
      <w:pPr>
        <w:pStyle w:val="Ttulo1"/>
      </w:pPr>
      <w:r w:rsidRPr="00C45F7D">
        <w:t xml:space="preserve">1. </w:t>
      </w:r>
      <w:r w:rsidR="0015066B" w:rsidRPr="00C45F7D">
        <w:t>Introducción</w:t>
      </w:r>
      <w:r w:rsidR="009C0DFA" w:rsidRPr="00C45F7D">
        <w:t xml:space="preserve"> </w:t>
      </w:r>
    </w:p>
    <w:p w14:paraId="7E637FC1" w14:textId="77777777" w:rsidR="00415771" w:rsidRPr="00415771" w:rsidRDefault="00415771" w:rsidP="00415771">
      <w:r w:rsidRPr="00415771">
        <w:t>Durante la presidencia de Rafael Correa Delgado (2007–2016) el Ecuador atravesó una transformación político-institucional que alcanzó a los tres poderes del Estado. La convocatoria a una asamblea constituyente derivó en la Constitución de 2008 y, en 2013, la aprobación del Plan Nacional del Buen Vivir 2013-2017 completó el marco jurídico de la autodenominada “revolución ciudadana”. Favorecido por el ciclo de altos precios del petróleo, el gobierno destinó una inversión sin precedentes en infraestructura de educación, salud, seguridad y transporte. La obra pública operó, en clave material, como estandarte de campañas, referéndums y reelecciones.</w:t>
      </w:r>
    </w:p>
    <w:p w14:paraId="4A290340" w14:textId="77777777" w:rsidR="00415771" w:rsidRPr="00415771" w:rsidRDefault="00415771" w:rsidP="00415771">
      <w:r w:rsidRPr="00415771">
        <w:t>En el campo educativo, la consulta popular de 2006 respaldó el Plan Decenal de Educación, cuya política 5 priorizó la renovación de la infraestructura escolar, desatendida durante décadas por restricciones presupuestarias. La renovación se inició como reconstrucción y adecuación de locales deteriorados, con ensayos previos de tipologías de aula y de propuestas que integraban los tres niveles educativos, indicio temprano de la búsqueda estatal de una solución unificadora. A partir de 2011, con la formulación del Nuevo Estándar de Infraestructura Educativa, se impulsó el modelo de las Unidades Educativas del Milenio (en adelante Escuelas del Milenio o simplemente UEM).</w:t>
      </w:r>
    </w:p>
    <w:p w14:paraId="226E9D12" w14:textId="77777777" w:rsidR="00415771" w:rsidRPr="00415771" w:rsidRDefault="00415771" w:rsidP="00415771">
      <w:r w:rsidRPr="00415771">
        <w:t xml:space="preserve">El nuevo estándar perseguía concentrar en un solo establecimiento la educación inicial, la general básica y el bachillerato, lo que supuso un </w:t>
      </w:r>
      <w:r w:rsidRPr="00415771">
        <w:lastRenderedPageBreak/>
        <w:t>reordenamiento de la oferta y una reingeniería de establecimientos: escuelas unidocentes rurales fueron clausuradas e integradas a circuitos escolares articulados en torno a las UEM. Además de atender la demanda de espacio educativo, estas unidades tuvieron la intencionalidad política de constituirse en marca identitaria del gobierno, para lo cual se apeló a la estandarización y a su réplica en las cuatro regiones del país.</w:t>
      </w:r>
    </w:p>
    <w:p w14:paraId="088C87D2" w14:textId="77777777" w:rsidR="00415771" w:rsidRPr="00415771" w:rsidRDefault="00415771" w:rsidP="00415771">
      <w:r w:rsidRPr="00415771">
        <w:t>Guayaquil se convirtió en el laboratorio de experimentación de los primeros modelos piloto. Dos factores explican esa condición. El primero es demográfico: su población escolar, superior a la de la capital Quito, generaba la mayor presión de demanda de infraestructura del país. El segundo es político: la ciudad era bastión del socialcristianismo, que venía gobernando el municipio desde el año 1992. El laboratorio escolar operó, así como dispositivo de mitigación de esa influencia local, trasladando la pugna al territorio mediante los establecimientos educativos, donde las escuelas “verdes” disputaban cromáticamente contra las escuelas “celestes”.</w:t>
      </w:r>
    </w:p>
    <w:p w14:paraId="12433352" w14:textId="77777777" w:rsidR="00415771" w:rsidRPr="00415771" w:rsidRDefault="00415771" w:rsidP="00415771">
      <w:r w:rsidRPr="00415771">
        <w:t>El objetivo del estudio fue identificar, caracterizar y catalogar los tipos de unidades educativas producidos en Guayaquil entre 2007 y 2016, estableciendo las transformaciones y persistencias entre el nuevo estándar y las tipologías escolares que lo precedieron. La hipótesis sostiene que la particular coyuntura política de la ciudad la convirtió en un laboratorio de arquitectura escolar en el que se produjeron diversos tipos que cimentaron el estándar finalmente conocido como Escuelas del Milenio.</w:t>
      </w:r>
    </w:p>
    <w:p w14:paraId="6A8A609B" w14:textId="2B9E39CC" w:rsidR="005A43E3" w:rsidRPr="005A43E3" w:rsidRDefault="00415771" w:rsidP="00415771">
      <w:r w:rsidRPr="00415771">
        <w:t>Las UEM representaron una ruptura en la historia de la producción de arquitectura escolar ecuatoriana: del programa educativo y arquitectónico, y de la sectorización de los establecimientos mediante circuitos que redistribuían la demanda. En términos de persistencias, en cambio, diversos parámetros de diseño permanecieron anclados a las tipologías tradicionales, prolongando el modelo pedagógico decimonónico a través de la configuración del aula.</w:t>
      </w:r>
      <w:r w:rsidR="005A43E3" w:rsidRPr="005A43E3">
        <w:t xml:space="preserve"> </w:t>
      </w:r>
    </w:p>
    <w:p w14:paraId="1DE74252" w14:textId="511FA1B2" w:rsidR="00415771" w:rsidRPr="00415771" w:rsidRDefault="00415771" w:rsidP="00415771">
      <w:pPr>
        <w:pStyle w:val="Ttulo1"/>
        <w:rPr>
          <w:lang w:val="es-EC"/>
        </w:rPr>
      </w:pPr>
      <w:r>
        <w:rPr>
          <w:lang w:val="es-EC"/>
        </w:rPr>
        <w:lastRenderedPageBreak/>
        <w:t xml:space="preserve">2. </w:t>
      </w:r>
      <w:r w:rsidRPr="00415771">
        <w:rPr>
          <w:lang w:val="es-EC"/>
        </w:rPr>
        <w:t>Marco político y educativo</w:t>
      </w:r>
    </w:p>
    <w:p w14:paraId="0EC9D202" w14:textId="77777777" w:rsidR="00415771" w:rsidRDefault="00415771" w:rsidP="00415771">
      <w:r>
        <w:t>El horizonte normativo que orientó las políticas educativas ecuatorianas del período proviene de la Declaración del Milenio, aprobada por la Asamblea General de las Naciones Unidas el 13 de septiembre de 2000, cuyo capítulo III fijó como meta que, hacia 2015, todos los niños completaran la enseñanza primaria y que niñas y niños accedieran en igualdad a todos los niveles de la enseñanza (Naciones Unidas, 2000). Ese marco internacional se tradujo localmente en el Plan Decenal de Educación de 2006, en la Constitución de 2008, en el Plan Nacional del Buen Vivir de 2009 y, una vez consolidado el andamiaje jurídico, en la Ley Orgánica de Educación Intercultural de 2011. El conjunto sustentó, además, el Reordenamiento de la Oferta Educativa mediante circuitos educativos concebidos como política de redistribución territorial de la demanda.</w:t>
      </w:r>
    </w:p>
    <w:p w14:paraId="6F8A5D28" w14:textId="77777777" w:rsidR="00415771" w:rsidRDefault="00415771" w:rsidP="00415771">
      <w:r>
        <w:t>El Plan Decenal contenía ocho políticas; la quinta comprometía el mejoramiento de la infraestructura y el equipamiento de las instituciones educativas (Ministerio de Educación del Ecuador, 2007, p. 4). Entre sus líneas de acción figuraban la calidad de la infraestructura —entendida como diseño funcional y estético, tecnologías constructivas apropiadas, mobiliario y apoyos tecnológicos— y una infraestructura con identidad acorde a la región, que rescatara la tecnología arquitectónica de los distintos pueblos (</w:t>
      </w:r>
      <w:proofErr w:type="spellStart"/>
      <w:proofErr w:type="gramStart"/>
      <w:r>
        <w:t>Ibid</w:t>
      </w:r>
      <w:proofErr w:type="spellEnd"/>
      <w:r>
        <w:t>,,</w:t>
      </w:r>
      <w:proofErr w:type="gramEnd"/>
      <w:r>
        <w:t xml:space="preserve"> p. 25). Conviene subrayar esta última formulación, pues una de las críticas mayores dirigidas posteriormente a las UEM fue precisamente su escasa adaptación a las cuatro regiones y su desatención a la diversidad cultural del país.</w:t>
      </w:r>
    </w:p>
    <w:p w14:paraId="2A24BDD8" w14:textId="77777777" w:rsidR="00415771" w:rsidRDefault="00415771" w:rsidP="00415771">
      <w:r>
        <w:t xml:space="preserve">Los principios del sistema educativo reiteraban esa tríada: calidad, entendida como capacidad institucional de proveer competencias para la acción; unidad, como reconocimiento de la diversidad de regiones, pueblos, etnias y culturas; y flexibilidad, como posibilidad de diseñar modelos pedagógicos alternativos ajustados a circunstancias regionales de orden ocupacional, climático y productivo (Ministerio de Educación del Ecuador, 2006, p. 13). El proyecto de infraestructura de calidad precisaba algo más: inscribía explícitamente el proyecto Escuelas del Milenio, con la meta de doscientas escuelas anuales en sectores vulnerables, </w:t>
      </w:r>
      <w:r>
        <w:lastRenderedPageBreak/>
        <w:t>dotadas de un nuevo modelo de infraestructura y equipamiento acorde a un enfoque pedagógico actualizado, y comprometía condiciones mínimas de confort, mobiliario, un sistema de acreditación del recurso físico y la asignación de al menos el 6 % del presupuesto educativo a inversión en infraestructura (Ibid., 2006, pp. 33-35).</w:t>
      </w:r>
    </w:p>
    <w:p w14:paraId="5E93DA1D" w14:textId="77777777" w:rsidR="00415771" w:rsidRDefault="00415771" w:rsidP="00415771">
      <w:r>
        <w:t>Resulta significativo que el término calidad recorra el plan como objetivo y como línea de acción sin definición conceptual suficiente. Ese vacío semántico tendrá consecuencias proyectuales: cuando el documento precisa en qué consiste la calidad, remite al componente tecnológico-constructivo y al equipamiento, no a una teoría del aprendizaje ni a una idea de espacio educativo. Luna (2014, p. 6) advierte, desde una lectura histórica de las políticas educativas ecuatorianas, que a partir de 2007 la reforma transitó con firme respaldo estatal, aunque de manera atropellada y por vías y velocidades renovadas con tinte neoliberal.</w:t>
      </w:r>
    </w:p>
    <w:p w14:paraId="2574AC16" w14:textId="692371C9" w:rsidR="00415771" w:rsidRDefault="00415771" w:rsidP="00415771">
      <w:r>
        <w:t>La discusión regional ofrecía, entretanto, criterios técnicos disponibles y explícitos. El informe del Banco Interamericano de Desarrollo (BID) sobre aprendizaje en las escuelas del siglo XXI recoge la advertencia de Lippman acerca de que educadores, planificadores y arquitectos deben trabajar conjuntamente para comprender el legado del diseño moderno y su capacidad de responder a la relación entre arquitectura, educación y espacios de aprendizaje, particularmente en los niveles iniciales, donde la diversidad de actividades del programa debería determinar la configuración del ambiente. En el mismo volumen, O'Donnell caracteriza la escuela primaria contemporánea como un sistema complejo de entornos y propone seis criterios operativos: entorno a escala del niño, aulas flexibles, aprendizaje extendido más allá del aula, seguridad sutil, conexión con la comunidad y presencia cívica (BID, 2024, p. 47). Ninguno de ellos fue incorporado sistemáticamente al estándar ecuatoriano, pese a que el propio marco normativo nacional los enunciaba en términos análogos.</w:t>
      </w:r>
    </w:p>
    <w:p w14:paraId="13C545C6" w14:textId="77777777" w:rsidR="00415771" w:rsidRDefault="00415771" w:rsidP="00415771"/>
    <w:p w14:paraId="4ADD9174" w14:textId="6DAB1315" w:rsidR="00415771" w:rsidRPr="00415771" w:rsidRDefault="00415771" w:rsidP="00415771">
      <w:pPr>
        <w:pStyle w:val="Ttulo1"/>
        <w:rPr>
          <w:lang w:val="es-EC"/>
        </w:rPr>
      </w:pPr>
      <w:r>
        <w:rPr>
          <w:lang w:val="es-EC"/>
        </w:rPr>
        <w:lastRenderedPageBreak/>
        <w:t xml:space="preserve">3. </w:t>
      </w:r>
      <w:r w:rsidRPr="00415771">
        <w:rPr>
          <w:lang w:val="es-EC"/>
        </w:rPr>
        <w:t>Coordenadas teóricas: arquitectura, pedagogía y poder</w:t>
      </w:r>
    </w:p>
    <w:p w14:paraId="6C9C3FBE" w14:textId="77777777" w:rsidR="00415771" w:rsidRPr="00415771" w:rsidRDefault="00415771" w:rsidP="00415771">
      <w:pPr>
        <w:pStyle w:val="Ttulo2"/>
        <w:rPr>
          <w:smallCaps w:val="0"/>
          <w:lang w:val="es-EC"/>
        </w:rPr>
      </w:pPr>
      <w:r w:rsidRPr="00415771">
        <w:rPr>
          <w:smallCaps w:val="0"/>
          <w:lang w:val="es-EC"/>
        </w:rPr>
        <w:t>Todo espacio arquitectónico encarna una idea pedagógica, aun cuando no haya sido declarada. Pozo (2014, p. 1) sostiene que pedagogía y arquitectura comparten metas educativas porque ambas acompañan al individuo en su modo de percibir el mundo y de actuar sobre él, determinando en buena medida sus inteligencias físicas, emocionales y sociales; ambas disciplinas dialogan en territorios comunes y se constituyen en experiencia formativa. Cattaneo (2014, p. 83) profundiza el argumento al señalar que la mediación proyectual impide considerar el aula como espacio neutro: idear una escuela supone una intencionalidad previa sobre qué infancia se quiere educar y, a mayor escala, qué sociedad se aspira a construir. Toranzo (2009, p. 9) sintetiza la relación con una fórmula elocuente: el modo en que están pensadas las paredes de una escuela revela el concepto de educación que sostiene esa sociedad.</w:t>
      </w:r>
    </w:p>
    <w:p w14:paraId="41465914" w14:textId="77777777" w:rsidR="00415771" w:rsidRPr="00415771" w:rsidRDefault="00415771" w:rsidP="00415771">
      <w:pPr>
        <w:pStyle w:val="Ttulo2"/>
        <w:rPr>
          <w:smallCaps w:val="0"/>
          <w:lang w:val="es-EC"/>
        </w:rPr>
      </w:pPr>
      <w:r w:rsidRPr="00415771">
        <w:rPr>
          <w:smallCaps w:val="0"/>
          <w:lang w:val="es-EC"/>
        </w:rPr>
        <w:t xml:space="preserve">A esta dimensión pedagógica ausente se superpone la dimensión representacional. </w:t>
      </w:r>
      <w:proofErr w:type="spellStart"/>
      <w:r w:rsidRPr="00415771">
        <w:rPr>
          <w:smallCaps w:val="0"/>
          <w:lang w:val="es-EC"/>
        </w:rPr>
        <w:t>Sudjic</w:t>
      </w:r>
      <w:proofErr w:type="spellEnd"/>
      <w:r w:rsidRPr="00415771">
        <w:rPr>
          <w:smallCaps w:val="0"/>
          <w:lang w:val="es-EC"/>
        </w:rPr>
        <w:t xml:space="preserve"> (2010, p. 6) recuerda que la arquitectura mantiene una relación constitutiva con el poder, del que refleja capacidad y determinación, y que los dirigentes políticos la emplean para seducir, impresionar e intimidar. La arquitectura escolar pública ecuatoriana del período examinado condensa ambas dimensiones: es simultáneamente dispositivo con vacío pedagógico e instrumento de legitimación estatal.</w:t>
      </w:r>
    </w:p>
    <w:p w14:paraId="42D43440" w14:textId="77777777" w:rsidR="00415771" w:rsidRPr="00415771" w:rsidRDefault="00415771" w:rsidP="00415771">
      <w:pPr>
        <w:pStyle w:val="Ttulo2"/>
        <w:rPr>
          <w:smallCaps w:val="0"/>
          <w:lang w:val="es-EC"/>
        </w:rPr>
      </w:pPr>
      <w:r w:rsidRPr="00415771">
        <w:rPr>
          <w:smallCaps w:val="0"/>
          <w:lang w:val="es-EC"/>
        </w:rPr>
        <w:t>El siglo XX legó, además, un repertorio proyectual preciso. Montessori suprimió el banco fijo y la tarima docente y ajustó el mobiliario a la estatura y la fuerza de los niños, generando ámbitos diferenciados para jugar, conversar, descansar y escuchar (Trilla et al., 2001, p. 77).  Prácticas hoy naturalizadas —mesas y sillas a escala infantil, materiales manipulables en el aula, salidas al exterior— constituyeron en su momento innovaciones radicales cuyo fundamento era una teoría del aprendizaje, no una preferencia formal. Richard Neutra, en la Corona School de Bell, California (1935), resolvió la conexión entre el interior del aula y su entorno mediante tabiques móviles que aportaban además flexibili</w:t>
      </w:r>
      <w:r w:rsidRPr="00415771">
        <w:rPr>
          <w:smallCaps w:val="0"/>
          <w:lang w:val="es-EC"/>
        </w:rPr>
        <w:lastRenderedPageBreak/>
        <w:t xml:space="preserve">dad funcional. Hans Scharoun incorporó lugares de encuentro, la sectorización del alumnado por períodos etarios, la continuidad interior-exterior y aulas cuya forma aglutinaba las actividades previstas. Ya en la segunda mitad del siglo, Herman Hertzberger, en continuidad con Aldo van Eyck, interpretó el espacio </w:t>
      </w:r>
      <w:proofErr w:type="spellStart"/>
      <w:r w:rsidRPr="00415771">
        <w:rPr>
          <w:smallCaps w:val="0"/>
          <w:lang w:val="es-EC"/>
        </w:rPr>
        <w:t>montessoriano</w:t>
      </w:r>
      <w:proofErr w:type="spellEnd"/>
      <w:r w:rsidRPr="00415771">
        <w:rPr>
          <w:smallCaps w:val="0"/>
          <w:lang w:val="es-EC"/>
        </w:rPr>
        <w:t xml:space="preserve"> en la Escuela Primaria Montessori de Delft (1960), donde los cubos móviles integran pavimento y mobiliario y el espacio común opera como ámbito de encuentro entre niños de todas las edades (Atrio, </w:t>
      </w:r>
      <w:proofErr w:type="spellStart"/>
      <w:r w:rsidRPr="00415771">
        <w:rPr>
          <w:smallCaps w:val="0"/>
          <w:lang w:val="es-EC"/>
        </w:rPr>
        <w:t>Raedó</w:t>
      </w:r>
      <w:proofErr w:type="spellEnd"/>
      <w:r w:rsidRPr="00415771">
        <w:rPr>
          <w:smallCaps w:val="0"/>
          <w:lang w:val="es-EC"/>
        </w:rPr>
        <w:t xml:space="preserve"> y Navarro, 2016, p. 135).</w:t>
      </w:r>
    </w:p>
    <w:p w14:paraId="69972A21" w14:textId="61E548E0" w:rsidR="00415771" w:rsidRDefault="00415771" w:rsidP="00415771">
      <w:pPr>
        <w:pStyle w:val="Ttulo2"/>
        <w:rPr>
          <w:smallCaps w:val="0"/>
          <w:lang w:val="es-EC"/>
        </w:rPr>
      </w:pPr>
      <w:r w:rsidRPr="00415771">
        <w:rPr>
          <w:smallCaps w:val="0"/>
          <w:lang w:val="es-EC"/>
        </w:rPr>
        <w:t>Estos tres casos sintetizan un legado disponible y documentado. Su ausencia en el estándar ecuatoriano permite calificarlos, en el marco de esta investigación, como lecciones no aprendidas de arquitectura escolar.</w:t>
      </w:r>
    </w:p>
    <w:p w14:paraId="13C980D9" w14:textId="16632C6B" w:rsidR="00415771" w:rsidRDefault="00415771" w:rsidP="00415771">
      <w:pPr>
        <w:pStyle w:val="Ttulo1"/>
        <w:rPr>
          <w:lang w:val="es-EC"/>
        </w:rPr>
      </w:pPr>
      <w:r>
        <w:rPr>
          <w:lang w:val="es-EC"/>
        </w:rPr>
        <w:t xml:space="preserve">4. </w:t>
      </w:r>
      <w:r w:rsidRPr="00415771">
        <w:rPr>
          <w:lang w:val="es-EC"/>
        </w:rPr>
        <w:t>Metodología</w:t>
      </w:r>
    </w:p>
    <w:p w14:paraId="44C5DBCE" w14:textId="77777777" w:rsidR="00415771" w:rsidRPr="00415771" w:rsidRDefault="00415771" w:rsidP="00415771">
      <w:pPr>
        <w:rPr>
          <w:lang w:val="es-EC"/>
        </w:rPr>
      </w:pPr>
      <w:r w:rsidRPr="00415771">
        <w:rPr>
          <w:lang w:val="es-EC"/>
        </w:rPr>
        <w:t>Se adoptó un diseño exploratorio, coherente con las dos variables enunciadas en el problema: el diseño arquitectónico y las políticas públicas educativas. Las fuentes primarias fueron levantamientos fotográficos, planimetría digital y entrevistas a actores institucionales, entre ellos el primer director de infraestructura del Ministerio de Educación tras el cierre de la Dirección Nacional de Servicios Educativos (DINSE) y la exministra de Educación del período. Se aplicaron matrices de análisis del comportamiento de variables que permitieron observar y describir las transformaciones ocurridas en la arquitectura escolar del período.</w:t>
      </w:r>
    </w:p>
    <w:p w14:paraId="2D0298CE" w14:textId="758E36AA" w:rsidR="00415771" w:rsidRDefault="00415771" w:rsidP="00415771">
      <w:pPr>
        <w:rPr>
          <w:lang w:val="es-EC"/>
        </w:rPr>
      </w:pPr>
      <w:r w:rsidRPr="00415771">
        <w:rPr>
          <w:lang w:val="es-EC"/>
        </w:rPr>
        <w:t>El criterio inicial de muestreo incluyó la totalidad de las escuelas del milenio construidas en el cantón Guayaquil bajo la modalidad de unidades estandarizadas. No obstante, la comprensión de las transformaciones exigió ampliar la muestra hacia los modelos de gestión previos, responsables de tipos y variantes anteriores al estándar. Finalmente, se intersecaron las variables función, forma, materialidad y entorno con los modelos de gestión identificados, procedimiento del que resultó la matriz tipológica de la arquitectura escolar de Guayaquil para el período 2007-2016.</w:t>
      </w:r>
    </w:p>
    <w:p w14:paraId="1CA83CF9" w14:textId="0D52DF3B" w:rsidR="00415771" w:rsidRDefault="00415771" w:rsidP="00415771">
      <w:pPr>
        <w:pStyle w:val="Ttulo1"/>
        <w:rPr>
          <w:lang w:val="es-EC"/>
        </w:rPr>
      </w:pPr>
      <w:r>
        <w:rPr>
          <w:lang w:val="es-EC"/>
        </w:rPr>
        <w:lastRenderedPageBreak/>
        <w:t xml:space="preserve">5. </w:t>
      </w:r>
      <w:r w:rsidRPr="00415771">
        <w:rPr>
          <w:lang w:val="es-EC"/>
        </w:rPr>
        <w:t>Guayaquil como laboratorio: los modelos de gestión</w:t>
      </w:r>
    </w:p>
    <w:p w14:paraId="2F72DABE" w14:textId="77777777" w:rsidR="00415771" w:rsidRPr="00415771" w:rsidRDefault="00415771" w:rsidP="00415771">
      <w:pPr>
        <w:rPr>
          <w:lang w:val="es-EC"/>
        </w:rPr>
      </w:pPr>
      <w:r w:rsidRPr="00415771">
        <w:rPr>
          <w:lang w:val="es-EC"/>
        </w:rPr>
        <w:t>La idea de revolucionar la infraestructura mediante un nuevo modelo de diseño y construcción maduró a través de ensayos formales sucesivos —entre ellos los módulos hexagonales y la unidad piloto Alfredo Vera Vera— que constituyeron los peldaños previos a la estandarización definitiva. Antes de ella se había optado por asignar proyectistas individuales a cada unidad requerida; en Guayaquil, ejemplos de esa modalidad fueron el Colegio Réplica Nuevo Guayaquil y la Unidad Educativa Sara Flor Jiménez. La clasificación que sigue responde, por tanto, a los procesos de gestión de la política educativa antes que, a una taxonomía estrictamente arquitectónica, si bien cada modelo produjo consecuencias tipológicas verificables.</w:t>
      </w:r>
    </w:p>
    <w:p w14:paraId="3A5838FC" w14:textId="643E6B89" w:rsidR="00415771" w:rsidRPr="00415771" w:rsidRDefault="00415771" w:rsidP="00415771">
      <w:pPr>
        <w:rPr>
          <w:lang w:val="es-EC"/>
        </w:rPr>
      </w:pPr>
      <w:r w:rsidRPr="00415771">
        <w:rPr>
          <w:lang w:val="es-EC"/>
        </w:rPr>
        <w:t>Conviene precisar el punto de partida. Antes de 2007, las oficinas técnicas de los organismos adscritos a la Presidencia resolvían la construcción escolar mediante un módulo de 9 × 6 m, repetible en sentido horizontal o vertical. El sistema fue eficaz por dos razones: admitía intervenciones de escala variable y permitía despiezar la escuela en sus componentes —aula, batería sanitaria, administración, cancha, patio—, lo que facilitaba su ajuste a la disponibilidad presupuestaria.</w:t>
      </w:r>
    </w:p>
    <w:p w14:paraId="6E71941A" w14:textId="77777777" w:rsidR="00415771" w:rsidRPr="00415771" w:rsidRDefault="00415771" w:rsidP="00415771">
      <w:pPr>
        <w:pStyle w:val="Ttulo2"/>
        <w:rPr>
          <w:lang w:val="es-EC"/>
        </w:rPr>
      </w:pPr>
      <w:r w:rsidRPr="00415771">
        <w:rPr>
          <w:lang w:val="es-EC"/>
        </w:rPr>
        <w:t>Convenios tripartito y bipartito</w:t>
      </w:r>
    </w:p>
    <w:p w14:paraId="7F3D9C0D" w14:textId="77777777" w:rsidR="00415771" w:rsidRPr="00415771" w:rsidRDefault="00415771" w:rsidP="00415771">
      <w:pPr>
        <w:rPr>
          <w:lang w:val="es-EC"/>
        </w:rPr>
      </w:pPr>
      <w:r w:rsidRPr="00415771">
        <w:rPr>
          <w:lang w:val="es-EC"/>
        </w:rPr>
        <w:t>La presión de ejecución generada por el Plan Decenal obligó a atender primero lo urgente: la rehabilitación de una infraestructura deteriorada por falta de mantenimiento y por vetustez. En Guayaquil, esa urgencia derivó en un hecho inédito: el Gobierno Central, la Universidad de Guayaquil y el Municipio suscribieron un convenio tripartito para el mejoramiento de la infraestructura educativa del cantón, actuando la universidad como unidad ejecutora. La coyuntura reunía a oponentes políticos en torno a un beneficio recíproco.</w:t>
      </w:r>
    </w:p>
    <w:p w14:paraId="7998ABCF" w14:textId="77777777" w:rsidR="00415771" w:rsidRPr="00415771" w:rsidRDefault="00415771" w:rsidP="00415771">
      <w:pPr>
        <w:rPr>
          <w:lang w:val="es-EC"/>
        </w:rPr>
      </w:pPr>
      <w:r w:rsidRPr="00415771">
        <w:rPr>
          <w:lang w:val="es-EC"/>
        </w:rPr>
        <w:t>La convergencia fue efímera. Al hacerse visibles los resultados se desató la disputa por el rédito: cada actor pintaba las escuelas con el color de su partido, práctica que la prensa sintetizó como escuelas ver</w:t>
      </w:r>
      <w:r w:rsidRPr="00415771">
        <w:rPr>
          <w:lang w:val="es-EC"/>
        </w:rPr>
        <w:lastRenderedPageBreak/>
        <w:t>des —del Gobierno Central— frente a escuelas celestes —del Municipio—. El conflicto concluyó con la sustitución del convenio tripartito por uno bipartito que excluyó al municipio de la ejecución.</w:t>
      </w:r>
    </w:p>
    <w:p w14:paraId="4018A79A" w14:textId="71042599" w:rsidR="00415771" w:rsidRDefault="00415771" w:rsidP="00415771">
      <w:pPr>
        <w:rPr>
          <w:lang w:val="es-EC"/>
        </w:rPr>
      </w:pPr>
      <w:r w:rsidRPr="00415771">
        <w:rPr>
          <w:lang w:val="es-EC"/>
        </w:rPr>
        <w:t>En términos constructivos, esta etapa mantuvo el módulo de 9 × 6 m, pero resuelto íntegramente en estructura metálica. La materialidad respondió a una exigencia de plazo: el metal reducía los tiempos de reparación y repotenciación que el calendario político demandaba.</w:t>
      </w:r>
    </w:p>
    <w:p w14:paraId="20B66488" w14:textId="77777777" w:rsidR="00415771" w:rsidRPr="00415771" w:rsidRDefault="00415771" w:rsidP="00415771">
      <w:pPr>
        <w:pStyle w:val="Ttulo2"/>
        <w:rPr>
          <w:lang w:val="es-EC"/>
        </w:rPr>
      </w:pPr>
      <w:r w:rsidRPr="00415771">
        <w:rPr>
          <w:lang w:val="es-EC"/>
        </w:rPr>
        <w:t>Colegios réplica</w:t>
      </w:r>
    </w:p>
    <w:p w14:paraId="199C323A" w14:textId="77777777" w:rsidR="00415771" w:rsidRPr="00415771" w:rsidRDefault="00415771" w:rsidP="00415771">
      <w:pPr>
        <w:rPr>
          <w:lang w:val="es-EC"/>
        </w:rPr>
      </w:pPr>
      <w:r w:rsidRPr="00415771">
        <w:rPr>
          <w:lang w:val="es-EC"/>
        </w:rPr>
        <w:t>Los colegios réplica constituyeron una estrategia de introducción del nuevo estándar apoyada en el capital simbólico de los establecimientos emblemáticos de la ciudad. La aspiración familiar de matricular a los hijos en el plantel donde estudiaron padres o abuelos chocaba con una oferta insuficiente y con la escasez de suelo urbano, que empujaba la localización hacia la periferia. La réplica ofrecía una solución simbólica a ese desajuste: el prestigio del nombre operaba como sucedáneo de un cupo inalcanzable en la institución original.</w:t>
      </w:r>
    </w:p>
    <w:p w14:paraId="3FA5B69E" w14:textId="183FAA0C" w:rsidR="00415771" w:rsidRPr="00415771" w:rsidRDefault="00415771" w:rsidP="00415771">
      <w:pPr>
        <w:rPr>
          <w:lang w:val="es-EC"/>
        </w:rPr>
      </w:pPr>
      <w:r w:rsidRPr="00415771">
        <w:rPr>
          <w:lang w:val="es-EC"/>
        </w:rPr>
        <w:t>La réplica fue, en rigor, exclusivamente nominal: no hubo transposición arquitectónica, ni siquiera parcial, del plantel evocado. El dispositivo operó como instrumento político-educativo para volver aceptable la oferta en zonas marginales, y confirma la primacía de lo identitario sobre lo proyectual en la formulación de la política.</w:t>
      </w:r>
    </w:p>
    <w:p w14:paraId="2F6C52A4" w14:textId="77777777" w:rsidR="00415771" w:rsidRPr="00415771" w:rsidRDefault="00415771" w:rsidP="00415771">
      <w:pPr>
        <w:pStyle w:val="Ttulo2"/>
        <w:rPr>
          <w:lang w:val="es-EC"/>
        </w:rPr>
      </w:pPr>
      <w:r w:rsidRPr="00415771">
        <w:rPr>
          <w:lang w:val="es-EC"/>
        </w:rPr>
        <w:t>La unidad piloto experimental</w:t>
      </w:r>
    </w:p>
    <w:p w14:paraId="3B09EAC1" w14:textId="68DCCCAF" w:rsidR="00415771" w:rsidRDefault="00415771" w:rsidP="00DD4F34">
      <w:pPr>
        <w:rPr>
          <w:lang w:val="es-EC"/>
        </w:rPr>
      </w:pPr>
      <w:r w:rsidRPr="00415771">
        <w:rPr>
          <w:lang w:val="es-EC"/>
        </w:rPr>
        <w:t xml:space="preserve">En 2009 se construyó la primera etapa de la Unidad Educativa Piloto del Milenio Alfredo Vera </w:t>
      </w:r>
      <w:proofErr w:type="spellStart"/>
      <w:r w:rsidRPr="00415771">
        <w:rPr>
          <w:lang w:val="es-EC"/>
        </w:rPr>
        <w:t>Vera</w:t>
      </w:r>
      <w:proofErr w:type="spellEnd"/>
      <w:r w:rsidRPr="00415771">
        <w:rPr>
          <w:lang w:val="es-EC"/>
        </w:rPr>
        <w:t xml:space="preserve">, emplazada en una zona de expansión urbana planificada. Con ella se gestó el modelo de unidad del milenio experimental, último escalón antes de la estandarización. La exministra Gloria Vidal explicitó el propósito del prototipo: se buscaba que la unidad fuera inmediatamente reconocible como tal y que operara como reivindicación de la escuela pública, de modo que un establecimiento dotado de servicios, cancha deportiva y apertura comunitaria devolviera </w:t>
      </w:r>
      <w:r w:rsidRPr="00415771">
        <w:rPr>
          <w:lang w:val="es-EC"/>
        </w:rPr>
        <w:lastRenderedPageBreak/>
        <w:t>la confianza ciudadana en la educación estatal (Vidal, 2019). La formulación revela que la identificabilidad visual del prototipo era un requisito de diseño, no una consecuencia.</w:t>
      </w:r>
    </w:p>
    <w:p w14:paraId="66043F64" w14:textId="77777777" w:rsidR="00DD4F34" w:rsidRPr="00DD4F34" w:rsidRDefault="00DD4F34" w:rsidP="00DD4F34">
      <w:pPr>
        <w:pStyle w:val="Ttulo2"/>
        <w:rPr>
          <w:lang w:val="es-EC"/>
        </w:rPr>
      </w:pPr>
      <w:r w:rsidRPr="00DD4F34">
        <w:rPr>
          <w:lang w:val="es-EC"/>
        </w:rPr>
        <w:t>Unidades del milenio no estandarizadas</w:t>
      </w:r>
    </w:p>
    <w:p w14:paraId="0A6769E9" w14:textId="7A18B5B2" w:rsidR="00DD4F34" w:rsidRDefault="00DD4F34" w:rsidP="00DD4F34">
      <w:pPr>
        <w:rPr>
          <w:lang w:val="es-EC"/>
        </w:rPr>
      </w:pPr>
      <w:r w:rsidRPr="00DD4F34">
        <w:rPr>
          <w:lang w:val="es-EC"/>
        </w:rPr>
        <w:t>Tras el resultado favorable de la unidad piloto, la DINSE prosiguió con diseños individuales que atendían las condicionantes de cada emplazamiento y las necesidades del programa educativo local, mediante la contratación de consultores para los terrenos seleccionados. Esta modalidad presentaba una ventaja proyectual evidente: el diseño respondía al sitio, a su topografía, a su clima y a las necesidades educativas del sector. Presentaba también un costo administrativo que resultó decisivo, pues exigía control y seguimiento arquitectónico de todos los proyectos del país, con una logística que retrasaba la ejecución frente a la inmediatez que reclamaba la agenda política. La tensión entre pertinencia proyectual y velocidad de ejecución se resolvió, finalmente, a favor de la segunda.</w:t>
      </w:r>
    </w:p>
    <w:p w14:paraId="167AA7C0" w14:textId="77777777" w:rsidR="00DD4F34" w:rsidRPr="00DD4F34" w:rsidRDefault="00DD4F34" w:rsidP="00DD4F34">
      <w:pPr>
        <w:pStyle w:val="Ttulo2"/>
        <w:rPr>
          <w:lang w:val="es-EC"/>
        </w:rPr>
      </w:pPr>
      <w:r w:rsidRPr="00DD4F34">
        <w:rPr>
          <w:lang w:val="es-EC"/>
        </w:rPr>
        <w:t>La estandarización</w:t>
      </w:r>
    </w:p>
    <w:p w14:paraId="3A27AA30" w14:textId="77777777" w:rsidR="00DD4F34" w:rsidRPr="00DD4F34" w:rsidRDefault="00DD4F34" w:rsidP="00DD4F34">
      <w:pPr>
        <w:rPr>
          <w:lang w:val="es-EC"/>
        </w:rPr>
      </w:pPr>
      <w:r w:rsidRPr="00DD4F34">
        <w:rPr>
          <w:lang w:val="es-EC"/>
        </w:rPr>
        <w:t>El Ministerio de Educación resolvió en 2012 estandarizar la infraestructura educativa y produjo el documento Estándares de calidad educativa: aprendizaje, gestión escolar, desempeño profesional e infraestructura. Los estándares se originaron en consultorías previas, en la revisión de experiencias latinoamericanas y en presiones políticas del más alto nivel. El arquitecto Aldo Ríos, primer director de infraestructura del Ministerio tras el cierre de la DINSE, relata que la cubierta entre bloques —el llamado patio de estudiar— respondió a un requerimiento presidencial directo de disponer de un centro integrador techado entre los volúmenes (Ríos, comunicación personal, 2022).</w:t>
      </w:r>
    </w:p>
    <w:p w14:paraId="01073C55" w14:textId="1EB8BFCB" w:rsidR="00DD4F34" w:rsidRDefault="00DD4F34" w:rsidP="00DD4F34">
      <w:pPr>
        <w:rPr>
          <w:lang w:val="es-EC"/>
        </w:rPr>
      </w:pPr>
      <w:r w:rsidRPr="00DD4F34">
        <w:rPr>
          <w:lang w:val="es-EC"/>
        </w:rPr>
        <w:t>El recorrido de ese espacio muestra que rara vez alcanzó la condición flexible y multifuncional pretendida: sus proporciones rectangulares y profundas lo asimilan a un corredor de gran escala que, desprovisto de mobiliario urbano, no sostiene actividades de encuentro, estudio o descanso. Los corredores de planta alta operaron, análogamente, como circulaciones estrictas.</w:t>
      </w:r>
    </w:p>
    <w:p w14:paraId="5311B456" w14:textId="4D775F65" w:rsidR="00DD4F34" w:rsidRPr="00DD4F34" w:rsidRDefault="00DD4F34" w:rsidP="00DD4F34">
      <w:pPr>
        <w:keepNext/>
        <w:spacing w:before="0" w:after="0" w:line="480" w:lineRule="auto"/>
        <w:jc w:val="left"/>
        <w:rPr>
          <w:rStyle w:val="FigurasCar"/>
          <w:lang w:eastAsia="es-ES"/>
        </w:rPr>
      </w:pPr>
      <w:bookmarkStart w:id="1" w:name="_Toc210429986"/>
      <w:r w:rsidRPr="00DE3D13">
        <w:rPr>
          <w:rStyle w:val="FigurasCar"/>
          <w:b/>
          <w:bCs/>
          <w:i w:val="0"/>
          <w:iCs/>
          <w:lang w:eastAsia="es-ES"/>
        </w:rPr>
        <w:lastRenderedPageBreak/>
        <w:t>F</w:t>
      </w:r>
      <w:r w:rsidR="00DE3D13">
        <w:rPr>
          <w:rStyle w:val="FigurasCar"/>
          <w:b/>
          <w:bCs/>
          <w:i w:val="0"/>
          <w:iCs/>
          <w:lang w:eastAsia="es-ES"/>
        </w:rPr>
        <w:t>IGURA</w:t>
      </w:r>
      <w:r w:rsidRPr="00DE3D13">
        <w:rPr>
          <w:rStyle w:val="FigurasCar"/>
          <w:b/>
          <w:bCs/>
          <w:i w:val="0"/>
          <w:iCs/>
          <w:lang w:eastAsia="es-ES"/>
        </w:rPr>
        <w:t xml:space="preserve"> 1</w:t>
      </w:r>
      <w:r w:rsidRPr="00DD4F34">
        <w:rPr>
          <w:rStyle w:val="FigurasCar"/>
          <w:lang w:eastAsia="es-ES"/>
        </w:rPr>
        <w:br/>
        <w:t>Bloque de aulas donde se evidencia la no integración con el exterior por parte de las aulas</w:t>
      </w:r>
      <w:bookmarkEnd w:id="1"/>
    </w:p>
    <w:p w14:paraId="69402EF1" w14:textId="77777777" w:rsidR="00DD4F34" w:rsidRPr="00DD4F34" w:rsidRDefault="00DD4F34" w:rsidP="00DD4F34">
      <w:pPr>
        <w:spacing w:before="0" w:after="0" w:line="360" w:lineRule="auto"/>
        <w:rPr>
          <w:rFonts w:ascii="Arial" w:eastAsia="Calibri" w:hAnsi="Arial" w:cs="Arial"/>
          <w:spacing w:val="0"/>
          <w:sz w:val="22"/>
          <w:lang w:val="es-EC"/>
          <w14:numForm w14:val="default"/>
        </w:rPr>
      </w:pPr>
      <w:r w:rsidRPr="00DD4F34">
        <w:rPr>
          <w:rFonts w:ascii="Arial" w:eastAsia="Calibri" w:hAnsi="Arial" w:cs="Arial"/>
          <w:noProof/>
          <w:spacing w:val="0"/>
          <w:sz w:val="22"/>
          <w:lang w:val="es-EC"/>
          <w14:numForm w14:val="default"/>
        </w:rPr>
        <w:drawing>
          <wp:inline distT="0" distB="0" distL="0" distR="0" wp14:anchorId="5E55BC60" wp14:editId="1BA41165">
            <wp:extent cx="4077577" cy="1762125"/>
            <wp:effectExtent l="0" t="0" r="0" b="0"/>
            <wp:docPr id="1509673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73758" name=""/>
                    <pic:cNvPicPr/>
                  </pic:nvPicPr>
                  <pic:blipFill>
                    <a:blip r:embed="rId9"/>
                    <a:stretch>
                      <a:fillRect/>
                    </a:stretch>
                  </pic:blipFill>
                  <pic:spPr>
                    <a:xfrm>
                      <a:off x="0" y="0"/>
                      <a:ext cx="4128128" cy="1783971"/>
                    </a:xfrm>
                    <a:prstGeom prst="rect">
                      <a:avLst/>
                    </a:prstGeom>
                  </pic:spPr>
                </pic:pic>
              </a:graphicData>
            </a:graphic>
          </wp:inline>
        </w:drawing>
      </w:r>
    </w:p>
    <w:p w14:paraId="21D223CF" w14:textId="77777777" w:rsidR="00DE3D13" w:rsidRPr="00681364" w:rsidRDefault="00DE3D13" w:rsidP="00DE3D13">
      <w:pPr>
        <w:pStyle w:val="Fuente"/>
        <w:rPr>
          <w:lang w:eastAsia="es-ES"/>
        </w:rPr>
      </w:pPr>
      <w:r w:rsidRPr="003E66FB">
        <w:t xml:space="preserve">Fuente: </w:t>
      </w:r>
      <w:r>
        <w:t>elaboración propia</w:t>
      </w:r>
    </w:p>
    <w:p w14:paraId="5D744BA7" w14:textId="77777777" w:rsidR="00DD4F34" w:rsidRDefault="00DD4F34" w:rsidP="00DD4F34">
      <w:pPr>
        <w:rPr>
          <w:lang w:val="es-EC"/>
        </w:rPr>
      </w:pPr>
    </w:p>
    <w:p w14:paraId="4DBB40CD" w14:textId="77AA5B0F" w:rsidR="00DD4F34" w:rsidRPr="00DD4F34" w:rsidRDefault="00DD4F34" w:rsidP="00DD4F34">
      <w:pPr>
        <w:rPr>
          <w:lang w:val="es-EC"/>
        </w:rPr>
      </w:pPr>
      <w:r w:rsidRPr="00DD4F34">
        <w:rPr>
          <w:lang w:val="es-EC"/>
        </w:rPr>
        <w:t>El propio Ríos describe las condiciones de producción de la norma: el equipo —dos arquitectos, un ingeniero civil y cuatro colaboradores— elaboraban los estándares en jornadas nocturnas, tras cumplir sus funciones ordinarias, bajo una presión que desplazó la discusión proyectual en favor del cumplimiento del plazo (Ibid., 2022). El dato es metodológicamente relevante: explica por qué la exploración tipológica se interrumpió justamente cuando había alcanzado su mayor productividad.</w:t>
      </w:r>
    </w:p>
    <w:p w14:paraId="01F4A862" w14:textId="23B1D0F7" w:rsidR="00DD4F34" w:rsidRDefault="00DD4F34" w:rsidP="00DD4F34">
      <w:pPr>
        <w:rPr>
          <w:lang w:val="es-EC"/>
        </w:rPr>
      </w:pPr>
      <w:r w:rsidRPr="00DD4F34">
        <w:rPr>
          <w:lang w:val="es-EC"/>
        </w:rPr>
        <w:t xml:space="preserve">El resultado fue una unidad estandarizada aplicable a todas las regiones, cuya diferenciación tipológica quedó reducida a dos variantes definidas por capacidad: unidad mayor para 1.140 estudiantes y unidad menor para 570. La tipología pasó así a ser función exclusiva del tamaño. En Guayaquil se implantaron bajo este principio el Colegio Réplica 28 de </w:t>
      </w:r>
      <w:proofErr w:type="gramStart"/>
      <w:r w:rsidRPr="00DD4F34">
        <w:rPr>
          <w:lang w:val="es-EC"/>
        </w:rPr>
        <w:t>Mayo</w:t>
      </w:r>
      <w:proofErr w:type="gramEnd"/>
      <w:r w:rsidRPr="00DD4F34">
        <w:rPr>
          <w:lang w:val="es-EC"/>
        </w:rPr>
        <w:t>, el Colegio Réplica Aguirre Abad, el Colegio Réplica Simón Bolívar y la Unidad Educativa Ileana Espinel Cedeño. El problema proyectual se redujo a disponer un juego de bloques sobre el terreno conforme a normas urbanas y topográficas, con lo que se abandonó la premisa de adaptación al entorno.</w:t>
      </w:r>
    </w:p>
    <w:p w14:paraId="02785F7C" w14:textId="77777777" w:rsidR="00DD4F34" w:rsidRPr="00DD4F34" w:rsidRDefault="00DD4F34" w:rsidP="00DD4F34">
      <w:pPr>
        <w:pStyle w:val="Ttulo2"/>
        <w:rPr>
          <w:lang w:val="es-EC"/>
        </w:rPr>
      </w:pPr>
      <w:r w:rsidRPr="00DD4F34">
        <w:rPr>
          <w:lang w:val="es-EC"/>
        </w:rPr>
        <w:lastRenderedPageBreak/>
        <w:t>Modalidades complementarias</w:t>
      </w:r>
    </w:p>
    <w:p w14:paraId="4AD2ED3D" w14:textId="6B79CDBB" w:rsidR="00DD4F34" w:rsidRPr="00415771" w:rsidRDefault="00DD4F34" w:rsidP="00DD4F34">
      <w:pPr>
        <w:rPr>
          <w:lang w:val="es-EC"/>
        </w:rPr>
      </w:pPr>
      <w:r w:rsidRPr="00DD4F34">
        <w:rPr>
          <w:lang w:val="es-EC"/>
        </w:rPr>
        <w:t xml:space="preserve">Tres modalidades completan el catálogo. Las unidades educativas repotenciadas correspondieron a casos en que no se requería un plantel nuevo sino la actualización parcial del existente, para lo cual se emplearon módulos estandarizados; el resultado son establecimientos que albergan tipologías heterogéneas en su interior. Las unidades con módulos hexagonales constituyeron una tipología intermedia, previa a las UEM, que agrupaba el hexágono según lógicas análogas a las del módulo rectangular tradicional; la irrupción del estándar limitó su vigencia y su difusión. Finalmente, los campamentos educativos de emergencia respondieron al desfase estructural entre demanda y oferta de espacio escolar, agudizado al inicio de cada período lectivo en la Costa. Se componían de un módulo por nivel educativo más los módulos administrativo y sanitario, ocasionalmente ampliados con un módulo tecnológico, elevados sobre el terreno mediante estructura metálica, paneles de fibrocemento y cubierta de </w:t>
      </w:r>
      <w:proofErr w:type="spellStart"/>
      <w:r w:rsidRPr="00DD4F34">
        <w:rPr>
          <w:i/>
          <w:iCs/>
          <w:lang w:val="es-EC"/>
        </w:rPr>
        <w:t>steel</w:t>
      </w:r>
      <w:proofErr w:type="spellEnd"/>
      <w:r w:rsidRPr="00DD4F34">
        <w:rPr>
          <w:i/>
          <w:iCs/>
          <w:lang w:val="es-EC"/>
        </w:rPr>
        <w:t xml:space="preserve"> panel</w:t>
      </w:r>
      <w:r w:rsidRPr="00DD4F34">
        <w:rPr>
          <w:lang w:val="es-EC"/>
        </w:rPr>
        <w:t>. Concebidos como solución transitoria hasta la construcción del plantel definitivo.  La escasez de recursos y las demoras de ejecución convirtieron a varios de ellos en centros escolares de funcionamiento permanente.</w:t>
      </w:r>
    </w:p>
    <w:p w14:paraId="437D0A2F" w14:textId="379E8535" w:rsidR="00DD4F34" w:rsidRPr="00DD4F34" w:rsidRDefault="00DD4F34" w:rsidP="00DD4F34">
      <w:pPr>
        <w:pStyle w:val="Ttulo1"/>
        <w:rPr>
          <w:lang w:val="es-EC"/>
        </w:rPr>
      </w:pPr>
      <w:r>
        <w:rPr>
          <w:lang w:val="es-EC"/>
        </w:rPr>
        <w:t xml:space="preserve">6. </w:t>
      </w:r>
      <w:r w:rsidRPr="00DD4F34">
        <w:rPr>
          <w:lang w:val="es-EC"/>
        </w:rPr>
        <w:t>Análisis del aula: transformaciones y persistencias</w:t>
      </w:r>
    </w:p>
    <w:p w14:paraId="3E8FF643" w14:textId="77777777" w:rsidR="00DD4F34" w:rsidRPr="00DD4F34" w:rsidRDefault="00DD4F34" w:rsidP="00DD4F34">
      <w:pPr>
        <w:rPr>
          <w:lang w:val="es-EC"/>
        </w:rPr>
      </w:pPr>
      <w:r w:rsidRPr="00DD4F34">
        <w:rPr>
          <w:lang w:val="es-EC"/>
        </w:rPr>
        <w:t>El análisis del aula de las UEM se organizó en torno a las variables forma, función, materialidad, integración con el exterior, ventilación e iluminación naturales, modos de agrupación, mobiliario y capacidad. El estándar de partida era el aula rectangular de 9 × 6 m, adoptada en el Ecuador durante el siglo XX conforme a referencias internacionales.</w:t>
      </w:r>
    </w:p>
    <w:p w14:paraId="33E739CA" w14:textId="77777777" w:rsidR="00DD4F34" w:rsidRPr="00DD4F34" w:rsidRDefault="00DD4F34" w:rsidP="00DD4F34">
      <w:pPr>
        <w:rPr>
          <w:lang w:val="es-EC"/>
        </w:rPr>
      </w:pPr>
      <w:r w:rsidRPr="00DD4F34">
        <w:rPr>
          <w:lang w:val="es-EC"/>
        </w:rPr>
        <w:t xml:space="preserve">Se registraron intentos de ruptura. Las aulas hexagonales de la DINSE introdujeron un ritmo distinto y mayor adaptabilidad a entornos abiertos, reduciendo la rigidez de la implantación; el privilegio de la forma sobre la función, sin embargo, perjudicó el amoblamiento interior. En la unidad piloto Alfredo Vera </w:t>
      </w:r>
      <w:proofErr w:type="spellStart"/>
      <w:r w:rsidRPr="00DD4F34">
        <w:rPr>
          <w:lang w:val="es-EC"/>
        </w:rPr>
        <w:t>Vera</w:t>
      </w:r>
      <w:proofErr w:type="spellEnd"/>
      <w:r w:rsidRPr="00DD4F34">
        <w:rPr>
          <w:lang w:val="es-EC"/>
        </w:rPr>
        <w:t>, la sección de bachillerato ensayó un aula cuadrangular achaflanada en las esquinas, resuelta como octó</w:t>
      </w:r>
      <w:r w:rsidRPr="00DD4F34">
        <w:rPr>
          <w:lang w:val="es-EC"/>
        </w:rPr>
        <w:lastRenderedPageBreak/>
        <w:t>gono. Los encargos individuales previos al estándar produjeron, asimismo, aulas con libertad de combinación y agrupamiento derivadas del análisis de cada sitio.</w:t>
      </w:r>
    </w:p>
    <w:p w14:paraId="48A0BEDE" w14:textId="77777777" w:rsidR="00DD4F34" w:rsidRPr="00DD4F34" w:rsidRDefault="00DD4F34" w:rsidP="00DD4F34">
      <w:pPr>
        <w:rPr>
          <w:lang w:val="es-EC"/>
        </w:rPr>
      </w:pPr>
      <w:r w:rsidRPr="00DD4F34">
        <w:rPr>
          <w:lang w:val="es-EC"/>
        </w:rPr>
        <w:t>La transformación más consistente se verificó en el mobiliario. Se dispuso equipamiento ergonómico ajustado a los grupos etarios, con atención específica al nivel preescolar. En educación inicial se estableció el estándar de vincular dos aulas rectangulares mediante una batería sanitaria intermedia dimensionada para infantes, y se incorporó un patio de uso exclusivo acorde a su edad y estatura.</w:t>
      </w:r>
    </w:p>
    <w:p w14:paraId="1024AB32" w14:textId="59C7253C" w:rsidR="004307D4" w:rsidRDefault="00DD4F34" w:rsidP="00DD4F34">
      <w:pPr>
        <w:rPr>
          <w:lang w:val="es-EC"/>
        </w:rPr>
      </w:pPr>
      <w:r w:rsidRPr="00DD4F34">
        <w:rPr>
          <w:lang w:val="es-EC"/>
        </w:rPr>
        <w:t>Las persistencias, no obstante, resultaron dominantes. La planta rectangular se mantuvo como constante en la mayoría de los modelos de gestión examinados. Las agrupaciones reprodujeron el esquema claustral, con el patio cercado por las aulas en una disposición que favorece la vigilancia y el control. La conexión del aula con el exterior mediante paneles flexibles —recurso disponible desde Neutra— no se aplicó, con lo que se renunció a generar espacios de encuentro social, lúdico y pedagógico. La implantación de conjunto tampoco produjo ámbitos de socialización, estudio o interacción: sólo corredores y caminerías de interconexión.</w:t>
      </w:r>
    </w:p>
    <w:p w14:paraId="6B051FFA" w14:textId="3D3E66CC" w:rsidR="00DE3D13" w:rsidRDefault="00BE77BD" w:rsidP="00DE3D13">
      <w:pPr>
        <w:pStyle w:val="Ttulo1"/>
        <w:rPr>
          <w:lang w:val="es-EC"/>
        </w:rPr>
      </w:pPr>
      <w:r>
        <w:rPr>
          <w:lang w:val="es-EC"/>
        </w:rPr>
        <w:t xml:space="preserve">7. </w:t>
      </w:r>
      <w:r w:rsidR="00DE3D13" w:rsidRPr="00DE3D13">
        <w:rPr>
          <w:lang w:val="es-EC"/>
        </w:rPr>
        <w:t>Conclusiones</w:t>
      </w:r>
    </w:p>
    <w:p w14:paraId="250287DE" w14:textId="77777777" w:rsidR="00DE3D13" w:rsidRPr="00DE3D13" w:rsidRDefault="00DE3D13" w:rsidP="00DE3D13">
      <w:pPr>
        <w:rPr>
          <w:lang w:val="es-EC"/>
        </w:rPr>
      </w:pPr>
      <w:r w:rsidRPr="00DE3D13">
        <w:rPr>
          <w:lang w:val="es-EC"/>
        </w:rPr>
        <w:t>El aula de las Unidades Educativas del Milenio, evaluada al margen de su costo, revela un vacío proyectual. Se desaprovechó la oportunidad de formular un modelo espacial coherente con los principios de la arquitectura moderna y con las tendencias educativas del siglo XXI. El modelo educativo estatal del período se circunscribió al término calidad, reiterado sin fundamentación ideológica ni pedagógica suficiente; cuando la norma lo precisó, lo hizo en clave tecnológica y constructiva.</w:t>
      </w:r>
    </w:p>
    <w:p w14:paraId="206C3396" w14:textId="77777777" w:rsidR="00DE3D13" w:rsidRDefault="00DE3D13">
      <w:pPr>
        <w:spacing w:before="0" w:after="160" w:line="259" w:lineRule="auto"/>
        <w:jc w:val="left"/>
        <w:rPr>
          <w:rStyle w:val="FigurasCar"/>
          <w:i w:val="0"/>
          <w:iCs/>
          <w:lang w:eastAsia="es-ES"/>
        </w:rPr>
      </w:pPr>
      <w:r>
        <w:rPr>
          <w:rStyle w:val="FigurasCar"/>
          <w:i w:val="0"/>
          <w:iCs/>
          <w:lang w:eastAsia="es-ES"/>
        </w:rPr>
        <w:br w:type="page"/>
      </w:r>
    </w:p>
    <w:p w14:paraId="6D23261D" w14:textId="2E46D318" w:rsidR="00DE3D13" w:rsidRPr="00DE3D13" w:rsidRDefault="00DE3D13" w:rsidP="00DE3D13">
      <w:pPr>
        <w:rPr>
          <w:rStyle w:val="FigurasCar"/>
          <w:b/>
          <w:bCs/>
          <w:i w:val="0"/>
          <w:iCs/>
          <w:lang w:eastAsia="es-ES"/>
        </w:rPr>
      </w:pPr>
      <w:r w:rsidRPr="00DE3D13">
        <w:rPr>
          <w:rStyle w:val="FigurasCar"/>
          <w:b/>
          <w:bCs/>
          <w:i w:val="0"/>
          <w:iCs/>
          <w:lang w:eastAsia="es-ES"/>
        </w:rPr>
        <w:lastRenderedPageBreak/>
        <w:t>F</w:t>
      </w:r>
      <w:r>
        <w:rPr>
          <w:rStyle w:val="FigurasCar"/>
          <w:b/>
          <w:bCs/>
          <w:i w:val="0"/>
          <w:iCs/>
          <w:lang w:eastAsia="es-ES"/>
        </w:rPr>
        <w:t>IGURA</w:t>
      </w:r>
      <w:r w:rsidRPr="00DE3D13">
        <w:rPr>
          <w:rStyle w:val="FigurasCar"/>
          <w:b/>
          <w:bCs/>
          <w:i w:val="0"/>
          <w:iCs/>
          <w:lang w:eastAsia="es-ES"/>
        </w:rPr>
        <w:t xml:space="preserve"> 2</w:t>
      </w:r>
    </w:p>
    <w:p w14:paraId="13E63866" w14:textId="78FEAB4B" w:rsidR="00DE3D13" w:rsidRDefault="00DE3D13" w:rsidP="00DE3D13">
      <w:pPr>
        <w:rPr>
          <w:rStyle w:val="FigurasCar"/>
          <w:lang w:val="es-EC" w:eastAsia="es-ES"/>
        </w:rPr>
      </w:pPr>
      <w:r w:rsidRPr="00DE3D13">
        <w:rPr>
          <w:rStyle w:val="FigurasCar"/>
          <w:lang w:val="es-EC" w:eastAsia="es-ES"/>
        </w:rPr>
        <w:t>Permanencias del modelo de aula tradicional comparada con el aula UEM</w:t>
      </w:r>
    </w:p>
    <w:p w14:paraId="7A7AE78D" w14:textId="5CFE5BD9" w:rsidR="00DE3D13" w:rsidRDefault="00DE3D13" w:rsidP="00DE3D13">
      <w:pPr>
        <w:rPr>
          <w:rStyle w:val="FigurasCar"/>
          <w:lang w:val="es-EC" w:eastAsia="es-ES"/>
        </w:rPr>
      </w:pPr>
      <w:r>
        <w:rPr>
          <w:rStyle w:val="FigurasCar"/>
          <w:noProof/>
          <w:lang w:val="es-EC" w:eastAsia="es-ES"/>
        </w:rPr>
        <w:drawing>
          <wp:inline distT="0" distB="0" distL="0" distR="0" wp14:anchorId="3427866D" wp14:editId="6D769352">
            <wp:extent cx="4223385" cy="1339653"/>
            <wp:effectExtent l="0" t="0" r="5715" b="0"/>
            <wp:docPr id="93085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918" cy="1349655"/>
                    </a:xfrm>
                    <a:prstGeom prst="rect">
                      <a:avLst/>
                    </a:prstGeom>
                    <a:noFill/>
                  </pic:spPr>
                </pic:pic>
              </a:graphicData>
            </a:graphic>
          </wp:inline>
        </w:drawing>
      </w:r>
    </w:p>
    <w:p w14:paraId="7EF3CC03" w14:textId="0BFCC0BE" w:rsidR="00DE3D13" w:rsidRPr="00DE3D13" w:rsidRDefault="00DE3D13" w:rsidP="00DE3D13">
      <w:pPr>
        <w:rPr>
          <w:rStyle w:val="FigurasCar"/>
          <w:i w:val="0"/>
          <w:iCs/>
          <w:lang w:val="es-EC" w:eastAsia="es-ES"/>
        </w:rPr>
      </w:pPr>
      <w:r w:rsidRPr="00DE3D13">
        <w:rPr>
          <w:rStyle w:val="FigurasCar"/>
          <w:lang w:val="es-EC" w:eastAsia="es-ES"/>
        </w:rPr>
        <w:t xml:space="preserve">Nota: </w:t>
      </w:r>
      <w:r w:rsidRPr="00DE3D13">
        <w:rPr>
          <w:rStyle w:val="FigurasCar"/>
          <w:i w:val="0"/>
          <w:iCs/>
          <w:lang w:val="es-EC" w:eastAsia="es-ES"/>
        </w:rPr>
        <w:t>Foto izquierda obtenida de https://www.degruyterbrill.com y Foto derecha obtenida de eltelégrafo.com.ec, 2025.</w:t>
      </w:r>
    </w:p>
    <w:p w14:paraId="69E679DC" w14:textId="77777777" w:rsidR="00DE3D13" w:rsidRPr="00DE3D13" w:rsidRDefault="00DE3D13" w:rsidP="00DE3D13">
      <w:pPr>
        <w:rPr>
          <w:rStyle w:val="FigurasCar"/>
          <w:lang w:val="es-EC" w:eastAsia="es-ES"/>
        </w:rPr>
      </w:pPr>
    </w:p>
    <w:p w14:paraId="49DDE6FB" w14:textId="77777777" w:rsidR="00DE3D13" w:rsidRPr="00DE3D13" w:rsidRDefault="00DE3D13" w:rsidP="00DE3D13">
      <w:pPr>
        <w:rPr>
          <w:lang w:val="es-EC"/>
        </w:rPr>
      </w:pPr>
      <w:r w:rsidRPr="00DE3D13">
        <w:rPr>
          <w:lang w:val="es-EC"/>
        </w:rPr>
        <w:t>En cuanto a la adaptación al entorno, las declaraciones del Plan Decenal contrastan con la aplicación de un modelo estandarizado a las cuatro regiones sin atender condicionantes climáticas ni culturales, a diferencia de las primeras escuelas anteriores al decreto de estandarización. La integración con la comunidad quedó parcialmente enunciada: bibliotecas y canchas se dispusieron con accesos directos para uso comunitario, pero su extensión a auditorios y laboratorios resultó de difícil implementación y las exigencias de seguridad impidieron materializar el uso externo de las canchas.</w:t>
      </w:r>
    </w:p>
    <w:p w14:paraId="60F300E6" w14:textId="77777777" w:rsidR="00DE3D13" w:rsidRPr="00DE3D13" w:rsidRDefault="00DE3D13" w:rsidP="00DE3D13">
      <w:pPr>
        <w:rPr>
          <w:lang w:val="es-EC"/>
        </w:rPr>
      </w:pPr>
      <w:r w:rsidRPr="00DE3D13">
        <w:rPr>
          <w:lang w:val="es-EC"/>
        </w:rPr>
        <w:t>Sobre los actores del diseño, la urgencia gubernamental impuso un estándar repetible que maximizara la producción de unidades por unidad de tiempo, condición que llevó a omitir procesos sustantivos, señaladamente el diseño participativo. Tampoco se contempló la flexibilidad del módulo aula para integrarse con otros módulos o con el entorno inmediato. Se trata de un atributo cuya utilidad quedó demostrada en las emergencias sanitarias que el movimiento higienista enfrentó a inicios del siglo XX, y que el movimiento moderno tradujo posteriormente en recursos proyectuales concretos a través de los exponentes de la arquitectura escolar de ese siglo.</w:t>
      </w:r>
    </w:p>
    <w:p w14:paraId="65766FF6" w14:textId="77777777" w:rsidR="00DE3D13" w:rsidRPr="00DE3D13" w:rsidRDefault="00DE3D13" w:rsidP="00DE3D13">
      <w:pPr>
        <w:rPr>
          <w:lang w:val="es-EC"/>
        </w:rPr>
      </w:pPr>
      <w:r w:rsidRPr="00DE3D13">
        <w:rPr>
          <w:lang w:val="es-EC"/>
        </w:rPr>
        <w:t xml:space="preserve">La caracterización de las unidades y el catálogo tipológico permitieron descifrar las transformaciones que precedieron al modelo estandarizado y develar los ensayos orientados a obtener un prototipo ajustado a las </w:t>
      </w:r>
      <w:r w:rsidRPr="00DE3D13">
        <w:rPr>
          <w:lang w:val="es-EC"/>
        </w:rPr>
        <w:lastRenderedPageBreak/>
        <w:t>expectativas gubernamentales. Las primeras escuelas con programa arquitectónico completo arrojaron resultados positivos, posteriormente intersecados por la aspiración del gobierno central de disponer de un factor identitario en la arquitectura escolar pública.</w:t>
      </w:r>
    </w:p>
    <w:p w14:paraId="0BB22C9A" w14:textId="77777777" w:rsidR="00DE3D13" w:rsidRPr="00DE3D13" w:rsidRDefault="00DE3D13" w:rsidP="00DE3D13">
      <w:pPr>
        <w:rPr>
          <w:lang w:val="es-EC"/>
        </w:rPr>
      </w:pPr>
      <w:r w:rsidRPr="00DE3D13">
        <w:rPr>
          <w:lang w:val="es-EC"/>
        </w:rPr>
        <w:t>Los modelos de gestión revelaron, en Guayaquil, un laboratorio donde se enfrentaron dos fuerzas políticas que buscaban representar su influencia mediante la arquitectura escolar. El enfrentamiento se visibilizó cromáticamente en la oposición entre escuelas celestes y escuelas verdes, y se institucionalizó en el tránsito del convenio tripartito al bipartito, que excluyó al municipio de la ejecución de las obras.</w:t>
      </w:r>
    </w:p>
    <w:p w14:paraId="4D65C991" w14:textId="77777777" w:rsidR="00DE3D13" w:rsidRPr="00DE3D13" w:rsidRDefault="00DE3D13" w:rsidP="00DE3D13">
      <w:pPr>
        <w:rPr>
          <w:lang w:val="es-EC"/>
        </w:rPr>
      </w:pPr>
      <w:r w:rsidRPr="00DE3D13">
        <w:rPr>
          <w:lang w:val="es-EC"/>
        </w:rPr>
        <w:t xml:space="preserve">La pedagogía constituyó la categoría ausente del diseño. El aula debería operar como facilitadora de la enseñanza y el aprendizaje; el siglo XX produjo ejemplos suficientes de cómo lograrlo, pero ninguno fue incorporado, salvo en educación inicial. Como argumenta </w:t>
      </w:r>
      <w:proofErr w:type="spellStart"/>
      <w:r w:rsidRPr="00DE3D13">
        <w:rPr>
          <w:lang w:val="es-EC"/>
        </w:rPr>
        <w:t>Fígols</w:t>
      </w:r>
      <w:proofErr w:type="spellEnd"/>
      <w:r w:rsidRPr="00DE3D13">
        <w:rPr>
          <w:lang w:val="es-EC"/>
        </w:rPr>
        <w:t xml:space="preserve"> (2017, p. 106) al analizar los espacios Waldorf, Montessori y Reggio Emilia bajo las categorías de diseño general, distribución, materiales, mobiliario, color, iluminación y acústica, toda pedagogía se traduce en un tipo de espacio, y la aplicación de tales medidas reporta beneficios verificables.</w:t>
      </w:r>
    </w:p>
    <w:p w14:paraId="54F28D4D" w14:textId="77777777" w:rsidR="00DE3D13" w:rsidRPr="00DE3D13" w:rsidRDefault="00DE3D13" w:rsidP="00DE3D13">
      <w:pPr>
        <w:rPr>
          <w:lang w:val="es-EC"/>
        </w:rPr>
      </w:pPr>
      <w:r w:rsidRPr="00DE3D13">
        <w:rPr>
          <w:lang w:val="es-EC"/>
        </w:rPr>
        <w:t xml:space="preserve">Cabe concluir, en respuesta a la hipótesis, que Guayaquil se constituyó efectivamente en laboratorio de arquitectura escolar: en ella se produjeron los tipos sucesivos que desembocaron en el nuevo estándar. Entre las transformaciones principales debe consignarse un estándar modular capaz de resolver el programa completo, integrando los tres niveles del sistema educativo en unidades que atendían un radio de acción determinado; la incorporación de tecnología y conectividad; y el empleo de materiales resistentes y estructura sismorresistente. Entre las persistencias, el anclaje del aula al modelo tradicional —paradigma ya superado por los movimientos higienista y </w:t>
      </w:r>
      <w:proofErr w:type="spellStart"/>
      <w:r w:rsidRPr="00DE3D13">
        <w:rPr>
          <w:lang w:val="es-EC"/>
        </w:rPr>
        <w:t>escolanovista</w:t>
      </w:r>
      <w:proofErr w:type="spellEnd"/>
      <w:r w:rsidRPr="00DE3D13">
        <w:rPr>
          <w:lang w:val="es-EC"/>
        </w:rPr>
        <w:t>—, la ausencia de integración con la naturaleza, la reproducción de la agrupación claustral y la exclusión de la pedagogía como determinante proyectual.</w:t>
      </w:r>
    </w:p>
    <w:p w14:paraId="4ADCA79D" w14:textId="1533ADC1" w:rsidR="00D0381D" w:rsidRPr="00BE77BD" w:rsidRDefault="00DE3D13" w:rsidP="00BE77BD">
      <w:pPr>
        <w:rPr>
          <w:lang w:val="es-EC"/>
        </w:rPr>
      </w:pPr>
      <w:r w:rsidRPr="00DE3D13">
        <w:rPr>
          <w:lang w:val="es-EC"/>
        </w:rPr>
        <w:t xml:space="preserve">Las políticas educativas influyeron decisivamente en el nuevo modelo de infraestructura, y el itinerario reconstruido para el período 2007-2016 muestra que las sucesivas transformaciones respondieron a modos de gestión derivados de esas políticas y materializados en el Plan Decenal </w:t>
      </w:r>
      <w:r w:rsidRPr="00DE3D13">
        <w:rPr>
          <w:lang w:val="es-EC"/>
        </w:rPr>
        <w:lastRenderedPageBreak/>
        <w:t>de Educación. A manera de corolario, Donoso-Paulson (2025) reflexiona sobre la oportunidad perdida de una coyuntura política, económica y social excepcional para desarrollar un modelo arquitectónico que, recogiendo un siglo de enseñanzas de la arquitectura educativa, hubiera complementado cualitativamente la magnitud de la inversión. Cuando el diseño arquitectónico sucumbe ante la normativa, cuando la arquitectura escolar no produce espacios pedagógicos, de encuentro y de socialización, y cuando no maximiza la enseñanza ni el aprendizaje, se produce un espejismo que refleja únicamente la inversión económica y la presión de la demanda.</w:t>
      </w:r>
      <w:r w:rsidR="00D0381D">
        <w:rPr>
          <w:color w:val="FF0000"/>
        </w:rPr>
        <w:br w:type="page"/>
      </w:r>
    </w:p>
    <w:p w14:paraId="2CFFE9A3" w14:textId="77777777" w:rsidR="00BE77BD" w:rsidRDefault="00721EBE" w:rsidP="00721EBE">
      <w:pPr>
        <w:pStyle w:val="Ttulo1"/>
      </w:pPr>
      <w:r w:rsidRPr="008B6A98">
        <w:rPr>
          <w:caps w:val="0"/>
        </w:rPr>
        <w:lastRenderedPageBreak/>
        <w:t>8.</w:t>
      </w:r>
      <w:r w:rsidRPr="008B6A98">
        <w:t xml:space="preserve"> </w:t>
      </w:r>
      <w:r w:rsidR="002F3733" w:rsidRPr="008B6A98">
        <w:t>Referencias</w:t>
      </w:r>
      <w:r w:rsidR="005417EB">
        <w:t xml:space="preserve"> </w:t>
      </w:r>
    </w:p>
    <w:p w14:paraId="3F30796E" w14:textId="77777777" w:rsidR="00BE77BD" w:rsidRPr="00BE77BD" w:rsidRDefault="00BE77BD" w:rsidP="00BE77BD">
      <w:pPr>
        <w:pStyle w:val="Bibliografa"/>
        <w:rPr>
          <w:lang w:val="es-EC"/>
        </w:rPr>
      </w:pPr>
      <w:r w:rsidRPr="00BE77BD">
        <w:rPr>
          <w:lang w:val="es-EC"/>
        </w:rPr>
        <w:t xml:space="preserve">Atrio, S., </w:t>
      </w:r>
      <w:proofErr w:type="spellStart"/>
      <w:r w:rsidRPr="00BE77BD">
        <w:rPr>
          <w:lang w:val="es-EC"/>
        </w:rPr>
        <w:t>Raedó</w:t>
      </w:r>
      <w:proofErr w:type="spellEnd"/>
      <w:r w:rsidRPr="00BE77BD">
        <w:rPr>
          <w:lang w:val="es-EC"/>
        </w:rPr>
        <w:t>, J., &amp; Navarro, V. (2016). Educación y Arquitectura: ayer, hoy, mañana. Crónica del III Encuentro Internacional de Educación en Arquitectura para la Infancia y la Juventud. Revista de Investigación e Innovación Educativa TARBIYA, 44, págs. 131-148. Obtenido de http://www.uam.es/servicios/apoyodocencia/ice/tarbiya/pdf/revistas/Tarbiya044.pdf</w:t>
      </w:r>
    </w:p>
    <w:p w14:paraId="41AF52BE" w14:textId="77777777" w:rsidR="00BE77BD" w:rsidRPr="00BE77BD" w:rsidRDefault="00BE77BD" w:rsidP="00BE77BD">
      <w:pPr>
        <w:pStyle w:val="Bibliografa"/>
        <w:rPr>
          <w:lang w:val="es-EC"/>
        </w:rPr>
      </w:pPr>
      <w:r w:rsidRPr="00BE77BD">
        <w:rPr>
          <w:lang w:val="es-EC"/>
        </w:rPr>
        <w:t>BID. (2024). Aprendizaje en las escuelas del siglo XXI: Hacia la construcción de escuelas que promueven el aprendizaje, ofrecen seguridad y protegen el medio ambiente. Obtenido de publications.iadb.org: https://publications.iadb.org/es/publicacion/16286/aprendizaje-en-las-escuelas-del-siglo-xxi-hacia-la-construccion-de-escuelas-que</w:t>
      </w:r>
    </w:p>
    <w:p w14:paraId="7E061E6F" w14:textId="77777777" w:rsidR="00BE77BD" w:rsidRPr="00BE77BD" w:rsidRDefault="00BE77BD" w:rsidP="00BE77BD">
      <w:pPr>
        <w:pStyle w:val="Bibliografa"/>
        <w:rPr>
          <w:lang w:val="es-EC"/>
        </w:rPr>
      </w:pPr>
      <w:r w:rsidRPr="00BE77BD">
        <w:rPr>
          <w:lang w:val="es-EC"/>
        </w:rPr>
        <w:t xml:space="preserve">Cattaneo, D. (2014). Arquitectura escolar moderna: interferencias, representación y pedagogía. Voces y silencios: Revista Latinoamericana de Educación, 67-83. </w:t>
      </w:r>
      <w:proofErr w:type="spellStart"/>
      <w:r w:rsidRPr="00BE77BD">
        <w:rPr>
          <w:lang w:val="es-EC"/>
        </w:rPr>
        <w:t>doi</w:t>
      </w:r>
      <w:proofErr w:type="spellEnd"/>
      <w:r w:rsidRPr="00BE77BD">
        <w:rPr>
          <w:lang w:val="es-EC"/>
        </w:rPr>
        <w:t>: http://dx.doi.org/10.18175/VyS6.1.2015.06</w:t>
      </w:r>
    </w:p>
    <w:p w14:paraId="4BCA793E" w14:textId="77777777" w:rsidR="00BE77BD" w:rsidRPr="00BE77BD" w:rsidRDefault="00BE77BD" w:rsidP="00BE77BD">
      <w:pPr>
        <w:pStyle w:val="Bibliografa"/>
        <w:rPr>
          <w:lang w:val="es-EC"/>
        </w:rPr>
      </w:pPr>
      <w:r w:rsidRPr="00BE77BD">
        <w:rPr>
          <w:lang w:val="es-EC"/>
        </w:rPr>
        <w:t>Donoso-Paulson, C. A. (2025). Intersecciones entre diseño arquitectónico y políticas públicas educativas. Las Escuelas del Milenio en el Ecuador (2007-2016). Obtenido de palermo.edu: chrome-extension://efaidnbmnnnibpcajpcglclefindmkaj/https://www.palermo.edu/dyc/doctorado_diseno/documentacion/donoso_paulson_cuerpob.pdf</w:t>
      </w:r>
    </w:p>
    <w:p w14:paraId="319A0F2C" w14:textId="77777777" w:rsidR="00BE77BD" w:rsidRPr="00BE77BD" w:rsidRDefault="00BE77BD" w:rsidP="00BE77BD">
      <w:pPr>
        <w:pStyle w:val="Bibliografa"/>
        <w:rPr>
          <w:lang w:val="es-EC"/>
        </w:rPr>
      </w:pPr>
      <w:proofErr w:type="spellStart"/>
      <w:r w:rsidRPr="00BE77BD">
        <w:rPr>
          <w:lang w:val="es-EC"/>
        </w:rPr>
        <w:t>Fígols</w:t>
      </w:r>
      <w:proofErr w:type="spellEnd"/>
      <w:r w:rsidRPr="00BE77BD">
        <w:rPr>
          <w:lang w:val="es-EC"/>
        </w:rPr>
        <w:t xml:space="preserve">, M. (2017). La arquitectura al servicio de la pedagogía. Barcelona: Pau de </w:t>
      </w:r>
      <w:proofErr w:type="spellStart"/>
      <w:r w:rsidRPr="00BE77BD">
        <w:rPr>
          <w:lang w:val="es-EC"/>
        </w:rPr>
        <w:t>Damasc</w:t>
      </w:r>
      <w:proofErr w:type="spellEnd"/>
      <w:r w:rsidRPr="00BE77BD">
        <w:rPr>
          <w:lang w:val="es-EC"/>
        </w:rPr>
        <w:t>.</w:t>
      </w:r>
    </w:p>
    <w:p w14:paraId="7E44E80B" w14:textId="77777777" w:rsidR="00BE77BD" w:rsidRPr="00BE77BD" w:rsidRDefault="00BE77BD" w:rsidP="00BE77BD">
      <w:pPr>
        <w:pStyle w:val="Bibliografa"/>
        <w:rPr>
          <w:lang w:val="es-EC"/>
        </w:rPr>
      </w:pPr>
      <w:r w:rsidRPr="00BE77BD">
        <w:rPr>
          <w:lang w:val="es-EC"/>
        </w:rPr>
        <w:t>Luna, M. (2017). Las políticas educativas en el Ecuador, 1950-2010. Las acciones del Estado y las iniciativas de la sociedad. Obtenido de https://portalcientifico.uned.es/documentos/5f63fc8729995274fc8e861d. Obtenido de portalcientifico.uned.es: https://hdl.handle.net/20.500.14468/18760</w:t>
      </w:r>
    </w:p>
    <w:p w14:paraId="3486DEC4" w14:textId="77777777" w:rsidR="00BE77BD" w:rsidRPr="00BE77BD" w:rsidRDefault="00BE77BD" w:rsidP="00BE77BD">
      <w:pPr>
        <w:pStyle w:val="Bibliografa"/>
        <w:rPr>
          <w:lang w:val="es-EC"/>
        </w:rPr>
      </w:pPr>
      <w:r w:rsidRPr="00BE77BD">
        <w:rPr>
          <w:lang w:val="es-EC"/>
        </w:rPr>
        <w:t>Ministerio de Educación del Ecuador. (2006). Plan Decenal de Educación del Ecuador 2006-2015. Quito. OEI. Recuperado el 2019, de www.oei.es: https://www.oei.es/historico/quipu/ecuador/Plan_Decenal.pdf</w:t>
      </w:r>
    </w:p>
    <w:p w14:paraId="351CC6EB" w14:textId="77777777" w:rsidR="00BE77BD" w:rsidRPr="00BE77BD" w:rsidRDefault="00BE77BD" w:rsidP="00BE77BD">
      <w:pPr>
        <w:pStyle w:val="Bibliografa"/>
        <w:rPr>
          <w:lang w:val="es-EC"/>
        </w:rPr>
      </w:pPr>
      <w:r w:rsidRPr="00BE77BD">
        <w:rPr>
          <w:lang w:val="es-EC"/>
        </w:rPr>
        <w:t>Ministerio de Educación del Ecuador. (2007). Rendición de Cuentas. Quito. Obtenido de educacion.gob.ec: https://educacion.gob.ec/wp-content/uploads/downloads/2012/08/Rendicion_2007.pdf</w:t>
      </w:r>
    </w:p>
    <w:p w14:paraId="2C07E450" w14:textId="77777777" w:rsidR="00BE77BD" w:rsidRPr="00BE77BD" w:rsidRDefault="00BE77BD" w:rsidP="00BE77BD">
      <w:pPr>
        <w:pStyle w:val="Bibliografa"/>
        <w:rPr>
          <w:lang w:val="es-EC"/>
        </w:rPr>
      </w:pPr>
      <w:r w:rsidRPr="00BE77BD">
        <w:rPr>
          <w:lang w:val="es-EC"/>
        </w:rPr>
        <w:t>Ministerio de Educación del Ecuador. (2012). Estándares de Calidad Educativa. Quito. Obtenido de https://educacion.gob.ec/wp-content/uploads/downloads/2012/09/estandares_2012.pdf</w:t>
      </w:r>
    </w:p>
    <w:p w14:paraId="45CE9AB8" w14:textId="77777777" w:rsidR="00BE77BD" w:rsidRPr="00BE77BD" w:rsidRDefault="00BE77BD" w:rsidP="00BE77BD">
      <w:pPr>
        <w:pStyle w:val="Bibliografa"/>
        <w:rPr>
          <w:lang w:val="es-EC"/>
        </w:rPr>
      </w:pPr>
      <w:bookmarkStart w:id="2" w:name="_Hlk219664478"/>
      <w:r w:rsidRPr="00BE77BD">
        <w:rPr>
          <w:lang w:val="es-EC"/>
        </w:rPr>
        <w:t>Naciones Unidas. (2000). Declaración del Milenio. Obtenido de https://documents.un.org/doc/undoc/gen/n00/559/54/pdf/n0055954.pdf?token=Z0ZNBgKatW2QGI3aUO&amp;fe=true</w:t>
      </w:r>
    </w:p>
    <w:bookmarkEnd w:id="2"/>
    <w:p w14:paraId="22124D87" w14:textId="77777777" w:rsidR="00BE77BD" w:rsidRPr="00BE77BD" w:rsidRDefault="00BE77BD" w:rsidP="00BE77BD">
      <w:pPr>
        <w:pStyle w:val="Bibliografa"/>
        <w:rPr>
          <w:lang w:val="es-EC"/>
        </w:rPr>
      </w:pPr>
      <w:r w:rsidRPr="00BE77BD">
        <w:rPr>
          <w:lang w:val="es-EC"/>
        </w:rPr>
        <w:lastRenderedPageBreak/>
        <w:t>Pozo, M. (2014). Arquitectura y pedagogía. La disolución del aula. Mapa de espacios arquitectónicos para un territorio pedagógico. Obtenido de: https://upcommons.upc.edu/bitstream/handle/2117/114942/2_03_Melina%20Pozo_FINAL.pdf</w:t>
      </w:r>
    </w:p>
    <w:p w14:paraId="3334EEDD" w14:textId="77777777" w:rsidR="00BE77BD" w:rsidRPr="00BE77BD" w:rsidRDefault="00BE77BD" w:rsidP="00BE77BD">
      <w:pPr>
        <w:pStyle w:val="Bibliografa"/>
        <w:rPr>
          <w:lang w:val="es-EC"/>
        </w:rPr>
      </w:pPr>
      <w:r w:rsidRPr="00BE77BD">
        <w:rPr>
          <w:lang w:val="es-EC"/>
        </w:rPr>
        <w:t>Ríos, A. (2022). Comunicación personal (A. Donoso, Entrevistador).</w:t>
      </w:r>
    </w:p>
    <w:p w14:paraId="10BC5E51" w14:textId="77777777" w:rsidR="00BE77BD" w:rsidRPr="00BE77BD" w:rsidRDefault="00BE77BD" w:rsidP="00BE77BD">
      <w:pPr>
        <w:pStyle w:val="Bibliografa"/>
        <w:rPr>
          <w:lang w:val="es-EC"/>
        </w:rPr>
      </w:pPr>
      <w:proofErr w:type="spellStart"/>
      <w:r w:rsidRPr="00BE77BD">
        <w:rPr>
          <w:lang w:val="es-EC"/>
        </w:rPr>
        <w:t>Sudjic</w:t>
      </w:r>
      <w:proofErr w:type="spellEnd"/>
      <w:r w:rsidRPr="00BE77BD">
        <w:rPr>
          <w:lang w:val="es-EC"/>
        </w:rPr>
        <w:t>, D. (2010). La Arquitectura del Poder. Barcelona: Planeta.</w:t>
      </w:r>
    </w:p>
    <w:p w14:paraId="257B0E96" w14:textId="77777777" w:rsidR="00BE77BD" w:rsidRPr="00BE77BD" w:rsidRDefault="00BE77BD" w:rsidP="00BE77BD">
      <w:pPr>
        <w:pStyle w:val="Bibliografa"/>
        <w:rPr>
          <w:lang w:val="es-EC"/>
        </w:rPr>
      </w:pPr>
      <w:r w:rsidRPr="00BE77BD">
        <w:rPr>
          <w:lang w:val="es-EC"/>
        </w:rPr>
        <w:t>Toranzo, V. A. (2009). Arquitectura y Pedagogía. Buenos Aires: Nobuko.</w:t>
      </w:r>
    </w:p>
    <w:p w14:paraId="7CEB5D11" w14:textId="77777777" w:rsidR="00BE77BD" w:rsidRPr="00BE77BD" w:rsidRDefault="00BE77BD" w:rsidP="00BE77BD">
      <w:pPr>
        <w:pStyle w:val="Bibliografa"/>
        <w:rPr>
          <w:lang w:val="es-EC"/>
        </w:rPr>
      </w:pPr>
      <w:r w:rsidRPr="00BE77BD">
        <w:rPr>
          <w:lang w:val="es-EC"/>
        </w:rPr>
        <w:t>Trilla, J., et al. (2001). El legado pedagógico del siglo XX para la escuela del siglo XXI. Barcelona: Graó.</w:t>
      </w:r>
    </w:p>
    <w:p w14:paraId="6C5E4770" w14:textId="77777777" w:rsidR="00BE77BD" w:rsidRPr="00BE77BD" w:rsidRDefault="00BE77BD" w:rsidP="00BE77BD">
      <w:pPr>
        <w:pStyle w:val="Bibliografa"/>
        <w:rPr>
          <w:lang w:val="es-EC"/>
        </w:rPr>
      </w:pPr>
      <w:r w:rsidRPr="00BE77BD">
        <w:rPr>
          <w:lang w:val="es-EC"/>
        </w:rPr>
        <w:t>Vidal, G. (2019). Comunicación personal. (A. Donoso, Entrevistador).</w:t>
      </w:r>
    </w:p>
    <w:p w14:paraId="77E79409" w14:textId="77777777" w:rsidR="00BE77BD" w:rsidRPr="00BE77BD" w:rsidRDefault="00BE77BD" w:rsidP="00BE77BD">
      <w:pPr>
        <w:pStyle w:val="Bibliografa"/>
        <w:rPr>
          <w:lang w:val="es-EC"/>
        </w:rPr>
      </w:pPr>
    </w:p>
    <w:p w14:paraId="16315F26" w14:textId="77777777" w:rsidR="00BE77BD" w:rsidRDefault="00BE77BD" w:rsidP="00721EBE">
      <w:pPr>
        <w:pStyle w:val="Ttulo1"/>
      </w:pPr>
    </w:p>
    <w:p w14:paraId="6BADEF35" w14:textId="77777777" w:rsidR="00BE77BD" w:rsidRDefault="00BE77BD" w:rsidP="00721EBE">
      <w:pPr>
        <w:pStyle w:val="Ttulo1"/>
      </w:pPr>
    </w:p>
    <w:p w14:paraId="505332FB" w14:textId="77777777" w:rsidR="00BE77BD" w:rsidRDefault="00BE77BD" w:rsidP="00721EBE">
      <w:pPr>
        <w:pStyle w:val="Ttulo1"/>
      </w:pPr>
    </w:p>
    <w:p w14:paraId="436EEA31" w14:textId="77777777" w:rsidR="00BE77BD" w:rsidRDefault="00BE77BD" w:rsidP="00721EBE">
      <w:pPr>
        <w:pStyle w:val="Ttulo1"/>
      </w:pPr>
    </w:p>
    <w:p w14:paraId="59F25F42" w14:textId="77777777" w:rsidR="00BE77BD" w:rsidRDefault="00BE77BD" w:rsidP="00721EBE">
      <w:pPr>
        <w:pStyle w:val="Ttulo1"/>
      </w:pPr>
    </w:p>
    <w:p w14:paraId="47674FFF" w14:textId="77777777" w:rsidR="00BE77BD" w:rsidRDefault="00BE77BD" w:rsidP="00721EBE">
      <w:pPr>
        <w:pStyle w:val="Ttulo1"/>
      </w:pPr>
    </w:p>
    <w:p w14:paraId="5836C896" w14:textId="77777777" w:rsidR="00BE77BD" w:rsidRDefault="00BE77BD" w:rsidP="00721EBE">
      <w:pPr>
        <w:pStyle w:val="Ttulo1"/>
      </w:pPr>
    </w:p>
    <w:p w14:paraId="3944D8C3" w14:textId="77777777" w:rsidR="00CE0F4B" w:rsidRPr="00C45F7D" w:rsidRDefault="00CE0F4B" w:rsidP="008B6A98">
      <w:pPr>
        <w:rPr>
          <w:color w:val="FF0000"/>
        </w:rPr>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rgValue="AgBuAGUAZwByAGkAdABhAA=="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0A3E0" w14:textId="77777777" w:rsidR="002672BD" w:rsidRDefault="002672BD" w:rsidP="00EB0247">
      <w:pPr>
        <w:spacing w:after="0" w:line="240" w:lineRule="auto"/>
      </w:pPr>
      <w:r>
        <w:separator/>
      </w:r>
    </w:p>
  </w:endnote>
  <w:endnote w:type="continuationSeparator" w:id="0">
    <w:p w14:paraId="7519325F" w14:textId="77777777" w:rsidR="002672BD" w:rsidRDefault="002672BD"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D0353" w14:textId="77777777" w:rsidR="002672BD" w:rsidRDefault="002672BD" w:rsidP="00EB0247">
      <w:pPr>
        <w:spacing w:after="0" w:line="240" w:lineRule="auto"/>
      </w:pPr>
      <w:r>
        <w:separator/>
      </w:r>
    </w:p>
  </w:footnote>
  <w:footnote w:type="continuationSeparator" w:id="0">
    <w:p w14:paraId="3E620744" w14:textId="77777777" w:rsidR="002672BD" w:rsidRDefault="002672BD"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936B00"/>
    <w:multiLevelType w:val="hybridMultilevel"/>
    <w:tmpl w:val="CA44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29"/>
  </w:num>
  <w:num w:numId="17">
    <w:abstractNumId w:val="26"/>
  </w:num>
  <w:num w:numId="18">
    <w:abstractNumId w:val="10"/>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2"/>
  </w:num>
  <w:num w:numId="26">
    <w:abstractNumId w:val="32"/>
  </w:num>
  <w:num w:numId="27">
    <w:abstractNumId w:val="20"/>
  </w:num>
  <w:num w:numId="28">
    <w:abstractNumId w:val="21"/>
  </w:num>
  <w:num w:numId="29">
    <w:abstractNumId w:val="23"/>
  </w:num>
  <w:num w:numId="30">
    <w:abstractNumId w:val="16"/>
  </w:num>
  <w:num w:numId="31">
    <w:abstractNumId w:val="24"/>
  </w:num>
  <w:num w:numId="32">
    <w:abstractNumId w:val="14"/>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70276"/>
    <w:rsid w:val="00097EEF"/>
    <w:rsid w:val="000C5EDB"/>
    <w:rsid w:val="0010737F"/>
    <w:rsid w:val="00125F86"/>
    <w:rsid w:val="001348A0"/>
    <w:rsid w:val="00140844"/>
    <w:rsid w:val="001468AC"/>
    <w:rsid w:val="0015066B"/>
    <w:rsid w:val="00156F2B"/>
    <w:rsid w:val="00166AFF"/>
    <w:rsid w:val="00182667"/>
    <w:rsid w:val="00185A00"/>
    <w:rsid w:val="0018654D"/>
    <w:rsid w:val="001950D8"/>
    <w:rsid w:val="00197D57"/>
    <w:rsid w:val="001A7AD8"/>
    <w:rsid w:val="001F1D1C"/>
    <w:rsid w:val="00224442"/>
    <w:rsid w:val="00242EFB"/>
    <w:rsid w:val="002433EC"/>
    <w:rsid w:val="00254F0F"/>
    <w:rsid w:val="002672BD"/>
    <w:rsid w:val="00280126"/>
    <w:rsid w:val="00281564"/>
    <w:rsid w:val="00285B53"/>
    <w:rsid w:val="002A43CD"/>
    <w:rsid w:val="002C5703"/>
    <w:rsid w:val="002D23FB"/>
    <w:rsid w:val="002D268C"/>
    <w:rsid w:val="002F3733"/>
    <w:rsid w:val="003512A0"/>
    <w:rsid w:val="00375999"/>
    <w:rsid w:val="0039591A"/>
    <w:rsid w:val="003C4D9F"/>
    <w:rsid w:val="003E66FB"/>
    <w:rsid w:val="00415771"/>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849E8"/>
    <w:rsid w:val="008A4085"/>
    <w:rsid w:val="008A483F"/>
    <w:rsid w:val="008B6A98"/>
    <w:rsid w:val="008C1056"/>
    <w:rsid w:val="008C2B2C"/>
    <w:rsid w:val="008F1330"/>
    <w:rsid w:val="008F3F8E"/>
    <w:rsid w:val="00904F1A"/>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3E44"/>
    <w:rsid w:val="00A8553F"/>
    <w:rsid w:val="00B0717D"/>
    <w:rsid w:val="00B57A4E"/>
    <w:rsid w:val="00B60DF4"/>
    <w:rsid w:val="00BA4EA8"/>
    <w:rsid w:val="00BA4FD5"/>
    <w:rsid w:val="00BB38AC"/>
    <w:rsid w:val="00BD7178"/>
    <w:rsid w:val="00BE3D2B"/>
    <w:rsid w:val="00BE5F2C"/>
    <w:rsid w:val="00BE77BD"/>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D4F34"/>
    <w:rsid w:val="00DE0B74"/>
    <w:rsid w:val="00DE3D13"/>
    <w:rsid w:val="00DF1B76"/>
    <w:rsid w:val="00E04357"/>
    <w:rsid w:val="00E05E1A"/>
    <w:rsid w:val="00E06000"/>
    <w:rsid w:val="00E649D6"/>
    <w:rsid w:val="00E83A27"/>
    <w:rsid w:val="00EB0247"/>
    <w:rsid w:val="00EC01A5"/>
    <w:rsid w:val="00F30F11"/>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CEF4B26F-5D02-4E70-AE46-AA218C33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4D069-6F25-41F7-A9D9-C883B6DB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17</Pages>
  <Words>4767</Words>
  <Characters>26219</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Carlos Alberto Andres Donoso Paulson</cp:lastModifiedBy>
  <cp:revision>2</cp:revision>
  <dcterms:created xsi:type="dcterms:W3CDTF">2026-08-27T21:29:00Z</dcterms:created>
  <dcterms:modified xsi:type="dcterms:W3CDTF">2026-08-27T21:29:00Z</dcterms:modified>
  <cp:category>Categoria</cp:category>
  <cp:contentStatus>Estado</cp:contentStatus>
</cp:coreProperties>
</file>