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084B5" w14:textId="678D1F05" w:rsidR="001348A0" w:rsidRDefault="001348A0" w:rsidP="001348A0">
      <w:pPr>
        <w:pStyle w:val="Captulo"/>
      </w:pPr>
      <w:r>
        <w:t xml:space="preserve">Capítulo </w:t>
      </w:r>
      <w:r w:rsidR="001B1548">
        <w:t>I</w:t>
      </w:r>
    </w:p>
    <w:p w14:paraId="6DC56C6D" w14:textId="547F73D3" w:rsidR="00184DCF" w:rsidRDefault="00184DCF" w:rsidP="00184DCF">
      <w:pPr>
        <w:pStyle w:val="TtCap"/>
        <w:rPr>
          <w:b/>
          <w:color w:val="auto"/>
          <w:lang w:val="es-EC"/>
        </w:rPr>
      </w:pPr>
      <w:r w:rsidRPr="00184DCF">
        <w:rPr>
          <w:b/>
          <w:color w:val="auto"/>
          <w:lang w:val="es-EC"/>
        </w:rPr>
        <w:t>PRÁCTICA DE LA PRUEBA DIGITAL</w:t>
      </w:r>
      <w:r w:rsidR="007D547B">
        <w:rPr>
          <w:b/>
          <w:color w:val="auto"/>
          <w:lang w:val="es-EC"/>
        </w:rPr>
        <w:t>: La falta de regulación de la cadena de custodia.</w:t>
      </w:r>
    </w:p>
    <w:p w14:paraId="4645F320" w14:textId="4DAF8B59" w:rsidR="0015066B" w:rsidRPr="00184DCF" w:rsidRDefault="00184DCF" w:rsidP="0015066B">
      <w:pPr>
        <w:pStyle w:val="Autor"/>
        <w:rPr>
          <w:color w:val="auto"/>
        </w:rPr>
      </w:pPr>
      <w:r w:rsidRPr="00184DCF">
        <w:rPr>
          <w:color w:val="auto"/>
        </w:rPr>
        <w:t>María Gabriela Mayorga Contreras</w:t>
      </w:r>
    </w:p>
    <w:p w14:paraId="69FA3E26" w14:textId="670589C5" w:rsidR="0015066B" w:rsidRPr="00184DCF" w:rsidRDefault="00184DCF" w:rsidP="0015066B">
      <w:pPr>
        <w:pStyle w:val="Adscripcin"/>
        <w:rPr>
          <w:color w:val="auto"/>
        </w:rPr>
      </w:pPr>
      <w:r w:rsidRPr="00184DCF">
        <w:rPr>
          <w:color w:val="auto"/>
        </w:rPr>
        <w:t>Universidad Católica de Santiago de Guayaquil</w:t>
      </w:r>
    </w:p>
    <w:p w14:paraId="63BDFEFB" w14:textId="12D0490F" w:rsidR="00FD22EE" w:rsidRPr="00FD22EE" w:rsidRDefault="00721EBE" w:rsidP="00FD22EE">
      <w:pPr>
        <w:pStyle w:val="Ttulo1"/>
      </w:pPr>
      <w:r w:rsidRPr="00184DCF">
        <w:t xml:space="preserve">1. </w:t>
      </w:r>
      <w:r w:rsidR="0015066B" w:rsidRPr="00184DCF">
        <w:t>Introducción</w:t>
      </w:r>
      <w:r w:rsidR="009C0DFA" w:rsidRPr="00184DCF">
        <w:t xml:space="preserve"> </w:t>
      </w:r>
    </w:p>
    <w:p w14:paraId="4D93CF3A" w14:textId="4E072EE2" w:rsidR="00184DCF" w:rsidRPr="00184DCF" w:rsidRDefault="00184DCF" w:rsidP="00184DCF">
      <w:pPr>
        <w:rPr>
          <w:lang w:val="es-EC"/>
        </w:rPr>
      </w:pPr>
      <w:r w:rsidRPr="00184DCF">
        <w:rPr>
          <w:lang w:val="es-EC"/>
        </w:rPr>
        <w:t xml:space="preserve">Según Hugo Alsina </w:t>
      </w:r>
      <w:sdt>
        <w:sdtPr>
          <w:rPr>
            <w:lang w:val="es-EC"/>
          </w:rPr>
          <w:id w:val="1062995387"/>
          <w:citation/>
        </w:sdtPr>
        <w:sdtEndPr/>
        <w:sdtContent>
          <w:r w:rsidRPr="00184DCF">
            <w:rPr>
              <w:lang w:val="es-EC"/>
            </w:rPr>
            <w:fldChar w:fldCharType="begin"/>
          </w:r>
          <w:r w:rsidRPr="00184DCF">
            <w:rPr>
              <w:lang w:val="es-EC"/>
            </w:rPr>
            <w:instrText xml:space="preserve"> CITATION Als \l 12298 </w:instrText>
          </w:r>
          <w:r w:rsidRPr="00184DCF">
            <w:rPr>
              <w:lang w:val="es-EC"/>
            </w:rPr>
            <w:fldChar w:fldCharType="separate"/>
          </w:r>
          <w:r w:rsidR="00A52BAD" w:rsidRPr="00A52BAD">
            <w:rPr>
              <w:noProof/>
              <w:lang w:val="es-EC"/>
            </w:rPr>
            <w:t>(Alsina, 2002)</w:t>
          </w:r>
          <w:r w:rsidRPr="00184DCF">
            <w:fldChar w:fldCharType="end"/>
          </w:r>
        </w:sdtContent>
      </w:sdt>
      <w:r w:rsidRPr="00184DCF">
        <w:rPr>
          <w:lang w:val="es-EC"/>
        </w:rPr>
        <w:t>, probar es demostrar la verdad de una proposición, expresa una operación mental de comparación. Desde este punto de vista, la prueba judicial es la confrontación de la versión de cada parte con los medios producidos para abonarla. El juez trata de reconstruir los hechos valiéndose de la información que aquellas ofrecen. El objetivo del juez es revisar y verificar cómo ocurrieron las cosas en el pasado, utilizando medios de prueba, rastros o huellas que los hechos dejaron. La fase probatoria es sumamente importante dentro del proceso civil, pues lleva a la convicción al Juez de los hechos alegados por las partes y poder darle la razón a quien en derecho corresponda.</w:t>
      </w:r>
    </w:p>
    <w:p w14:paraId="3A81C3C1" w14:textId="77777777" w:rsidR="00184DCF" w:rsidRPr="00184DCF" w:rsidRDefault="00184DCF" w:rsidP="00184DCF">
      <w:pPr>
        <w:rPr>
          <w:lang w:val="es-EC"/>
        </w:rPr>
      </w:pPr>
    </w:p>
    <w:p w14:paraId="1F3F9B3B" w14:textId="65ADE554" w:rsidR="00184DCF" w:rsidRPr="00184DCF" w:rsidRDefault="00184DCF" w:rsidP="00184DCF">
      <w:pPr>
        <w:rPr>
          <w:lang w:val="es-EC"/>
        </w:rPr>
      </w:pPr>
      <w:r w:rsidRPr="00184DCF">
        <w:rPr>
          <w:lang w:val="es-EC"/>
        </w:rPr>
        <w:t xml:space="preserve">Según Carolina SANCHÍS CRESPO, </w:t>
      </w:r>
      <w:sdt>
        <w:sdtPr>
          <w:rPr>
            <w:lang w:val="es-EC"/>
          </w:rPr>
          <w:id w:val="742520432"/>
          <w:citation/>
        </w:sdtPr>
        <w:sdtEndPr/>
        <w:sdtContent>
          <w:r w:rsidRPr="00184DCF">
            <w:rPr>
              <w:lang w:val="es-EC"/>
            </w:rPr>
            <w:fldChar w:fldCharType="begin"/>
          </w:r>
          <w:r w:rsidRPr="00184DCF">
            <w:rPr>
              <w:lang w:val="es-EC"/>
            </w:rPr>
            <w:instrText xml:space="preserve"> CITATION Cre99 \l 12298 </w:instrText>
          </w:r>
          <w:r w:rsidRPr="00184DCF">
            <w:rPr>
              <w:lang w:val="es-EC"/>
            </w:rPr>
            <w:fldChar w:fldCharType="separate"/>
          </w:r>
          <w:r w:rsidR="00A52BAD" w:rsidRPr="00A52BAD">
            <w:rPr>
              <w:noProof/>
              <w:lang w:val="es-EC"/>
            </w:rPr>
            <w:t>(Carolina, 1999)</w:t>
          </w:r>
          <w:r w:rsidRPr="00184DCF">
            <w:fldChar w:fldCharType="end"/>
          </w:r>
        </w:sdtContent>
      </w:sdt>
      <w:r w:rsidRPr="00184DCF">
        <w:rPr>
          <w:lang w:val="es-EC"/>
        </w:rPr>
        <w:t xml:space="preserve"> la prueba digital o electrónica es aquella en la que toda la información que tiene valor probatorio para el proceso se encuentra o se transmite mediante un medio electrónico. </w:t>
      </w:r>
      <w:r w:rsidRPr="00184DCF">
        <w:rPr>
          <w:lang w:val="es-ES_tradnl"/>
        </w:rPr>
        <w:t>Debe tener efectos para acreditar hechos en el proceso.</w:t>
      </w:r>
      <w:r w:rsidRPr="00184DCF">
        <w:rPr>
          <w:lang w:val="es-EC"/>
        </w:rPr>
        <w:t xml:space="preserve"> </w:t>
      </w:r>
      <w:r w:rsidRPr="00184DCF">
        <w:t>En el nuevo ordenamiento jurídico ecuatoriano se incluye el procedimiento oral en la sustanciación de procesos civiles. En las audiencias los abogados exponen las pruebas que han sido anunciadas en la demanda y en la contestación.</w:t>
      </w:r>
      <w:r w:rsidRPr="00184DCF">
        <w:rPr>
          <w:lang w:val="es-EC"/>
        </w:rPr>
        <w:t xml:space="preserve"> </w:t>
      </w:r>
      <w:r w:rsidRPr="00184DCF">
        <w:t xml:space="preserve">Existe mucho desconocimiento de los abogados litigantes al momento de anunciar y practicar la prueba digital en el procedimiento civil ecuatoriano. </w:t>
      </w:r>
      <w:r w:rsidRPr="00184DCF">
        <w:rPr>
          <w:lang w:val="es-ES_tradnl"/>
        </w:rPr>
        <w:t xml:space="preserve">La prueba digital es una realidad que ningún operador jurídico puede ignorar. La utilización de medios electrónicos en el desarrollo de los procesos civiles es cada vez </w:t>
      </w:r>
      <w:r w:rsidRPr="00184DCF">
        <w:rPr>
          <w:lang w:val="es-ES_tradnl"/>
        </w:rPr>
        <w:lastRenderedPageBreak/>
        <w:t xml:space="preserve">más inminente como consecuencia de la era tecnológica y digital en la que se encuentra nuestra sociedad. Estas nuevas formas de comunicación y recepción de información han sustituido los métodos clásicos que actuaban como únicos soportes de los hechos alegados en los procesos civiles, a los que el ordenamiento jurídico dotaba de sustantividad propia para introducirse como medios probatorios adecuados. </w:t>
      </w:r>
    </w:p>
    <w:p w14:paraId="6632F149" w14:textId="77777777" w:rsidR="00184DCF" w:rsidRPr="00184DCF" w:rsidRDefault="00184DCF" w:rsidP="00184DCF"/>
    <w:p w14:paraId="4B5F68F7" w14:textId="77777777" w:rsidR="00184DCF" w:rsidRPr="00184DCF" w:rsidRDefault="00184DCF" w:rsidP="00184DCF">
      <w:pPr>
        <w:rPr>
          <w:lang w:val="es-EC"/>
        </w:rPr>
      </w:pPr>
      <w:r w:rsidRPr="00184DCF">
        <w:rPr>
          <w:lang w:val="es-EC"/>
        </w:rPr>
        <w:t>El derecho avanza en función del avance de la sociedad, por lo que resulta necesario normar todas estas prácticas digitales, con el objeto de tutelar los derechos de las partes en un proceso judicial. La regulación de los medios digitales en el Ecuador ha traído un gran desenvolvimiento de los medios probatorios, pues el Juez se encuentra obligado a admitir pruebas digitales para que se practiquen por medios electrónicos, pues si el operador jurídico ordenara su materialización, la prueba perdería su eficacia y validez jurídica.</w:t>
      </w:r>
    </w:p>
    <w:p w14:paraId="264AB7B4" w14:textId="77777777" w:rsidR="00184DCF" w:rsidRPr="00184DCF" w:rsidRDefault="00184DCF" w:rsidP="00184DCF">
      <w:pPr>
        <w:rPr>
          <w:lang w:val="es-EC"/>
        </w:rPr>
      </w:pPr>
    </w:p>
    <w:p w14:paraId="76DF6650" w14:textId="20BCDCE3" w:rsidR="00184DCF" w:rsidRPr="00184DCF" w:rsidRDefault="00184DCF" w:rsidP="00184DCF">
      <w:pPr>
        <w:rPr>
          <w:lang w:val="es-EC"/>
        </w:rPr>
      </w:pPr>
      <w:r w:rsidRPr="00184DCF">
        <w:rPr>
          <w:lang w:val="es-EC"/>
        </w:rPr>
        <w:t xml:space="preserve">La correcta incorporación de pruebas digitales en el sistema judicial requiere la implementación de mecanismos claros y eficientes que aseguren su autenticidad, veracidad e integridad.  La regulación normativa debe ir de la mano con la aplicación de procedimientos técnicos seguros, como la cadena de custodia y el uso de herramientas y mecanismos para la producción probatoria de documentos electrónicos. Además, es fundamental fortalecer las competencias técnicas de los operadores de justicia mediante una capacitación constante por la Escuela Judicial del Consejo de la Judicatura, que permita el adecuado manejo, revisión y valoración de estos documentos electrónicos. De esta manera, se podrá garantizar la seguridad jurídica en los procesos civiles y su coherencia con los avances tecnológicos actuales. La falta de un marco regulatorio específico y la falta de implementación de dispositivos tecnológicos en la Función Judicial, han sido factores determinantes en la limitada aceptación de las pruebas digitales en los procesos judiciales. Esta situación afecta directamente la eficacia de la administración de justicia ecuatoriana, especialmente </w:t>
      </w:r>
      <w:r w:rsidRPr="00184DCF">
        <w:rPr>
          <w:lang w:val="es-EC"/>
        </w:rPr>
        <w:lastRenderedPageBreak/>
        <w:t xml:space="preserve">en áreas donde la infraestructura tecnológica es deficiente. La creación de protocolos uniformes, junto con la capacitación de jueces, servidores judiciales y abogados en herramientas tecnológicas, resulta indispensable para cerrar estas brechas. Asimismo, la implementación de estándares claros en la cadena de custodia permitirá garantizar la veracidad, autenticidad, correcta admisibilidad y el valor probatorio de los documentos electrónicos, asegurando un sistema judicial más eficiente y adaptado a las necesidades de la sociedad actual. </w:t>
      </w:r>
      <w:sdt>
        <w:sdtPr>
          <w:rPr>
            <w:lang w:val="es-EC"/>
          </w:rPr>
          <w:id w:val="-1600019639"/>
          <w:citation/>
        </w:sdtPr>
        <w:sdtEndPr/>
        <w:sdtContent>
          <w:r w:rsidRPr="00184DCF">
            <w:rPr>
              <w:lang w:val="es-EC"/>
            </w:rPr>
            <w:fldChar w:fldCharType="begin"/>
          </w:r>
          <w:r w:rsidRPr="00184DCF">
            <w:rPr>
              <w:lang w:val="es-EC"/>
            </w:rPr>
            <w:instrText xml:space="preserve"> CITATION Inc24 \l 12298 </w:instrText>
          </w:r>
          <w:r w:rsidRPr="00184DCF">
            <w:rPr>
              <w:lang w:val="es-EC"/>
            </w:rPr>
            <w:fldChar w:fldCharType="separate"/>
          </w:r>
          <w:r w:rsidR="00A52BAD" w:rsidRPr="00A52BAD">
            <w:rPr>
              <w:noProof/>
              <w:lang w:val="es-EC"/>
            </w:rPr>
            <w:t>(Inca, 2024)</w:t>
          </w:r>
          <w:r w:rsidRPr="00184DCF">
            <w:fldChar w:fldCharType="end"/>
          </w:r>
        </w:sdtContent>
      </w:sdt>
    </w:p>
    <w:p w14:paraId="5D8DC444" w14:textId="73CC29D6" w:rsidR="00607EE3" w:rsidRDefault="00607EE3" w:rsidP="00607EE3">
      <w:pPr>
        <w:pStyle w:val="Ttulo1"/>
      </w:pPr>
      <w:r>
        <w:t>2. Objetivos</w:t>
      </w:r>
    </w:p>
    <w:p w14:paraId="0C2E7E74" w14:textId="77777777" w:rsidR="001E3374" w:rsidRPr="001E3374" w:rsidRDefault="001E3374" w:rsidP="001E3374">
      <w:pPr>
        <w:rPr>
          <w:lang w:val="es-EC"/>
        </w:rPr>
      </w:pPr>
      <w:r w:rsidRPr="001E3374">
        <w:rPr>
          <w:lang w:val="es-EC"/>
        </w:rPr>
        <w:t xml:space="preserve">Sistematizar la prueba digital en la práctica probatoria y la cadena de custodia de los documentos electrónicos a través de una revisión narrativa, identificando vacíos normativos que afectan el debido proceso y la tutela judicial efectiva. </w:t>
      </w:r>
    </w:p>
    <w:p w14:paraId="2708A763" w14:textId="395366B6" w:rsidR="005A43E3" w:rsidRDefault="005A43E3" w:rsidP="005A43E3">
      <w:pPr>
        <w:pStyle w:val="Ttulo1"/>
      </w:pPr>
      <w:r>
        <w:t>3. Metodología</w:t>
      </w:r>
    </w:p>
    <w:p w14:paraId="60CEE2F4" w14:textId="77777777" w:rsidR="007E3AF5" w:rsidRPr="007E3AF5" w:rsidRDefault="007E3AF5" w:rsidP="007E3AF5">
      <w:pPr>
        <w:rPr>
          <w:bCs/>
          <w:lang w:val="es-ES_tradnl"/>
        </w:rPr>
      </w:pPr>
      <w:r w:rsidRPr="007E3AF5">
        <w:rPr>
          <w:bCs/>
          <w:lang w:val="es-ES_tradnl"/>
        </w:rPr>
        <w:t>La investigación se desarrolló bajo un enfoque cualitativo, con diseño no experimental y carácter descriptivo–analítico, enmarcado en la investigación jurídica documental. Se realizó un examen sistemático de normas, doctrina especializada y precedentes jurisprudenciales vinculados con el debido proceso y la prueba digital. Se realizaron entrevistas a cuatro magistrados en el área civil y a dos abogados en el libre ejercicio especializado en temas civiles. Se revisó normativa local e internacional. Se analizaron fallos judiciales.</w:t>
      </w:r>
    </w:p>
    <w:p w14:paraId="1760C026" w14:textId="32871763" w:rsidR="004307D4" w:rsidRDefault="00CE0F4B" w:rsidP="00721EBE">
      <w:pPr>
        <w:pStyle w:val="Ttulo1"/>
      </w:pPr>
      <w:r>
        <w:rPr>
          <w:caps w:val="0"/>
        </w:rPr>
        <w:t>4</w:t>
      </w:r>
      <w:r w:rsidR="00721EBE" w:rsidRPr="00721EBE">
        <w:rPr>
          <w:caps w:val="0"/>
        </w:rPr>
        <w:t>.</w:t>
      </w:r>
      <w:r w:rsidR="00721EBE">
        <w:t xml:space="preserve"> </w:t>
      </w:r>
      <w:r w:rsidR="004307D4">
        <w:t>resultados</w:t>
      </w:r>
    </w:p>
    <w:p w14:paraId="76ED0AA3" w14:textId="63E7A2F9" w:rsidR="007E3AF5" w:rsidRPr="007E3AF5" w:rsidRDefault="007E3AF5" w:rsidP="007E3AF5">
      <w:pPr>
        <w:rPr>
          <w:lang w:val="es-EC"/>
        </w:rPr>
      </w:pPr>
      <w:r w:rsidRPr="007E3AF5">
        <w:rPr>
          <w:i/>
          <w:lang w:val="es-ES_tradnl"/>
        </w:rPr>
        <w:t>“La incorporación en el COGEP de mecanismos que permiten la presentación y registro de pruebas a través de soportes electrónicos fortalece la aptitud del sistema procesal para tratar adecuadamente este tipo de evidencias. En numerosos procesos, la información digital adquiere un valor decisivo al momento de acreditar la responsabilidad o descartar la participación de una persona en los hechos investigados</w:t>
      </w:r>
      <w:r w:rsidRPr="007E3AF5">
        <w:rPr>
          <w:lang w:val="es-ES_tradnl"/>
        </w:rPr>
        <w:t>”</w:t>
      </w:r>
      <w:sdt>
        <w:sdtPr>
          <w:rPr>
            <w:lang w:val="es-ES_tradnl"/>
          </w:rPr>
          <w:id w:val="-43906337"/>
          <w:citation/>
        </w:sdtPr>
        <w:sdtEndPr/>
        <w:sdtContent>
          <w:r w:rsidRPr="007E3AF5">
            <w:rPr>
              <w:lang w:val="es-ES_tradnl"/>
            </w:rPr>
            <w:fldChar w:fldCharType="begin"/>
          </w:r>
          <w:r w:rsidRPr="007E3AF5">
            <w:rPr>
              <w:lang w:val="es-EC"/>
            </w:rPr>
            <w:instrText xml:space="preserve"> CITATION Mar26 \l 12298 </w:instrText>
          </w:r>
          <w:r w:rsidRPr="007E3AF5">
            <w:rPr>
              <w:lang w:val="es-ES_tradnl"/>
            </w:rPr>
            <w:fldChar w:fldCharType="separate"/>
          </w:r>
          <w:r w:rsidR="00A52BAD">
            <w:rPr>
              <w:noProof/>
              <w:lang w:val="es-EC"/>
            </w:rPr>
            <w:t xml:space="preserve"> </w:t>
          </w:r>
          <w:r w:rsidR="00A52BAD" w:rsidRPr="00A52BAD">
            <w:rPr>
              <w:noProof/>
              <w:lang w:val="es-EC"/>
            </w:rPr>
            <w:t>(Torres, 2026)</w:t>
          </w:r>
          <w:r w:rsidRPr="007E3AF5">
            <w:fldChar w:fldCharType="end"/>
          </w:r>
        </w:sdtContent>
      </w:sdt>
      <w:r w:rsidRPr="007E3AF5">
        <w:rPr>
          <w:lang w:val="es-ES_tradnl"/>
        </w:rPr>
        <w:t xml:space="preserve">. </w:t>
      </w:r>
      <w:r w:rsidRPr="007E3AF5">
        <w:rPr>
          <w:lang w:val="es-EC"/>
        </w:rPr>
        <w:t xml:space="preserve">Los resultados muestran que, aunque los </w:t>
      </w:r>
      <w:r w:rsidRPr="007E3AF5">
        <w:rPr>
          <w:lang w:val="es-EC"/>
        </w:rPr>
        <w:lastRenderedPageBreak/>
        <w:t>abogados y jueces tienen conocimiento de la prueba digital, su aplicación es limitada y carece de criterios uniformes. La regulación vigente resulta superficial y no establece mecanismos técnicos y claros para la producción de la prueba digital ni una cadena de custodia segura, lo que incrementa la discrecionalidad judicial, la pérdida de procesos judiciales por desconocimiento y la desaparición o alteración de los documentos electrónicos, pues la prueba documental electrónica puede ser  manipulada o incluso desaparecer, por lo que es necesario una reforma al COGEP</w:t>
      </w:r>
      <w:sdt>
        <w:sdtPr>
          <w:rPr>
            <w:lang w:val="es-EC"/>
          </w:rPr>
          <w:id w:val="1617257727"/>
          <w:citation/>
        </w:sdtPr>
        <w:sdtEndPr/>
        <w:sdtContent>
          <w:r w:rsidRPr="007E3AF5">
            <w:rPr>
              <w:lang w:val="es-EC"/>
            </w:rPr>
            <w:fldChar w:fldCharType="begin"/>
          </w:r>
          <w:r w:rsidRPr="007E3AF5">
            <w:rPr>
              <w:lang w:val="es-EC"/>
            </w:rPr>
            <w:instrText xml:space="preserve"> CITATION Nac15 \l 12298 </w:instrText>
          </w:r>
          <w:r w:rsidRPr="007E3AF5">
            <w:rPr>
              <w:lang w:val="es-EC"/>
            </w:rPr>
            <w:fldChar w:fldCharType="separate"/>
          </w:r>
          <w:r w:rsidR="00A52BAD">
            <w:rPr>
              <w:noProof/>
              <w:lang w:val="es-EC"/>
            </w:rPr>
            <w:t xml:space="preserve"> </w:t>
          </w:r>
          <w:r w:rsidR="00A52BAD" w:rsidRPr="00A52BAD">
            <w:rPr>
              <w:noProof/>
              <w:lang w:val="es-EC"/>
            </w:rPr>
            <w:t>(Nacional A. , Código Orgánico General de Procesos, 2015)</w:t>
          </w:r>
          <w:r w:rsidRPr="007E3AF5">
            <w:fldChar w:fldCharType="end"/>
          </w:r>
        </w:sdtContent>
      </w:sdt>
      <w:r w:rsidRPr="007E3AF5">
        <w:rPr>
          <w:lang w:val="es-EC"/>
        </w:rPr>
        <w:t xml:space="preserve"> que incluya seguridades en la cadena de custodia al momento de la presentación de los documentos electrónicos y mecanismos idóneos para la práctica probatoria. Es necesario que el Consejo de la Judicatura implemente el expediente electrónico para que los abogados al momento de presentar la demanda puedan subir al sistema satje directamente la documentación electrónica, y ésta cuente con las seguridades necesarias para evitar cualquier manipulación futura.</w:t>
      </w:r>
    </w:p>
    <w:p w14:paraId="7EBE07FF" w14:textId="77777777" w:rsidR="007E3AF5" w:rsidRPr="007E3AF5" w:rsidRDefault="007E3AF5" w:rsidP="007E3AF5">
      <w:pPr>
        <w:rPr>
          <w:lang w:val="es-EC"/>
        </w:rPr>
      </w:pPr>
    </w:p>
    <w:p w14:paraId="3ABEAC23" w14:textId="5B45BA58" w:rsidR="007E3AF5" w:rsidRDefault="007E3AF5" w:rsidP="007E3AF5">
      <w:r w:rsidRPr="007E3AF5">
        <w:rPr>
          <w:lang w:val="es-EC"/>
        </w:rPr>
        <w:t>Las seguridades en la cadena de custodia incluyen, que los documentos electrónicos no pueden ser alterados ni manipulados, pues la prueba digital constituye, el elemento con lo que se va a demostrar las aseveraciones de ambas partes y de ser violentados los documentos electrónicos esto influiría definitivamente en la decisión de la causa, ocasionando una pérdida del proceso, pues en el caso de existir informe pericial, el perito elaboraría su informe con información alterada, ocasionando que sus conclusiones no sean reales y por ende dentro del expediente constaría documentación vulnerada. Los abogados y los jueces necesitan tener la certeza de que los documentos electrónicos que se presentan dentro del proceso como prueba, son verídicos para llegar al esclarecimiento de la verdad.</w:t>
      </w:r>
    </w:p>
    <w:p w14:paraId="740C7DA7" w14:textId="45BFE6AC" w:rsidR="00CE0F4B" w:rsidRDefault="002A43CD" w:rsidP="002A43CD">
      <w:pPr>
        <w:pStyle w:val="Ttulo1"/>
      </w:pPr>
      <w:r w:rsidRPr="002A43CD">
        <w:t>5.</w:t>
      </w:r>
      <w:r>
        <w:t xml:space="preserve"> </w:t>
      </w:r>
      <w:r w:rsidR="00CE0F4B">
        <w:t>discusión</w:t>
      </w:r>
    </w:p>
    <w:p w14:paraId="6C99DC83" w14:textId="668505E0" w:rsidR="007E3AF5" w:rsidRPr="007E3AF5" w:rsidRDefault="00FC12AA" w:rsidP="007E3AF5">
      <w:pPr>
        <w:rPr>
          <w:lang w:val="es-EC"/>
        </w:rPr>
      </w:pPr>
      <w:r>
        <w:rPr>
          <w:lang w:val="es-EC"/>
        </w:rPr>
        <w:t xml:space="preserve">Existe mucha discrepancia de criterios entre los abogados y jueces, pues mientras unos consideran que </w:t>
      </w:r>
      <w:r w:rsidR="007E3AF5" w:rsidRPr="007E3AF5">
        <w:rPr>
          <w:lang w:val="es-EC"/>
        </w:rPr>
        <w:t>el COGEP no requ</w:t>
      </w:r>
      <w:r>
        <w:rPr>
          <w:lang w:val="es-EC"/>
        </w:rPr>
        <w:t>i</w:t>
      </w:r>
      <w:r w:rsidR="007E3AF5" w:rsidRPr="007E3AF5">
        <w:rPr>
          <w:lang w:val="es-EC"/>
        </w:rPr>
        <w:t>er</w:t>
      </w:r>
      <w:r>
        <w:rPr>
          <w:lang w:val="es-EC"/>
        </w:rPr>
        <w:t>e</w:t>
      </w:r>
      <w:r w:rsidR="007E3AF5" w:rsidRPr="007E3AF5">
        <w:rPr>
          <w:lang w:val="es-EC"/>
        </w:rPr>
        <w:t xml:space="preserve"> reforma en el </w:t>
      </w:r>
      <w:r w:rsidR="007E3AF5" w:rsidRPr="007E3AF5">
        <w:rPr>
          <w:lang w:val="es-EC"/>
        </w:rPr>
        <w:lastRenderedPageBreak/>
        <w:t xml:space="preserve">ámbito de la producción de la prueba digital ni en la cadena de custodia, pues con la normativa vigente es suficiente, pues los abogados comprenden que son ellos quienes deben proporcionar los equipos electrónicos para la práctica probatoria y que no se requiere de seguridades en la cadena de custodia para que los documentos electrónicos no puedan ser alterados, posición que no es compartida por </w:t>
      </w:r>
      <w:r>
        <w:rPr>
          <w:lang w:val="es-EC"/>
        </w:rPr>
        <w:t>otros colegas</w:t>
      </w:r>
      <w:r w:rsidR="007E3AF5" w:rsidRPr="007E3AF5">
        <w:rPr>
          <w:lang w:val="es-EC"/>
        </w:rPr>
        <w:t>, pues los documentos elect</w:t>
      </w:r>
      <w:r w:rsidR="006C56D4">
        <w:rPr>
          <w:lang w:val="es-EC"/>
        </w:rPr>
        <w:t>rónicos introducidos al proceso</w:t>
      </w:r>
      <w:r w:rsidR="007E3AF5" w:rsidRPr="007E3AF5">
        <w:rPr>
          <w:lang w:val="es-EC"/>
        </w:rPr>
        <w:t xml:space="preserve"> por medios digitales por ejemplo un pendrive, puede ser alterado o manipulado en su contenido digital ocasionando la pérdida del juicio, ya sea en primera o segunda instancia. En el momento de la práctica probatoria, lo dispuesto en el artículo 196 del COGEP resulta insuficiente para la producción de la prueba de documentos electrónicos, pues debe regularse los equipos, artículos, dispositivos, programas y demás implementos tecnológicos que deben utilizarse para la producción de la prueba documental y quien debe proveerlos, si las partes o el Consejo de la Judicatura, pues no puede quedar  a discrecionalidad del Juez, pues la práctica probatoria es susceptible de contradicción.  </w:t>
      </w:r>
    </w:p>
    <w:p w14:paraId="65AD7F1B" w14:textId="77777777" w:rsidR="007E3AF5" w:rsidRPr="007E3AF5" w:rsidRDefault="007E3AF5" w:rsidP="007E3AF5">
      <w:pPr>
        <w:rPr>
          <w:lang w:val="es-EC"/>
        </w:rPr>
      </w:pPr>
    </w:p>
    <w:p w14:paraId="4BF20FD7" w14:textId="77777777" w:rsidR="007E3AF5" w:rsidRPr="007E3AF5" w:rsidRDefault="007E3AF5" w:rsidP="007E3AF5">
      <w:pPr>
        <w:rPr>
          <w:lang w:val="es-EC"/>
        </w:rPr>
      </w:pPr>
      <w:r w:rsidRPr="007E3AF5">
        <w:rPr>
          <w:lang w:val="es-EC"/>
        </w:rPr>
        <w:t xml:space="preserve">Muchos jueces tanto en primera como en segunda instancia exigen la materialización de los documentos electrónicos, cuando ya no es indispensable conforme lo dispuesto en el artículo 194 del COGEP, pues señalan que no consta probado en autos por ejemplo en el caso de facturas electrónicas que se las haya obtenido desde el portal de la página web del SRI ni que haya llegado el Ride al demandado. Cómo se practica esta prueba? Por qué medios digitales? La sola presentación de un documento electrónico (factura electrónica) por medio digital es prueba de que el accionado ha recibido la factura a su entera satisfacción?, todas éstas interrogantes tienen diferentes respuestas por parte de los operadores de justicia y de los abogados litigantes. En el Ecuador se requiere que todos los medios magnéticos o digitales sean regulados, pues esto conlleva a que los jueces puedan valorar correctamente las pruebas electrónicas aportadas por las partes y que el perito designado pueda elaborar un informe ajustado a la verdad de los hechos, pues los documentos electrónicos sin una cadena efectiva de </w:t>
      </w:r>
      <w:r w:rsidRPr="007E3AF5">
        <w:rPr>
          <w:lang w:val="es-EC"/>
        </w:rPr>
        <w:lastRenderedPageBreak/>
        <w:t>custodia pueden ser susceptibles de manipulación y como consecuencia podría ocasionar una incorrecta valoración probatoria.</w:t>
      </w:r>
    </w:p>
    <w:p w14:paraId="20568D90" w14:textId="77777777" w:rsidR="007E3AF5" w:rsidRPr="007E3AF5" w:rsidRDefault="007E3AF5" w:rsidP="007E3AF5">
      <w:pPr>
        <w:rPr>
          <w:lang w:val="es-EC"/>
        </w:rPr>
      </w:pPr>
    </w:p>
    <w:p w14:paraId="33819AB7" w14:textId="14D277D9" w:rsidR="007E3AF5" w:rsidRPr="007E3AF5" w:rsidRDefault="007E3AF5" w:rsidP="007E3AF5">
      <w:pPr>
        <w:rPr>
          <w:lang w:val="es-EC"/>
        </w:rPr>
      </w:pPr>
      <w:r w:rsidRPr="007E3AF5">
        <w:rPr>
          <w:lang w:val="es-EC"/>
        </w:rPr>
        <w:t xml:space="preserve">La incorporación de la prueba digital en el proceso civil ecuatoriano constituye uno de los principales desafíos del derecho procesal contemporáneo. Aunque el Código Orgánico General de Procesos reconoce la validez de los documentos electrónicos como originales, persisten vacíos normativos en torno a su presentación, admisión, valoración y práctica especialmente respecto a lo normado en el artículo 202 del COGEP. El objetivo del estudio consistió en analizar los vacíos normativos y procedimentales de los artículos 193, 196 y 202 del Código Orgánico General de Procesos en concordancia con lo señalado en los artículos 52 y 54 de la Ley de Comercio Electrónico, Firmas Electrónicas y Mensajes de Datos </w:t>
      </w:r>
      <w:sdt>
        <w:sdtPr>
          <w:rPr>
            <w:lang w:val="es-EC"/>
          </w:rPr>
          <w:id w:val="-1949238878"/>
          <w:citation/>
        </w:sdtPr>
        <w:sdtEndPr/>
        <w:sdtContent>
          <w:r w:rsidRPr="007E3AF5">
            <w:rPr>
              <w:lang w:val="es-EC"/>
            </w:rPr>
            <w:fldChar w:fldCharType="begin"/>
          </w:r>
          <w:r w:rsidRPr="007E3AF5">
            <w:rPr>
              <w:lang w:val="es-EC"/>
            </w:rPr>
            <w:instrText xml:space="preserve"> CITATION Nac23 \l 12298 </w:instrText>
          </w:r>
          <w:r w:rsidRPr="007E3AF5">
            <w:rPr>
              <w:lang w:val="es-EC"/>
            </w:rPr>
            <w:fldChar w:fldCharType="separate"/>
          </w:r>
          <w:r w:rsidR="00A52BAD" w:rsidRPr="00A52BAD">
            <w:rPr>
              <w:noProof/>
              <w:lang w:val="es-EC"/>
            </w:rPr>
            <w:t>(Nacional C. , 2023)</w:t>
          </w:r>
          <w:r w:rsidRPr="007E3AF5">
            <w:fldChar w:fldCharType="end"/>
          </w:r>
        </w:sdtContent>
      </w:sdt>
      <w:r w:rsidRPr="007E3AF5">
        <w:rPr>
          <w:lang w:val="es-EC"/>
        </w:rPr>
        <w:t xml:space="preserve"> en relación con la prueba digital, y determinar su impacto en la seguridad jurídica dentro del proceso civil ecuatoriano. </w:t>
      </w:r>
    </w:p>
    <w:p w14:paraId="0E192A50" w14:textId="77777777" w:rsidR="007E3AF5" w:rsidRPr="007E3AF5" w:rsidRDefault="007E3AF5" w:rsidP="007E3AF5">
      <w:pPr>
        <w:rPr>
          <w:lang w:val="es-EC"/>
        </w:rPr>
      </w:pPr>
    </w:p>
    <w:p w14:paraId="7678EBA4" w14:textId="77777777" w:rsidR="007E3AF5" w:rsidRPr="007E3AF5" w:rsidRDefault="007E3AF5" w:rsidP="007E3AF5">
      <w:pPr>
        <w:rPr>
          <w:lang w:val="es-EC"/>
        </w:rPr>
      </w:pPr>
      <w:r w:rsidRPr="007E3AF5">
        <w:rPr>
          <w:lang w:val="es-EC"/>
        </w:rPr>
        <w:t xml:space="preserve">Se pudo observar que, existe un vacío normativo respecto a la cadena de custodia de los documentos electrónicos incorporados al expediente, pues los medios digitales pueden ser alterados o destruidos, ya que se introduce en un expediente físico un documento electrónico, sin las seguridades del caso, ocasionando que la valoración probatoria del Juez pudiese ser errada, ya sea por un informe pericial equivocado por alteración de los documentos digitales o por documentos electrónicos con información errada o falsa, pues no se encuentra normada la manera en la que el operador de justicia puede verificar su autenticidad ni que la cadena de custodia ha sido violentada. </w:t>
      </w:r>
    </w:p>
    <w:p w14:paraId="17F4F5B5" w14:textId="77777777" w:rsidR="007E3AF5" w:rsidRPr="007E3AF5" w:rsidRDefault="007E3AF5" w:rsidP="007E3AF5">
      <w:pPr>
        <w:rPr>
          <w:lang w:val="es-EC"/>
        </w:rPr>
      </w:pPr>
    </w:p>
    <w:p w14:paraId="2B82CF70" w14:textId="77777777" w:rsidR="007E3AF5" w:rsidRPr="007E3AF5" w:rsidRDefault="007E3AF5" w:rsidP="007E3AF5">
      <w:pPr>
        <w:rPr>
          <w:lang w:val="es-EC"/>
        </w:rPr>
      </w:pPr>
      <w:r w:rsidRPr="007E3AF5">
        <w:rPr>
          <w:lang w:val="es-EC"/>
        </w:rPr>
        <w:t xml:space="preserve">En lo que respecta a la práctica probatoria, la normativa actual se encuentra incompleta, pues no se encuentra reglamentada la producción de la prueba electrónica documental. La reforma al COGEP debe ser integral en lo que respecta a la prueba digital de los documentos electrónicos, pues el Juez debe examinar la prueba y revisar que cumpla </w:t>
      </w:r>
      <w:r w:rsidRPr="007E3AF5">
        <w:rPr>
          <w:lang w:val="es-EC"/>
        </w:rPr>
        <w:lastRenderedPageBreak/>
        <w:t>con los requisitos de ley. En la actualidad muchos jueces exigen que los documentos electrónicos sean materializados, pues desconocen su origen. El COGEP no es claro en lo que respecta a la valoración probatoria de los documentos electrónicos, pues el operador de justicia debe tener la certeza de su validez y autenticidad y revisar si cumple con los requisitos de ley para poderle otorgar el valor probatorio que corresponde.</w:t>
      </w:r>
    </w:p>
    <w:p w14:paraId="545CB562" w14:textId="77777777" w:rsidR="007E3AF5" w:rsidRPr="007E3AF5" w:rsidRDefault="007E3AF5" w:rsidP="007E3AF5">
      <w:pPr>
        <w:rPr>
          <w:lang w:val="es-EC"/>
        </w:rPr>
      </w:pPr>
    </w:p>
    <w:p w14:paraId="03A74533" w14:textId="77777777" w:rsidR="007E3AF5" w:rsidRPr="007E3AF5" w:rsidRDefault="007E3AF5" w:rsidP="007E3AF5">
      <w:pPr>
        <w:rPr>
          <w:lang w:val="es-EC"/>
        </w:rPr>
      </w:pPr>
      <w:r w:rsidRPr="007E3AF5">
        <w:rPr>
          <w:lang w:val="es-EC"/>
        </w:rPr>
        <w:t>Dentro del caso No. 09332-2024-11545, los jueces resolvieron con lugar una apelación, pues no constaba dentro del proceso que las facturas electrónicas fueron recibidas por el demandado, pues no se presentó el correo electrónico enviado a la contraparte, lo que demuestra desconocimiento sobre la prueba digital, por lo que es recomendable que los abogados y los jueces profundicen en el estudio de los documentos electrónicos y de la prueba digital a pesar de que el COGEP tiene ya varios años en vigencia, en los procesos civiles que suben en apelación, se observa deficiencia probatoria producto de la falta de experiencia o de estudio de algunos abogados litigantes, ocasionando la pérdida de los procesos.</w:t>
      </w:r>
    </w:p>
    <w:p w14:paraId="43166BC7" w14:textId="77777777" w:rsidR="007E3AF5" w:rsidRPr="007E3AF5" w:rsidRDefault="007E3AF5" w:rsidP="007E3AF5">
      <w:pPr>
        <w:rPr>
          <w:lang w:val="es-EC"/>
        </w:rPr>
      </w:pPr>
    </w:p>
    <w:p w14:paraId="4E317840" w14:textId="2D062FEC" w:rsidR="007E3AF5" w:rsidRPr="007E3AF5" w:rsidRDefault="007E3AF5" w:rsidP="007E3AF5">
      <w:pPr>
        <w:rPr>
          <w:lang w:val="es-EC"/>
        </w:rPr>
      </w:pPr>
      <w:r w:rsidRPr="007E3AF5">
        <w:rPr>
          <w:lang w:val="es-EC"/>
        </w:rPr>
        <w:t>Castillo Ito (2021) sostiene que la prueba es un medio necesario para garantizar que las decisiones judiciales estén fundamentadas en la realidad procesal de los hechos controvertidos (p. 14). Además, se inserta dentro de principios procesales como el debido proceso, la igualdad de armas, la tutela judicial efectiva, el derecho a la defensa y la contradicción, los cuales garantizan que las pruebas sean presentadas, admitidas, practicadas y valoradas en condiciones equitativas y justas.</w:t>
      </w:r>
      <w:sdt>
        <w:sdtPr>
          <w:rPr>
            <w:lang w:val="es-EC"/>
          </w:rPr>
          <w:id w:val="473025943"/>
          <w:citation/>
        </w:sdtPr>
        <w:sdtEndPr/>
        <w:sdtContent>
          <w:r w:rsidRPr="007E3AF5">
            <w:rPr>
              <w:lang w:val="es-EC"/>
            </w:rPr>
            <w:fldChar w:fldCharType="begin"/>
          </w:r>
          <w:r w:rsidRPr="007E3AF5">
            <w:rPr>
              <w:lang w:val="es-EC"/>
            </w:rPr>
            <w:instrText xml:space="preserve"> CITATION Inc24 \l 12298 </w:instrText>
          </w:r>
          <w:r w:rsidRPr="007E3AF5">
            <w:rPr>
              <w:lang w:val="es-EC"/>
            </w:rPr>
            <w:fldChar w:fldCharType="separate"/>
          </w:r>
          <w:r w:rsidR="00A52BAD">
            <w:rPr>
              <w:noProof/>
              <w:lang w:val="es-EC"/>
            </w:rPr>
            <w:t xml:space="preserve"> </w:t>
          </w:r>
          <w:r w:rsidR="00A52BAD" w:rsidRPr="00A52BAD">
            <w:rPr>
              <w:noProof/>
              <w:lang w:val="es-EC"/>
            </w:rPr>
            <w:t>(Inca, 2024)</w:t>
          </w:r>
          <w:r w:rsidRPr="007E3AF5">
            <w:fldChar w:fldCharType="end"/>
          </w:r>
        </w:sdtContent>
      </w:sdt>
    </w:p>
    <w:p w14:paraId="5ADF099D" w14:textId="77777777" w:rsidR="007E3AF5" w:rsidRPr="007E3AF5" w:rsidRDefault="007E3AF5" w:rsidP="007E3AF5">
      <w:pPr>
        <w:rPr>
          <w:lang w:val="es-EC"/>
        </w:rPr>
      </w:pPr>
    </w:p>
    <w:p w14:paraId="3980A81F" w14:textId="77777777" w:rsidR="007E3AF5" w:rsidRPr="007E3AF5" w:rsidRDefault="007E3AF5" w:rsidP="007E3AF5">
      <w:pPr>
        <w:rPr>
          <w:lang w:val="es-EC"/>
        </w:rPr>
      </w:pPr>
      <w:r w:rsidRPr="007E3AF5">
        <w:rPr>
          <w:lang w:val="es-EC"/>
        </w:rPr>
        <w:t xml:space="preserve">Se concluye que el artículo 202 del COGEP presenta un alcance insuficiente frente a las exigencias tecnológicas actuales. Se propone fortalecer el marco normativo mediante reformas que incorporen mecanismos obligatorios para la producción de la prueba documental </w:t>
      </w:r>
      <w:r w:rsidRPr="007E3AF5">
        <w:rPr>
          <w:lang w:val="es-EC"/>
        </w:rPr>
        <w:lastRenderedPageBreak/>
        <w:t>electrónica, seguridad en la cadena de custodia, directrices claras para la valoración de la prueba digital, con el fin de consolidar un sistema probatorio confiable y acorde con los principios del debido proceso y de la tutela judicial efectiva.</w:t>
      </w:r>
    </w:p>
    <w:p w14:paraId="17BE902B" w14:textId="77777777" w:rsidR="007E3AF5" w:rsidRPr="007E3AF5" w:rsidRDefault="007E3AF5" w:rsidP="007E3AF5">
      <w:pPr>
        <w:rPr>
          <w:lang w:val="es-EC"/>
        </w:rPr>
      </w:pPr>
    </w:p>
    <w:p w14:paraId="04AD9279" w14:textId="08B51286" w:rsidR="007E3AF5" w:rsidRPr="007E3AF5" w:rsidRDefault="007E3AF5" w:rsidP="007E3AF5">
      <w:pPr>
        <w:rPr>
          <w:lang w:val="es-EC"/>
        </w:rPr>
      </w:pPr>
      <w:r w:rsidRPr="007E3AF5">
        <w:rPr>
          <w:lang w:val="es-EC"/>
        </w:rPr>
        <w:t>La ausencia de regulación clara no solo afecta la validez de las pruebas, sino su eficacia, pues no basta solamente con que el COGEP incluya que los documentos electrónicos se pueden presentar por medios digitales, sino que falta reglamentación relativa a su práctica, es justo en esta etapa donde muchos abogados pierden los procesos, pues desconocen la manera idónea de practicar una prueba digital, si llevan un dispositivo (pendrive o computadora) a la audiencia y desde ahí bajan la información que consta en el expediente, que es físico, pues aún no se ha aprobado por parte del Consejo de la Judicatura el expediente electrónico, ni consta implementada una plataforma digital para subir estas pruebas y poderla practicar en el momento de la audiencia. Todos estos inconvenientes ocasionan que los abogados litigantes pierdan los procesos, sumado al desconocimiento de algunos jueces en el área tecnológica. Por lo tanto</w:t>
      </w:r>
      <w:r w:rsidR="00307909">
        <w:rPr>
          <w:lang w:val="es-EC"/>
        </w:rPr>
        <w:t>,</w:t>
      </w:r>
      <w:r w:rsidRPr="007E3AF5">
        <w:rPr>
          <w:lang w:val="es-EC"/>
        </w:rPr>
        <w:t xml:space="preserve"> ante la ausencia de regulación expresa, los jueces acuden a principios generales del derecho, a criterios jurisprudenciales y a las reglas de la sana crítica. El vacío normativo genera equivocaciones en la aplicación práctica, especialmente en procesos civiles donde la presentación, admisibilidad y valoración de estas pruebas son esenciales para garantizar la justicia.</w:t>
      </w:r>
    </w:p>
    <w:p w14:paraId="11D8DF10" w14:textId="77777777" w:rsidR="007E3AF5" w:rsidRPr="007E3AF5" w:rsidRDefault="007E3AF5" w:rsidP="007E3AF5">
      <w:pPr>
        <w:rPr>
          <w:lang w:val="es-EC"/>
        </w:rPr>
      </w:pPr>
    </w:p>
    <w:p w14:paraId="47F217A4" w14:textId="6668ADD5" w:rsidR="007E3AF5" w:rsidRPr="007E3AF5" w:rsidRDefault="007E3AF5" w:rsidP="007E3AF5">
      <w:pPr>
        <w:rPr>
          <w:lang w:val="es-ES_tradnl"/>
        </w:rPr>
      </w:pPr>
      <w:r w:rsidRPr="007E3AF5">
        <w:rPr>
          <w:lang w:val="es-ES_tradnl"/>
        </w:rPr>
        <w:t xml:space="preserve">La incorporación en el COGEP de mecanismos que permitan la presentación, registro de pruebas a través de soportes electrónicos fortalece la aptitud del sistema procesal para tratar adecuadamente este tipo de evidencias. La información digital adquiere un valor decisivo al momento de acreditar la responsabilidad o descartar la participación de una persona en los hechos investigados. </w:t>
      </w:r>
      <w:sdt>
        <w:sdtPr>
          <w:rPr>
            <w:lang w:val="es-ES_tradnl"/>
          </w:rPr>
          <w:id w:val="2083562063"/>
          <w:citation/>
        </w:sdtPr>
        <w:sdtEndPr/>
        <w:sdtContent>
          <w:r w:rsidRPr="007E3AF5">
            <w:rPr>
              <w:lang w:val="es-ES_tradnl"/>
            </w:rPr>
            <w:fldChar w:fldCharType="begin"/>
          </w:r>
          <w:r w:rsidRPr="007E3AF5">
            <w:rPr>
              <w:lang w:val="es-EC"/>
            </w:rPr>
            <w:instrText xml:space="preserve"> CITATION Pai26 \l 12298 </w:instrText>
          </w:r>
          <w:r w:rsidRPr="007E3AF5">
            <w:rPr>
              <w:lang w:val="es-ES_tradnl"/>
            </w:rPr>
            <w:fldChar w:fldCharType="separate"/>
          </w:r>
          <w:r w:rsidR="00A52BAD" w:rsidRPr="00A52BAD">
            <w:rPr>
              <w:noProof/>
              <w:lang w:val="es-EC"/>
            </w:rPr>
            <w:t>(Paillacho &amp; Torres, 2026)</w:t>
          </w:r>
          <w:r w:rsidRPr="007E3AF5">
            <w:fldChar w:fldCharType="end"/>
          </w:r>
        </w:sdtContent>
      </w:sdt>
    </w:p>
    <w:p w14:paraId="2D81DC93" w14:textId="77777777" w:rsidR="007E3AF5" w:rsidRPr="007E3AF5" w:rsidRDefault="007E3AF5" w:rsidP="007E3AF5">
      <w:pPr>
        <w:rPr>
          <w:lang w:val="es-EC"/>
        </w:rPr>
      </w:pPr>
    </w:p>
    <w:p w14:paraId="69F7BFC1" w14:textId="77777777" w:rsidR="007E3AF5" w:rsidRPr="007E3AF5" w:rsidRDefault="007E3AF5" w:rsidP="007E3AF5">
      <w:pPr>
        <w:rPr>
          <w:lang w:val="es-EC"/>
        </w:rPr>
      </w:pPr>
      <w:r w:rsidRPr="007E3AF5">
        <w:rPr>
          <w:lang w:val="es-EC"/>
        </w:rPr>
        <w:lastRenderedPageBreak/>
        <w:t>En el análisis de los vacíos legales y la insuficiente actualización normativa en materia de prueba digital, se evidencia la ausencia de disposiciones específicas que permitan establecer, con precisión, criterios técnicos para verificar la autenticidad y la integridad de este tipo de evidencias. Desde una perspectiva tecnológica, la garantía de tales atributos probatorios exige la implementación de mecanismos especializados.</w:t>
      </w:r>
    </w:p>
    <w:p w14:paraId="60842C79" w14:textId="77777777" w:rsidR="007E3AF5" w:rsidRPr="007E3AF5" w:rsidRDefault="007E3AF5" w:rsidP="007E3AF5">
      <w:pPr>
        <w:rPr>
          <w:lang w:val="es-EC"/>
        </w:rPr>
      </w:pPr>
    </w:p>
    <w:p w14:paraId="49AB043C" w14:textId="682FFEFB" w:rsidR="007E3AF5" w:rsidRPr="007E3AF5" w:rsidRDefault="007E3AF5" w:rsidP="007E3AF5">
      <w:pPr>
        <w:rPr>
          <w:lang w:val="es-EC"/>
        </w:rPr>
      </w:pPr>
      <w:r w:rsidRPr="007E3AF5">
        <w:rPr>
          <w:i/>
          <w:lang w:val="es-EC"/>
        </w:rPr>
        <w:t>“Los desafíos de implementación de la cadena de custodia digital no son exclusivamente normativos, sino también operativos e institucionales. La falta de protocolos unificados, la escasa interoperabilidad entre sistemas judiciales y la inexistencia de registros estandarizados obstaculizan el tratamiento adecuado de la prueba digital”</w:t>
      </w:r>
      <w:sdt>
        <w:sdtPr>
          <w:rPr>
            <w:lang w:val="es-EC"/>
          </w:rPr>
          <w:id w:val="173539279"/>
          <w:citation/>
        </w:sdtPr>
        <w:sdtEndPr/>
        <w:sdtContent>
          <w:r w:rsidRPr="007E3AF5">
            <w:rPr>
              <w:lang w:val="es-EC"/>
            </w:rPr>
            <w:fldChar w:fldCharType="begin"/>
          </w:r>
          <w:r w:rsidRPr="007E3AF5">
            <w:rPr>
              <w:lang w:val="es-EC"/>
            </w:rPr>
            <w:instrText xml:space="preserve"> CITATION Qui25 \l 12298 </w:instrText>
          </w:r>
          <w:r w:rsidRPr="007E3AF5">
            <w:rPr>
              <w:lang w:val="es-EC"/>
            </w:rPr>
            <w:fldChar w:fldCharType="separate"/>
          </w:r>
          <w:r w:rsidR="00A52BAD">
            <w:rPr>
              <w:noProof/>
              <w:lang w:val="es-EC"/>
            </w:rPr>
            <w:t xml:space="preserve"> </w:t>
          </w:r>
          <w:r w:rsidR="00A52BAD" w:rsidRPr="00A52BAD">
            <w:rPr>
              <w:noProof/>
              <w:lang w:val="es-EC"/>
            </w:rPr>
            <w:t>(Quinche Álvarez F.G., 2025)</w:t>
          </w:r>
          <w:r w:rsidRPr="007E3AF5">
            <w:fldChar w:fldCharType="end"/>
          </w:r>
        </w:sdtContent>
      </w:sdt>
      <w:r w:rsidRPr="007E3AF5">
        <w:rPr>
          <w:lang w:val="es-EC"/>
        </w:rPr>
        <w:t xml:space="preserve">. El sistema Satje que se utiliza en la función judicial es obsoleto y no responde a las demandas técnicas actuales para el manejo de datos digitales dentro de los procesos judiciales. El déficit de formación técnica en los abogados en el libre ejercicio y de los servidores judiciales afecta la cadena de custodia de los documentos electrónicos que se introducen en el proceso como prueba. </w:t>
      </w:r>
    </w:p>
    <w:p w14:paraId="40CE4950" w14:textId="77777777" w:rsidR="007E3AF5" w:rsidRPr="007E3AF5" w:rsidRDefault="007E3AF5" w:rsidP="007E3AF5">
      <w:pPr>
        <w:rPr>
          <w:lang w:val="es-EC"/>
        </w:rPr>
      </w:pPr>
    </w:p>
    <w:p w14:paraId="44DF61E5" w14:textId="77777777" w:rsidR="007E3AF5" w:rsidRPr="007E3AF5" w:rsidRDefault="007E3AF5" w:rsidP="007E3AF5">
      <w:pPr>
        <w:rPr>
          <w:lang w:val="es-EC"/>
        </w:rPr>
      </w:pPr>
      <w:r w:rsidRPr="007E3AF5">
        <w:rPr>
          <w:lang w:val="es-EC"/>
        </w:rPr>
        <w:t>La propuesta de reforma legal al COGEP en lo que respecta a la cadena de custodia es de vital importancia para frenar arbitrariedades judiciales y estandarizar los mecanismos de producción de la prueba digital, garantizando de esta forma mayor coherencia en la admisibilidad y valoración probatoria.</w:t>
      </w:r>
    </w:p>
    <w:p w14:paraId="48BB743E" w14:textId="77777777" w:rsidR="007E3AF5" w:rsidRPr="007E3AF5" w:rsidRDefault="007E3AF5" w:rsidP="007E3AF5">
      <w:pPr>
        <w:rPr>
          <w:lang w:val="es-EC"/>
        </w:rPr>
      </w:pPr>
      <w:r w:rsidRPr="007E3AF5">
        <w:rPr>
          <w:lang w:val="es-EC"/>
        </w:rPr>
        <w:t xml:space="preserve"> </w:t>
      </w:r>
    </w:p>
    <w:p w14:paraId="5A67577F" w14:textId="65A3C712" w:rsidR="007E3AF5" w:rsidRPr="007E3AF5" w:rsidRDefault="007E3AF5" w:rsidP="007E3AF5">
      <w:pPr>
        <w:rPr>
          <w:lang w:val="es-EC"/>
        </w:rPr>
      </w:pPr>
      <w:r w:rsidRPr="007E3AF5">
        <w:rPr>
          <w:lang w:val="es-ES_tradnl"/>
        </w:rPr>
        <w:t>“</w:t>
      </w:r>
      <w:r w:rsidRPr="007E3AF5">
        <w:rPr>
          <w:i/>
          <w:lang w:val="es-ES_tradnl"/>
        </w:rPr>
        <w:t>La plataforma del expediente electrónico en Córdoba permite incorporar archivos en formato pdf, jpg, png, gif de hasta cinco mb. En cambio, si se trata de un archivo que no puede ser subido a la plataforma corresponderá grabarlo en un soporte físico, por ejemplo, un CD Rom, el cual deberá ser reservado en secretaría y formará parte del expediente electrónico”</w:t>
      </w:r>
      <w:r w:rsidRPr="007E3AF5">
        <w:rPr>
          <w:lang w:val="es-ES_tradnl"/>
        </w:rPr>
        <w:t>.</w:t>
      </w:r>
      <w:sdt>
        <w:sdtPr>
          <w:rPr>
            <w:lang w:val="es-ES_tradnl"/>
          </w:rPr>
          <w:id w:val="410211245"/>
          <w:citation/>
        </w:sdtPr>
        <w:sdtEndPr/>
        <w:sdtContent>
          <w:r w:rsidRPr="007E3AF5">
            <w:rPr>
              <w:lang w:val="es-ES_tradnl"/>
            </w:rPr>
            <w:fldChar w:fldCharType="begin"/>
          </w:r>
          <w:r w:rsidRPr="007E3AF5">
            <w:rPr>
              <w:lang w:val="es-EC"/>
            </w:rPr>
            <w:instrText xml:space="preserve"> CITATION Mez24 \l 12298 </w:instrText>
          </w:r>
          <w:r w:rsidRPr="007E3AF5">
            <w:rPr>
              <w:lang w:val="es-ES_tradnl"/>
            </w:rPr>
            <w:fldChar w:fldCharType="separate"/>
          </w:r>
          <w:r w:rsidR="00A52BAD">
            <w:rPr>
              <w:noProof/>
              <w:lang w:val="es-EC"/>
            </w:rPr>
            <w:t xml:space="preserve"> </w:t>
          </w:r>
          <w:r w:rsidR="00A52BAD" w:rsidRPr="00A52BAD">
            <w:rPr>
              <w:noProof/>
              <w:lang w:val="es-EC"/>
            </w:rPr>
            <w:t>(Meza, 2024)</w:t>
          </w:r>
          <w:r w:rsidRPr="007E3AF5">
            <w:fldChar w:fldCharType="end"/>
          </w:r>
        </w:sdtContent>
      </w:sdt>
      <w:r w:rsidRPr="007E3AF5">
        <w:rPr>
          <w:lang w:val="es-ES_tradnl"/>
        </w:rPr>
        <w:t xml:space="preserve">, en el Ecuador aún no </w:t>
      </w:r>
      <w:r w:rsidRPr="007E3AF5">
        <w:rPr>
          <w:lang w:val="es-ES_tradnl"/>
        </w:rPr>
        <w:lastRenderedPageBreak/>
        <w:t xml:space="preserve">tenemos el expediente electrónico, el Consejo de la Judicatura, órgano de gobierno de la Función Judicial, todavía no ha implementado esta herramienta tecnológica, pues en el sistema Satje que utiliza la Función Judicial, solo constan escaneados los documentos físicos y los documentos con firma electrónica de los abogados, que son presentados dentro de los procesos civiles, sin embargo las pruebas digitales son presentadas en dispositivo (cd rom o pendrive) sin las seguridades del caso, pues el expediente en el Ecuador aún es físico, es decir se introduce una prueba digital en un expediente con demandas y escritos impresos, lo que ocasiona que se pueda vulnerar la prueba en cualquier momento, pues implementar una cadena de custodia cuando aún se trabaja en la Función Judicial con un expediente físico es ineficaz, por lo que resulta urgente que el Consejo de la Judicatura implemente de manera inmediata el expediente electrónico, para salvaguardar la autenticidad y veracidad de los documentos electrónicos, pues con la transformación digital, el Ecuador se encuentra en desventaja con otros países como Argentina en el cual se ha implementado el expediente electrónico desde hace años, para la tramitación de los procesos judiciales, impidiendo que se regule y aplique una cadena de custodia veraz que garantice la seguridad e inviolabilidad de los documentos electrónicos en los juzgados y  Salas Especializadas del país. </w:t>
      </w:r>
      <w:r w:rsidRPr="007E3AF5">
        <w:rPr>
          <w:lang w:val="es-EC"/>
        </w:rPr>
        <w:t>Cabe señalar que, la falta de criterios uniformes de los jueces en el Ecuador para la valorar este tipo de pruebas, así como la ausencia de estándares claros para su admisibilidad y peso probatorio, constituyen obstáculos que, el sistema de justicia debe superar para asegurar una tutela judicial efectiva eficaz.</w:t>
      </w:r>
    </w:p>
    <w:p w14:paraId="49948F55" w14:textId="77777777" w:rsidR="007E3AF5" w:rsidRPr="007E3AF5" w:rsidRDefault="007E3AF5" w:rsidP="007E3AF5">
      <w:pPr>
        <w:rPr>
          <w:lang w:val="es-EC"/>
        </w:rPr>
      </w:pPr>
    </w:p>
    <w:p w14:paraId="634B94CE" w14:textId="485B1944" w:rsidR="007E3AF5" w:rsidRPr="007E3AF5" w:rsidRDefault="007E3AF5" w:rsidP="007E3AF5">
      <w:pPr>
        <w:rPr>
          <w:lang w:val="es-EC"/>
        </w:rPr>
      </w:pPr>
      <w:r w:rsidRPr="007E3AF5">
        <w:rPr>
          <w:i/>
          <w:lang w:val="es-EC"/>
        </w:rPr>
        <w:t xml:space="preserve">“En Colombia, se adopta un enfoque regulatorio proactivo (Ley 527 de 1999) que se centra en la infraestructura tecnológica y en la supervisión de la cadena de custodia de las pruebas digitales, la que resalta la importancia de la autenticidad e integridad de estas pruebas para garantizar su validez probatoria. Este análisis se respalda en los estudios realizados por Naizir (2023) y Oyuela (2022), quienes destacan que la digitalización ha mejorado la eficiencia y transparencia del sistema judicial, especialmente al permitir la </w:t>
      </w:r>
      <w:r w:rsidRPr="007E3AF5">
        <w:rPr>
          <w:i/>
          <w:lang w:val="es-EC"/>
        </w:rPr>
        <w:lastRenderedPageBreak/>
        <w:t>presentación de demandas en un único documento digital, lo que facilita y agiliza los procesos judiciales”</w:t>
      </w:r>
      <w:r w:rsidRPr="007E3AF5">
        <w:rPr>
          <w:lang w:val="es-EC"/>
        </w:rPr>
        <w:t>.</w:t>
      </w:r>
      <w:sdt>
        <w:sdtPr>
          <w:rPr>
            <w:lang w:val="es-EC"/>
          </w:rPr>
          <w:id w:val="1517433004"/>
          <w:citation/>
        </w:sdtPr>
        <w:sdtEndPr/>
        <w:sdtContent>
          <w:r w:rsidRPr="007E3AF5">
            <w:rPr>
              <w:lang w:val="es-EC"/>
            </w:rPr>
            <w:fldChar w:fldCharType="begin"/>
          </w:r>
          <w:r w:rsidRPr="007E3AF5">
            <w:rPr>
              <w:lang w:val="es-EC"/>
            </w:rPr>
            <w:instrText xml:space="preserve"> CITATION Jac24 \l 12298 </w:instrText>
          </w:r>
          <w:r w:rsidRPr="007E3AF5">
            <w:rPr>
              <w:lang w:val="es-EC"/>
            </w:rPr>
            <w:fldChar w:fldCharType="separate"/>
          </w:r>
          <w:r w:rsidR="00A52BAD">
            <w:rPr>
              <w:noProof/>
              <w:lang w:val="es-EC"/>
            </w:rPr>
            <w:t xml:space="preserve"> </w:t>
          </w:r>
          <w:r w:rsidR="00A52BAD" w:rsidRPr="00A52BAD">
            <w:rPr>
              <w:noProof/>
              <w:lang w:val="es-EC"/>
            </w:rPr>
            <w:t>(Revilla &amp; Ajila, 2024)</w:t>
          </w:r>
          <w:r w:rsidRPr="007E3AF5">
            <w:fldChar w:fldCharType="end"/>
          </w:r>
        </w:sdtContent>
      </w:sdt>
      <w:r w:rsidRPr="007E3AF5">
        <w:rPr>
          <w:lang w:val="es-EC"/>
        </w:rPr>
        <w:t>, en contraste con el marco jurídico ecuatoriano que carece aún de una normativa que regule la cadena de custodia de los documentos electrónicos, lo que ocasiona que se puedan vulnerar las seguridades y se afecte su autenticidad. La mayoría de los jueces en el Ecuador no se encuentran capacitados para poder dilucidar si los documentos electrónicos son auténticos o no, o si han pasado por un proceso de alteración en su contenido medular o sin son descargados de sitios web autorizados, por lo que resulta importante que el Consejo de la Judicatura implemente no sólo el expediente electrónico sino una plataforma digital revestida de seguridades para que todas las pruebas digitales se encuentren seguras. La era digital avanza a pasos agigantados por lo que es sumamente importante que la Función Judicial del Ecuador cuente con todos los equipos tecnológicos no solo para salvaguardar el contenido y origen de las pruebas digitales, sino para garantizar la transparencia de los procesos judiciales.</w:t>
      </w:r>
    </w:p>
    <w:p w14:paraId="65989660" w14:textId="77777777" w:rsidR="007E3AF5" w:rsidRPr="007E3AF5" w:rsidRDefault="007E3AF5" w:rsidP="007E3AF5">
      <w:pPr>
        <w:rPr>
          <w:lang w:val="es-EC"/>
        </w:rPr>
      </w:pPr>
    </w:p>
    <w:p w14:paraId="29CDBE2A" w14:textId="77777777" w:rsidR="007E3AF5" w:rsidRPr="007E3AF5" w:rsidRDefault="007E3AF5" w:rsidP="007E3AF5">
      <w:pPr>
        <w:rPr>
          <w:lang w:val="es-EC"/>
        </w:rPr>
      </w:pPr>
      <w:r w:rsidRPr="007E3AF5">
        <w:rPr>
          <w:lang w:val="es-EC"/>
        </w:rPr>
        <w:t xml:space="preserve">Muchos jueces y demás servidores judiciales desconocen los elementos esenciales para verificar y corroborar la autenticidad de pruebas electrónicas, lo que ocasiona que se emitan decisiones sin criterios técnicos reales, por lo que la Escuela Judicial del Consejo de la Judicatura deberá crear cursos presenciales obligatorios para todos los servidores judiciales, con el fin de que, los operadores de justicia se encuentren realmente capacitados para valorar acertadamente una prueba electrónica, pues muchos se guían ciegamente por los informes periciales, pues desconocen la manera idónea de evaluar, revisar y dotar del valor real a un documento electrónico. Estas capacitaciones deben ser constantes y dirigidas en especial para juzgadores, ya que en la actualidad casi todo se encuentra automatizado. Las entidades estatales del país también deberían contar con plataformas digitales que se encuentren interconectadas para que el cruce y la verificación de información de los documentos digitales sea rápida, eficaz y veraz, lo que conllevaría a que los procesos judiciales sean mucho más ágiles.  </w:t>
      </w:r>
    </w:p>
    <w:p w14:paraId="55050A34" w14:textId="77777777" w:rsidR="007E3AF5" w:rsidRPr="007E3AF5" w:rsidRDefault="007E3AF5" w:rsidP="007E3AF5">
      <w:pPr>
        <w:rPr>
          <w:lang w:val="es-EC"/>
        </w:rPr>
      </w:pPr>
    </w:p>
    <w:p w14:paraId="3D654887" w14:textId="2E529D0F" w:rsidR="007E3AF5" w:rsidRPr="007E3AF5" w:rsidRDefault="007E3AF5" w:rsidP="007E3AF5">
      <w:pPr>
        <w:rPr>
          <w:lang w:val="es-EC"/>
        </w:rPr>
      </w:pPr>
      <w:r w:rsidRPr="007E3AF5">
        <w:rPr>
          <w:i/>
          <w:lang w:val="es-ES_tradnl"/>
        </w:rPr>
        <w:lastRenderedPageBreak/>
        <w:t>“Se constata la existencia de vacíos normativos y ambigüedades regulatorias en torno a la autenticidad, integridad, cadena de custodia y obtención lícita de la evidencia electrónica, lo que dificulta su aplicación práctica en sede judicial. La ausencia de disposiciones técnicas específicas obliga a los operadores jurídicos a recurrir a interpretaciones extensivas o analógicas, afectando la seguridad jurídica y generando incertidumbre respecto de los estándares exigibles para su admisión y eficacia probatoria”</w:t>
      </w:r>
      <w:r w:rsidRPr="007E3AF5">
        <w:rPr>
          <w:lang w:val="es-ES_tradnl"/>
        </w:rPr>
        <w:t xml:space="preserve">. </w:t>
      </w:r>
      <w:sdt>
        <w:sdtPr>
          <w:rPr>
            <w:lang w:val="es-ES_tradnl"/>
          </w:rPr>
          <w:id w:val="2012249740"/>
          <w:citation/>
        </w:sdtPr>
        <w:sdtEndPr/>
        <w:sdtContent>
          <w:r w:rsidRPr="007E3AF5">
            <w:rPr>
              <w:lang w:val="es-ES_tradnl"/>
            </w:rPr>
            <w:fldChar w:fldCharType="begin"/>
          </w:r>
          <w:r w:rsidRPr="007E3AF5">
            <w:rPr>
              <w:lang w:val="es-EC"/>
            </w:rPr>
            <w:instrText xml:space="preserve"> CITATION Pai26 \l 12298 </w:instrText>
          </w:r>
          <w:r w:rsidRPr="007E3AF5">
            <w:rPr>
              <w:lang w:val="es-ES_tradnl"/>
            </w:rPr>
            <w:fldChar w:fldCharType="separate"/>
          </w:r>
          <w:r w:rsidR="00A52BAD" w:rsidRPr="00A52BAD">
            <w:rPr>
              <w:noProof/>
              <w:lang w:val="es-EC"/>
            </w:rPr>
            <w:t>(Paillacho &amp; Torres, 2026)</w:t>
          </w:r>
          <w:r w:rsidRPr="007E3AF5">
            <w:fldChar w:fldCharType="end"/>
          </w:r>
        </w:sdtContent>
      </w:sdt>
      <w:r w:rsidRPr="007E3AF5">
        <w:rPr>
          <w:lang w:val="es-ES_tradnl"/>
        </w:rPr>
        <w:t>. Los jueces para suplir su falta de conocimiento en temas tecnológicos, recurren a consultas con expertos en temas electrónicos, revisan normativa extranjera, jurisprudencia nacional en pocas proporciones, pues la Corte Nacional no ha emitido muchos fallos entorno a ésta problemática, se revisa doctrina nacional e internacional y se aplican las reglas de la sana crítica y del buen entender, lo que puede ocasionar decisiones arbitrarias o injustas por falta de experticia en temas tecnológicos, por lo que se requiere que los juzgadores tengan también un criterio técnico que les permita con mayor objetividad analizar en su totalidad la veracidad y autenticidad de los documentos electrónicos los cuales deben cumplir también con los requisitos legales y ser conducentes, pertinentes y útiles para ser admitidos como prueba por el juez que conoce la causa.</w:t>
      </w:r>
    </w:p>
    <w:p w14:paraId="719C4280" w14:textId="77777777" w:rsidR="007E3AF5" w:rsidRPr="007E3AF5" w:rsidRDefault="007E3AF5" w:rsidP="007E3AF5">
      <w:pPr>
        <w:rPr>
          <w:lang w:val="es-EC"/>
        </w:rPr>
      </w:pPr>
    </w:p>
    <w:p w14:paraId="12B01214" w14:textId="57CAB39B" w:rsidR="007E3AF5" w:rsidRPr="007E3AF5" w:rsidRDefault="007E3AF5" w:rsidP="007E3AF5">
      <w:pPr>
        <w:rPr>
          <w:lang w:val="es-EC"/>
        </w:rPr>
      </w:pPr>
      <w:r w:rsidRPr="007E3AF5">
        <w:rPr>
          <w:i/>
          <w:lang w:val="es-EC"/>
        </w:rPr>
        <w:t>“La autenticidad de una pieza de evidencia digital refleja la facilidad con la que se puede determinar que la evidencia no ha sufrido ningún cambio desde su creación o transmisión.”</w:t>
      </w:r>
      <w:r w:rsidRPr="007E3AF5">
        <w:rPr>
          <w:lang w:val="es-EC"/>
        </w:rPr>
        <w:t xml:space="preserve"> </w:t>
      </w:r>
      <w:sdt>
        <w:sdtPr>
          <w:rPr>
            <w:lang w:val="es-EC"/>
          </w:rPr>
          <w:id w:val="641159321"/>
          <w:citation/>
        </w:sdtPr>
        <w:sdtEndPr/>
        <w:sdtContent>
          <w:r w:rsidRPr="007E3AF5">
            <w:rPr>
              <w:lang w:val="es-EC"/>
            </w:rPr>
            <w:fldChar w:fldCharType="begin"/>
          </w:r>
          <w:r w:rsidRPr="007E3AF5">
            <w:rPr>
              <w:lang w:val="es-EC"/>
            </w:rPr>
            <w:instrText xml:space="preserve"> CITATION Int25 \l 12298 </w:instrText>
          </w:r>
          <w:r w:rsidRPr="007E3AF5">
            <w:rPr>
              <w:lang w:val="es-EC"/>
            </w:rPr>
            <w:fldChar w:fldCharType="separate"/>
          </w:r>
          <w:r w:rsidR="00A52BAD" w:rsidRPr="00A52BAD">
            <w:rPr>
              <w:noProof/>
              <w:lang w:val="es-EC"/>
            </w:rPr>
            <w:t>(Intriago y otros, 2025)</w:t>
          </w:r>
          <w:r w:rsidRPr="007E3AF5">
            <w:fldChar w:fldCharType="end"/>
          </w:r>
        </w:sdtContent>
      </w:sdt>
      <w:r w:rsidRPr="007E3AF5">
        <w:rPr>
          <w:lang w:val="es-EC"/>
        </w:rPr>
        <w:t xml:space="preserve">, la evidencia digital puede ser manipulada, modificada o alterada en su contenido, sin dejar huellas visibles, lo que constituye un gran desafío, pues los archivos digitales pueden ser editados sin indicadores visibles de las alteraciones que se hayan efectuado. Por lo tanto, en las comunicaciones digitales, como los correos electrónicos o los mensajes de texto, la autenticidad es tan buena como la forma en que se puedan verificar los detalles sobre el origen y la transmisión del mensaje. </w:t>
      </w:r>
      <w:r w:rsidRPr="007E3AF5">
        <w:rPr>
          <w:i/>
          <w:lang w:val="es-EC"/>
        </w:rPr>
        <w:t>“Los metadatos son información relacionada con la creación, modificación y acceso a un archivo digital, esencial para la autenticación de evidencias digitales.”</w:t>
      </w:r>
      <w:r w:rsidRPr="007E3AF5">
        <w:rPr>
          <w:lang w:val="es-EC"/>
        </w:rPr>
        <w:t xml:space="preserve"> </w:t>
      </w:r>
      <w:sdt>
        <w:sdtPr>
          <w:rPr>
            <w:lang w:val="es-EC"/>
          </w:rPr>
          <w:id w:val="1161428341"/>
          <w:citation/>
        </w:sdtPr>
        <w:sdtEndPr/>
        <w:sdtContent>
          <w:r w:rsidRPr="007E3AF5">
            <w:rPr>
              <w:lang w:val="es-EC"/>
            </w:rPr>
            <w:fldChar w:fldCharType="begin"/>
          </w:r>
          <w:r w:rsidRPr="007E3AF5">
            <w:rPr>
              <w:lang w:val="es-EC"/>
            </w:rPr>
            <w:instrText xml:space="preserve"> CITATION Int25 \l 12298 </w:instrText>
          </w:r>
          <w:r w:rsidRPr="007E3AF5">
            <w:rPr>
              <w:lang w:val="es-EC"/>
            </w:rPr>
            <w:fldChar w:fldCharType="separate"/>
          </w:r>
          <w:r w:rsidR="00A52BAD" w:rsidRPr="00A52BAD">
            <w:rPr>
              <w:noProof/>
              <w:lang w:val="es-EC"/>
            </w:rPr>
            <w:t>(Intriago y otros, 2025)</w:t>
          </w:r>
          <w:r w:rsidRPr="007E3AF5">
            <w:fldChar w:fldCharType="end"/>
          </w:r>
        </w:sdtContent>
      </w:sdt>
      <w:r w:rsidRPr="007E3AF5">
        <w:rPr>
          <w:lang w:val="es-EC"/>
        </w:rPr>
        <w:t xml:space="preserve">, los mismos que pueden </w:t>
      </w:r>
      <w:r w:rsidRPr="007E3AF5">
        <w:rPr>
          <w:lang w:val="es-EC"/>
        </w:rPr>
        <w:lastRenderedPageBreak/>
        <w:t>ser modificados, lo que aumenta el riesgo de que las evidencias puedan ser falsificadas o incluso alteradas. La cadena de custodia en el ámbito digital se establece como uno de los factores más importantes que garantizan la admisibilidad de las pruebas. La cadena de custodia es el rastro que sigue a las pruebas electrónicas desde el momento en que se anuncian y se admiten hasta el momento en que se exhiben ante el tribunal.  Es necesario verificar que la evidencia digital no haya sido alterada en ningún momento durante el proceso. Sin embargo, mantener la integridad de la cadena de custodia de los archivos digitales es un desafío, especialmente cuando la evidencia se incorpora a un expediente aún físico, dentro de un sistema que avanza de a poco en la era informática.</w:t>
      </w:r>
    </w:p>
    <w:p w14:paraId="62018649" w14:textId="277D4C0F" w:rsidR="002A43CD" w:rsidRDefault="007E3AF5" w:rsidP="007E3AF5">
      <w:pPr>
        <w:rPr>
          <w:lang w:val="es-ES_tradnl"/>
        </w:rPr>
      </w:pPr>
      <w:r w:rsidRPr="007E3AF5">
        <w:rPr>
          <w:lang w:val="es-ES_tradnl"/>
        </w:rPr>
        <w:t>Se evidenció a lo largo de la investigación que la utilización de la prueba electrónica, innegablemente debe ir precedida de una cadena de custodia que ofrezca seguridad, que permita a los funcionarios judiciales (Jueces y Tribunales) valorar correctamente un documento electrónico auténtico y veraz.</w:t>
      </w:r>
    </w:p>
    <w:p w14:paraId="5275D100" w14:textId="77777777" w:rsidR="00307909" w:rsidRDefault="00307909" w:rsidP="00307909">
      <w:pPr>
        <w:pStyle w:val="Ttulo1"/>
      </w:pPr>
      <w:r w:rsidRPr="00721EBE">
        <w:rPr>
          <w:caps w:val="0"/>
        </w:rPr>
        <w:t>6.</w:t>
      </w:r>
      <w:r>
        <w:t xml:space="preserve"> conclusiones </w:t>
      </w:r>
    </w:p>
    <w:p w14:paraId="7E9CF08A" w14:textId="179E48BF" w:rsidR="00307909" w:rsidRPr="00307909" w:rsidRDefault="00C028E1" w:rsidP="00307909">
      <w:pPr>
        <w:rPr>
          <w:lang w:val="es-ES_tradnl"/>
        </w:rPr>
      </w:pPr>
      <w:r>
        <w:rPr>
          <w:lang w:val="es-ES_tradnl"/>
        </w:rPr>
        <w:t>La práctica de la prueba digital documental en los procesos civiles se torna compleja, p</w:t>
      </w:r>
      <w:r w:rsidR="00177855">
        <w:rPr>
          <w:lang w:val="es-ES_tradnl"/>
        </w:rPr>
        <w:t xml:space="preserve">ues los documentos electrónicos </w:t>
      </w:r>
      <w:r w:rsidR="00CE2BF1">
        <w:rPr>
          <w:lang w:val="es-ES_tradnl"/>
        </w:rPr>
        <w:t xml:space="preserve">dentro de un expediente físico, </w:t>
      </w:r>
      <w:r w:rsidR="00177855">
        <w:rPr>
          <w:lang w:val="es-ES_tradnl"/>
        </w:rPr>
        <w:t>no revisten las seguridades necesarias para garantizar su autenticidad. El desconocimiento de jueces y abogados sobre temas informáticos agrava la situación, pues el operador de justicia resuelve temas técnicos sin el conocimiento necesario, guiado úni</w:t>
      </w:r>
      <w:r w:rsidR="00CE2BF1">
        <w:rPr>
          <w:lang w:val="es-ES_tradnl"/>
        </w:rPr>
        <w:t>camente por un informe pericial, aplicando una normativa obsoleta, por lo que s</w:t>
      </w:r>
      <w:r w:rsidR="00307909" w:rsidRPr="00307909">
        <w:rPr>
          <w:lang w:val="es-ES_tradnl"/>
        </w:rPr>
        <w:t xml:space="preserve">e recomienda la implementación de una cadena de custodia y de protocolos uniformes a nivel nacional para el análisis de la prueba documental electrónica, para lo cual la Función Judicial deberá contar con el expediente electrónico, con una plataforma digital moderna, con capacidad casi ilimitada, adaptada a todas las necesidades de los procesos judiciales en las distintas materias y con dispositivos y equipos tecnológicos suficientes, para que tanto la cadena de custodia como los protocolos sean eficaces. El Consejo de la Judicatura tiene </w:t>
      </w:r>
      <w:r w:rsidR="00307909" w:rsidRPr="00307909">
        <w:rPr>
          <w:lang w:val="es-ES_tradnl"/>
        </w:rPr>
        <w:lastRenderedPageBreak/>
        <w:t xml:space="preserve">una ardua misión de fortalecer los canales informáticos e impulsar una reforma legal para que los documentos electrónicos cuenten con las debidas seguridades dentro de un proceso judicial, lo que conllevará a juicios de valor acertados con documentación electrónica verídica y auténtica, pues tanto los abogados como los operadores de justicia tendrán las reglas claras al momento de la valoración probatoria luego de una correcta producción de la prueba digital. </w:t>
      </w:r>
    </w:p>
    <w:p w14:paraId="65C4DC3C" w14:textId="77777777" w:rsidR="00307909" w:rsidRPr="00307909" w:rsidRDefault="00307909" w:rsidP="00307909">
      <w:pPr>
        <w:rPr>
          <w:lang w:val="es-ES_tradnl"/>
        </w:rPr>
      </w:pPr>
    </w:p>
    <w:p w14:paraId="7804D026" w14:textId="4C41DE9C" w:rsidR="00307909" w:rsidRDefault="00307909" w:rsidP="00307909">
      <w:pPr>
        <w:rPr>
          <w:lang w:val="es-ES_tradnl"/>
        </w:rPr>
      </w:pPr>
      <w:r w:rsidRPr="00307909">
        <w:rPr>
          <w:lang w:val="es-ES_tradnl"/>
        </w:rPr>
        <w:t>Mediante reforma legal al COGEP, se deberán reglamentar mecanismos para la producción de la prueba documental electrónica, que establezca reglas claras para que tantos los abogados litigantes como los operadores de justicia conozcan y apliquen de manera eficiente los medios y dispositivos digitales para la práctica probatoria, lo que garantiza la aplicabilidad del debido proceso y de la tutela judicial efectiva.</w:t>
      </w:r>
    </w:p>
    <w:p w14:paraId="6C5733CD" w14:textId="27E465BC" w:rsidR="002F3733" w:rsidRDefault="00721EBE" w:rsidP="00721EBE">
      <w:pPr>
        <w:pStyle w:val="Ttulo1"/>
      </w:pPr>
      <w:r w:rsidRPr="00721EBE">
        <w:rPr>
          <w:caps w:val="0"/>
        </w:rPr>
        <w:t>7</w:t>
      </w:r>
      <w:r w:rsidR="00920563">
        <w:rPr>
          <w:caps w:val="0"/>
        </w:rPr>
        <w:t>.</w:t>
      </w:r>
      <w:r>
        <w:t xml:space="preserve"> </w:t>
      </w:r>
      <w:r w:rsidR="002F3733">
        <w:t>Agradecimientos</w:t>
      </w:r>
      <w:r w:rsidR="009E664A">
        <w:t>/</w:t>
      </w:r>
      <w:r w:rsidR="005A43E3">
        <w:t>Apoyos</w:t>
      </w:r>
      <w:r w:rsidR="00920563">
        <w:t xml:space="preserve"> </w:t>
      </w:r>
    </w:p>
    <w:p w14:paraId="74DC25C0" w14:textId="600E83D5" w:rsidR="002F3733" w:rsidRDefault="00307909" w:rsidP="00307909">
      <w:r>
        <w:t xml:space="preserve">Agradezco la ayuda proporcionada por los doctores Milton Velásquez Díaz y Francisco Obando ya que ha sido fundamental para el desarrollo de este artículo. </w:t>
      </w:r>
    </w:p>
    <w:p w14:paraId="703B2935" w14:textId="387B866A" w:rsidR="004307D4" w:rsidRDefault="00721EBE" w:rsidP="00721EBE">
      <w:pPr>
        <w:pStyle w:val="Ttulo1"/>
      </w:pPr>
      <w:r w:rsidRPr="008B6A98">
        <w:rPr>
          <w:caps w:val="0"/>
        </w:rPr>
        <w:t>8.</w:t>
      </w:r>
      <w:r w:rsidRPr="008B6A98">
        <w:t xml:space="preserve"> </w:t>
      </w:r>
      <w:r w:rsidR="002F3733" w:rsidRPr="008B6A98">
        <w:t>Referencias</w:t>
      </w:r>
      <w:r w:rsidR="005417EB">
        <w:t xml:space="preserve"> </w:t>
      </w:r>
    </w:p>
    <w:p w14:paraId="1EDED1DD" w14:textId="77777777" w:rsidR="00C079E2" w:rsidRDefault="00C079E2" w:rsidP="00C079E2">
      <w:pPr>
        <w:pStyle w:val="Bibliografa"/>
        <w:ind w:left="720" w:hanging="720"/>
        <w:rPr>
          <w:noProof/>
        </w:rPr>
      </w:pPr>
      <w:r>
        <w:rPr>
          <w:noProof/>
        </w:rPr>
        <w:t xml:space="preserve">Alsina, H. (2002). </w:t>
      </w:r>
      <w:r>
        <w:rPr>
          <w:i/>
          <w:iCs/>
          <w:noProof/>
        </w:rPr>
        <w:t>Serie de Clásicos de Procedimientos Civiles</w:t>
      </w:r>
      <w:r>
        <w:rPr>
          <w:noProof/>
        </w:rPr>
        <w:t xml:space="preserve"> (Vol. I). México: Jurídica Universitaria.</w:t>
      </w:r>
    </w:p>
    <w:p w14:paraId="78751E12" w14:textId="1E06C45C" w:rsidR="00C079E2" w:rsidRDefault="00C079E2" w:rsidP="006C56D4">
      <w:pPr>
        <w:pStyle w:val="Bibliografa"/>
        <w:ind w:left="720" w:hanging="720"/>
        <w:rPr>
          <w:noProof/>
        </w:rPr>
      </w:pPr>
      <w:r>
        <w:rPr>
          <w:noProof/>
        </w:rPr>
        <w:t xml:space="preserve">Carolina, S. C. (1999). </w:t>
      </w:r>
      <w:r>
        <w:rPr>
          <w:i/>
          <w:iCs/>
          <w:noProof/>
        </w:rPr>
        <w:t>La Prueba por soportes informáticos.</w:t>
      </w:r>
      <w:r>
        <w:rPr>
          <w:noProof/>
        </w:rPr>
        <w:t xml:space="preserve"> Valencia, España: Tirant lo Blanch.</w:t>
      </w:r>
    </w:p>
    <w:p w14:paraId="400F9C57" w14:textId="77777777" w:rsidR="00C079E2" w:rsidRDefault="00C079E2" w:rsidP="00C079E2">
      <w:pPr>
        <w:pStyle w:val="Bibliografa"/>
        <w:ind w:left="720" w:hanging="720"/>
        <w:rPr>
          <w:noProof/>
        </w:rPr>
      </w:pPr>
      <w:r>
        <w:rPr>
          <w:noProof/>
        </w:rPr>
        <w:t xml:space="preserve">Inca, M. A. (9 de 1 de 2024). La Prueba Digital en los procesos civiles y su prohibición. </w:t>
      </w:r>
      <w:r>
        <w:rPr>
          <w:i/>
          <w:iCs/>
          <w:noProof/>
        </w:rPr>
        <w:t>LATAM Revista Latinoamericana de Ciencias Sociales y Humaninadaes, V</w:t>
      </w:r>
      <w:r>
        <w:rPr>
          <w:noProof/>
        </w:rPr>
        <w:t>(6), 3697. https://doi.org/10.56712/latam</w:t>
      </w:r>
    </w:p>
    <w:p w14:paraId="31ED7C90" w14:textId="77777777" w:rsidR="00C079E2" w:rsidRDefault="00C079E2" w:rsidP="00C079E2">
      <w:pPr>
        <w:pStyle w:val="Bibliografa"/>
        <w:ind w:left="720" w:hanging="720"/>
        <w:rPr>
          <w:noProof/>
        </w:rPr>
      </w:pPr>
      <w:r>
        <w:rPr>
          <w:noProof/>
        </w:rPr>
        <w:t xml:space="preserve">Intriago, T. P., Mieles, N. J., &amp; Gaibor, E. F. (2 de 8 de 2025). Vacíos Normativos en la producción de pruebas documentales en audiencias telemáticas. </w:t>
      </w:r>
      <w:r>
        <w:rPr>
          <w:i/>
          <w:iCs/>
          <w:noProof/>
        </w:rPr>
        <w:t>Revista de Investigación en Ciencias Jurídicas Lex, 8</w:t>
      </w:r>
      <w:r>
        <w:rPr>
          <w:noProof/>
        </w:rPr>
        <w:t>(30), 1491-1506. https://doi.org/10.33996</w:t>
      </w:r>
    </w:p>
    <w:p w14:paraId="66F96313" w14:textId="3D631893" w:rsidR="00264FB4" w:rsidRDefault="00C079E2" w:rsidP="00CE2BF1">
      <w:pPr>
        <w:pStyle w:val="Bibliografa"/>
        <w:ind w:left="720" w:hanging="720"/>
        <w:rPr>
          <w:noProof/>
        </w:rPr>
      </w:pPr>
      <w:r>
        <w:rPr>
          <w:noProof/>
        </w:rPr>
        <w:lastRenderedPageBreak/>
        <w:t xml:space="preserve">Meza, M. I. (2024). La Prueba Digital en el proceso civil oral de Cordoba. </w:t>
      </w:r>
      <w:r>
        <w:rPr>
          <w:i/>
          <w:iCs/>
          <w:noProof/>
        </w:rPr>
        <w:t>Anuario de Derecho Civil</w:t>
      </w:r>
      <w:r>
        <w:rPr>
          <w:noProof/>
        </w:rPr>
        <w:t xml:space="preserve">(XIV), 140-160. </w:t>
      </w:r>
      <w:hyperlink r:id="rId9" w:history="1">
        <w:r w:rsidR="00264FB4" w:rsidRPr="005841D1">
          <w:rPr>
            <w:rStyle w:val="Hipervnculo"/>
            <w:noProof/>
          </w:rPr>
          <w:t>https://doi.org/10.225297/adc</w:t>
        </w:r>
      </w:hyperlink>
      <w:bookmarkStart w:id="0" w:name="_GoBack"/>
      <w:bookmarkEnd w:id="0"/>
    </w:p>
    <w:p w14:paraId="6C0057B1" w14:textId="77777777" w:rsidR="00264FB4" w:rsidRDefault="00264FB4" w:rsidP="00264FB4">
      <w:pPr>
        <w:pStyle w:val="Bibliografa"/>
        <w:ind w:left="720" w:hanging="720"/>
        <w:rPr>
          <w:noProof/>
        </w:rPr>
      </w:pPr>
      <w:r>
        <w:rPr>
          <w:noProof/>
        </w:rPr>
        <w:t xml:space="preserve">Nacional, A. (2015). Código Orgánico General de Procesos. </w:t>
      </w:r>
      <w:r>
        <w:rPr>
          <w:i/>
          <w:iCs/>
          <w:noProof/>
        </w:rPr>
        <w:t>|, Primera</w:t>
      </w:r>
      <w:r>
        <w:rPr>
          <w:noProof/>
        </w:rPr>
        <w:t>. Quito, Pichincha, Ecuador: Corporación de Estudios y Publicaciones.</w:t>
      </w:r>
    </w:p>
    <w:p w14:paraId="643115F6" w14:textId="77777777" w:rsidR="00264FB4" w:rsidRDefault="00264FB4" w:rsidP="00264FB4">
      <w:pPr>
        <w:pStyle w:val="Bibliografa"/>
        <w:ind w:left="720" w:hanging="720"/>
        <w:rPr>
          <w:noProof/>
        </w:rPr>
      </w:pPr>
      <w:r>
        <w:rPr>
          <w:noProof/>
        </w:rPr>
        <w:t xml:space="preserve">Nacional, A. (2023). Ley de Comercio Eléctrónico, Firmas Electrónicas y Mensajes de Datos. </w:t>
      </w:r>
      <w:r>
        <w:rPr>
          <w:i/>
          <w:iCs/>
          <w:noProof/>
        </w:rPr>
        <w:t>Tercer Suplemento al Registro Oficial No. 245, del 7 de noviembre de 2003</w:t>
      </w:r>
      <w:r>
        <w:rPr>
          <w:noProof/>
        </w:rPr>
        <w:t>. Quito, Pichincha, Quito: Registro Oficial.</w:t>
      </w:r>
    </w:p>
    <w:p w14:paraId="48EC27A7" w14:textId="1F8CE980" w:rsidR="00C079E2" w:rsidRDefault="00C079E2" w:rsidP="00C079E2">
      <w:pPr>
        <w:pStyle w:val="Bibliografa"/>
        <w:ind w:left="720" w:hanging="720"/>
        <w:rPr>
          <w:noProof/>
        </w:rPr>
      </w:pPr>
      <w:r>
        <w:rPr>
          <w:noProof/>
        </w:rPr>
        <w:t xml:space="preserve">Paillacho, M. H., &amp; Torres, R. C. (31 de marzo de 2026). El Debido Proceso y la Práctica de la Prueba digital: Una lectura crítica desde el derecho procesal civil en el Ecuador. </w:t>
      </w:r>
      <w:r>
        <w:rPr>
          <w:i/>
          <w:iCs/>
          <w:noProof/>
        </w:rPr>
        <w:t>Revista Científica Multidisciplinaria Investigo, 7</w:t>
      </w:r>
      <w:r>
        <w:rPr>
          <w:noProof/>
        </w:rPr>
        <w:t xml:space="preserve">(19), 225-235. </w:t>
      </w:r>
      <w:hyperlink r:id="rId10" w:history="1">
        <w:r w:rsidR="00264FB4" w:rsidRPr="005841D1">
          <w:rPr>
            <w:rStyle w:val="Hipervnculo"/>
            <w:noProof/>
          </w:rPr>
          <w:t>https://doi.org/10.56519/n97hgx40</w:t>
        </w:r>
      </w:hyperlink>
    </w:p>
    <w:p w14:paraId="3114C1B5" w14:textId="053FC936" w:rsidR="00264FB4" w:rsidRPr="00264FB4" w:rsidRDefault="00264FB4" w:rsidP="00264FB4">
      <w:pPr>
        <w:pStyle w:val="Bibliografa"/>
        <w:ind w:left="720" w:hanging="720"/>
        <w:rPr>
          <w:noProof/>
        </w:rPr>
      </w:pPr>
      <w:r>
        <w:rPr>
          <w:noProof/>
        </w:rPr>
        <w:t>Proceso Judicial, 09332-2024-11545 (Tercer Tribunal de la Sala Especializada de lo Civil de la Corte Provincial de Justicia 26 de Febrero de 2026).</w:t>
      </w:r>
    </w:p>
    <w:p w14:paraId="26BA0703" w14:textId="77777777" w:rsidR="00C079E2" w:rsidRDefault="00C079E2" w:rsidP="00C079E2">
      <w:pPr>
        <w:pStyle w:val="Bibliografa"/>
        <w:ind w:left="720" w:hanging="720"/>
        <w:rPr>
          <w:noProof/>
        </w:rPr>
      </w:pPr>
      <w:r>
        <w:rPr>
          <w:noProof/>
        </w:rPr>
        <w:t xml:space="preserve">Quinche Álvarez F.G., E. -A.-H. (30 de 9 de 2025). La cadena de custodia en la producción de la prueba digital. </w:t>
      </w:r>
      <w:r>
        <w:rPr>
          <w:i/>
          <w:iCs/>
          <w:noProof/>
        </w:rPr>
        <w:t>Journal Scientific, 9</w:t>
      </w:r>
      <w:r>
        <w:rPr>
          <w:noProof/>
        </w:rPr>
        <w:t>(3), 1-21. https://doi.org/10.56048/MQR</w:t>
      </w:r>
    </w:p>
    <w:p w14:paraId="49ABD3A8" w14:textId="77777777" w:rsidR="00C079E2" w:rsidRDefault="00C079E2" w:rsidP="00C079E2">
      <w:pPr>
        <w:pStyle w:val="Bibliografa"/>
        <w:ind w:left="720" w:hanging="720"/>
        <w:rPr>
          <w:noProof/>
        </w:rPr>
      </w:pPr>
      <w:r>
        <w:rPr>
          <w:noProof/>
        </w:rPr>
        <w:t xml:space="preserve">Revilla, J. A., &amp; Ajila, L. A. (2024). La Incorporación de la Prueba Digital en el Derecho Procesal ecuatoriano. </w:t>
      </w:r>
      <w:r>
        <w:rPr>
          <w:i/>
          <w:iCs/>
          <w:noProof/>
        </w:rPr>
        <w:t>Revista n Investigación en Ciencias Jurídicas, 7</w:t>
      </w:r>
      <w:r>
        <w:rPr>
          <w:noProof/>
        </w:rPr>
        <w:t>(27), 1338-1350.</w:t>
      </w:r>
    </w:p>
    <w:p w14:paraId="75E05A02" w14:textId="5FE3BE81" w:rsidR="00C079E2" w:rsidRDefault="00C079E2" w:rsidP="00C079E2">
      <w:r>
        <w:rPr>
          <w:noProof/>
        </w:rPr>
        <w:t xml:space="preserve">Torres, M. H. (2026). El Debido Proceso y la Práctica de la Prueba Digital: Una lectura crítica desde el Derecho Procesal Civil en Ecuador. </w:t>
      </w:r>
      <w:r>
        <w:rPr>
          <w:i/>
          <w:iCs/>
          <w:noProof/>
        </w:rPr>
        <w:t>Revista Científica Multidisciplinaria, 7</w:t>
      </w:r>
      <w:r>
        <w:rPr>
          <w:noProof/>
        </w:rPr>
        <w:t>(19), 11. https://doi.org/10.56519/n97hgx40</w:t>
      </w:r>
    </w:p>
    <w:p w14:paraId="3EFC9597" w14:textId="7B038B22" w:rsidR="00C079E2" w:rsidRDefault="00C079E2" w:rsidP="00C079E2"/>
    <w:p w14:paraId="51FD89EB" w14:textId="06A0CBE0" w:rsidR="00C079E2" w:rsidRDefault="00C079E2" w:rsidP="00C079E2"/>
    <w:p w14:paraId="61B9F922" w14:textId="77777777" w:rsidR="00C079E2" w:rsidRPr="00C079E2" w:rsidRDefault="00C079E2" w:rsidP="00C079E2"/>
    <w:p w14:paraId="1CED1DA4" w14:textId="77777777" w:rsidR="00CE0F4B" w:rsidRPr="00CE0F4B" w:rsidRDefault="00CE0F4B" w:rsidP="008B6A98"/>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1F08E" w14:textId="77777777" w:rsidR="00246B48" w:rsidRDefault="00246B48" w:rsidP="00EB0247">
      <w:pPr>
        <w:spacing w:after="0" w:line="240" w:lineRule="auto"/>
      </w:pPr>
      <w:r>
        <w:separator/>
      </w:r>
    </w:p>
  </w:endnote>
  <w:endnote w:type="continuationSeparator" w:id="0">
    <w:p w14:paraId="5BBE859D" w14:textId="77777777" w:rsidR="00246B48" w:rsidRDefault="00246B48"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FC0B9" w14:textId="77777777" w:rsidR="00246B48" w:rsidRDefault="00246B48" w:rsidP="00EB0247">
      <w:pPr>
        <w:spacing w:after="0" w:line="240" w:lineRule="auto"/>
      </w:pPr>
      <w:r>
        <w:separator/>
      </w:r>
    </w:p>
  </w:footnote>
  <w:footnote w:type="continuationSeparator" w:id="0">
    <w:p w14:paraId="3D609852" w14:textId="77777777" w:rsidR="00246B48" w:rsidRDefault="00246B48"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564"/>
    <w:rsid w:val="000068CF"/>
    <w:rsid w:val="00012517"/>
    <w:rsid w:val="00033E3E"/>
    <w:rsid w:val="00063421"/>
    <w:rsid w:val="00097EEF"/>
    <w:rsid w:val="000C5EDB"/>
    <w:rsid w:val="00100F33"/>
    <w:rsid w:val="001348A0"/>
    <w:rsid w:val="00140844"/>
    <w:rsid w:val="001409D2"/>
    <w:rsid w:val="001468AC"/>
    <w:rsid w:val="0015066B"/>
    <w:rsid w:val="00156F2B"/>
    <w:rsid w:val="00177855"/>
    <w:rsid w:val="00182667"/>
    <w:rsid w:val="00184DCF"/>
    <w:rsid w:val="00185A00"/>
    <w:rsid w:val="0018654D"/>
    <w:rsid w:val="001950D8"/>
    <w:rsid w:val="00197D57"/>
    <w:rsid w:val="001A7AD8"/>
    <w:rsid w:val="001B1548"/>
    <w:rsid w:val="001E3374"/>
    <w:rsid w:val="00242EFB"/>
    <w:rsid w:val="002433EC"/>
    <w:rsid w:val="00246B48"/>
    <w:rsid w:val="00254F0F"/>
    <w:rsid w:val="00264FB4"/>
    <w:rsid w:val="00280126"/>
    <w:rsid w:val="00281564"/>
    <w:rsid w:val="00285B53"/>
    <w:rsid w:val="002A43CD"/>
    <w:rsid w:val="002C2B4C"/>
    <w:rsid w:val="002C5703"/>
    <w:rsid w:val="002D23FB"/>
    <w:rsid w:val="002D268C"/>
    <w:rsid w:val="002F3733"/>
    <w:rsid w:val="00307909"/>
    <w:rsid w:val="003512A0"/>
    <w:rsid w:val="00375999"/>
    <w:rsid w:val="0039591A"/>
    <w:rsid w:val="003A7746"/>
    <w:rsid w:val="003C4D9F"/>
    <w:rsid w:val="003E66FB"/>
    <w:rsid w:val="00422CDA"/>
    <w:rsid w:val="004307D4"/>
    <w:rsid w:val="00437ED3"/>
    <w:rsid w:val="0044345A"/>
    <w:rsid w:val="00477173"/>
    <w:rsid w:val="004819D7"/>
    <w:rsid w:val="004842F0"/>
    <w:rsid w:val="00484413"/>
    <w:rsid w:val="00493A17"/>
    <w:rsid w:val="004C0202"/>
    <w:rsid w:val="004C2382"/>
    <w:rsid w:val="004D0180"/>
    <w:rsid w:val="005335DF"/>
    <w:rsid w:val="005417EB"/>
    <w:rsid w:val="005430EA"/>
    <w:rsid w:val="00584BB4"/>
    <w:rsid w:val="005A43E3"/>
    <w:rsid w:val="005A4AFE"/>
    <w:rsid w:val="005A6174"/>
    <w:rsid w:val="00607EE3"/>
    <w:rsid w:val="006131F7"/>
    <w:rsid w:val="00675757"/>
    <w:rsid w:val="00680332"/>
    <w:rsid w:val="00681364"/>
    <w:rsid w:val="0068745E"/>
    <w:rsid w:val="006B7745"/>
    <w:rsid w:val="006C56D4"/>
    <w:rsid w:val="006F04FD"/>
    <w:rsid w:val="00714CBD"/>
    <w:rsid w:val="00721EBE"/>
    <w:rsid w:val="00742AC5"/>
    <w:rsid w:val="007701F1"/>
    <w:rsid w:val="00792960"/>
    <w:rsid w:val="007A0F17"/>
    <w:rsid w:val="007D547B"/>
    <w:rsid w:val="007E3AF5"/>
    <w:rsid w:val="007E4E94"/>
    <w:rsid w:val="007F0944"/>
    <w:rsid w:val="008238DE"/>
    <w:rsid w:val="00853FF3"/>
    <w:rsid w:val="00863A4D"/>
    <w:rsid w:val="008A4085"/>
    <w:rsid w:val="008A483F"/>
    <w:rsid w:val="008B6A98"/>
    <w:rsid w:val="008C1056"/>
    <w:rsid w:val="008C2B2C"/>
    <w:rsid w:val="008F1330"/>
    <w:rsid w:val="008F3F8E"/>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37C3B"/>
    <w:rsid w:val="00A52BAD"/>
    <w:rsid w:val="00A8553F"/>
    <w:rsid w:val="00B0717D"/>
    <w:rsid w:val="00B57A4E"/>
    <w:rsid w:val="00B60DF4"/>
    <w:rsid w:val="00BA4EA8"/>
    <w:rsid w:val="00BA4FD5"/>
    <w:rsid w:val="00BB38AC"/>
    <w:rsid w:val="00BD7178"/>
    <w:rsid w:val="00BE3D2B"/>
    <w:rsid w:val="00BE5F2C"/>
    <w:rsid w:val="00BF45D1"/>
    <w:rsid w:val="00BF50C0"/>
    <w:rsid w:val="00C028E1"/>
    <w:rsid w:val="00C079E2"/>
    <w:rsid w:val="00C21F8C"/>
    <w:rsid w:val="00C302E3"/>
    <w:rsid w:val="00C30BA1"/>
    <w:rsid w:val="00C33CC9"/>
    <w:rsid w:val="00C45F7D"/>
    <w:rsid w:val="00C930F7"/>
    <w:rsid w:val="00CA0400"/>
    <w:rsid w:val="00CC152D"/>
    <w:rsid w:val="00CD0091"/>
    <w:rsid w:val="00CE0F4B"/>
    <w:rsid w:val="00CE2BF1"/>
    <w:rsid w:val="00D0381D"/>
    <w:rsid w:val="00D05D1F"/>
    <w:rsid w:val="00D36F76"/>
    <w:rsid w:val="00D47BD3"/>
    <w:rsid w:val="00D86CAA"/>
    <w:rsid w:val="00DA0BED"/>
    <w:rsid w:val="00DC3839"/>
    <w:rsid w:val="00DC5E7D"/>
    <w:rsid w:val="00DE0B74"/>
    <w:rsid w:val="00DF1B76"/>
    <w:rsid w:val="00E04357"/>
    <w:rsid w:val="00E05E1A"/>
    <w:rsid w:val="00E06000"/>
    <w:rsid w:val="00E6391B"/>
    <w:rsid w:val="00E649D6"/>
    <w:rsid w:val="00EB0247"/>
    <w:rsid w:val="00EC01A5"/>
    <w:rsid w:val="00F60611"/>
    <w:rsid w:val="00F6387D"/>
    <w:rsid w:val="00F63B01"/>
    <w:rsid w:val="00F66726"/>
    <w:rsid w:val="00FA51E8"/>
    <w:rsid w:val="00FA7CDE"/>
    <w:rsid w:val="00FC12AA"/>
    <w:rsid w:val="00FD22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Cuadrculadetab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customStyle="1" w:styleId="UnresolvedMention">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59623">
      <w:bodyDiv w:val="1"/>
      <w:marLeft w:val="0"/>
      <w:marRight w:val="0"/>
      <w:marTop w:val="0"/>
      <w:marBottom w:val="0"/>
      <w:divBdr>
        <w:top w:val="none" w:sz="0" w:space="0" w:color="auto"/>
        <w:left w:val="none" w:sz="0" w:space="0" w:color="auto"/>
        <w:bottom w:val="none" w:sz="0" w:space="0" w:color="auto"/>
        <w:right w:val="none" w:sz="0" w:space="0" w:color="auto"/>
      </w:divBdr>
    </w:div>
    <w:div w:id="241568137">
      <w:bodyDiv w:val="1"/>
      <w:marLeft w:val="0"/>
      <w:marRight w:val="0"/>
      <w:marTop w:val="0"/>
      <w:marBottom w:val="0"/>
      <w:divBdr>
        <w:top w:val="none" w:sz="0" w:space="0" w:color="auto"/>
        <w:left w:val="none" w:sz="0" w:space="0" w:color="auto"/>
        <w:bottom w:val="none" w:sz="0" w:space="0" w:color="auto"/>
        <w:right w:val="none" w:sz="0" w:space="0" w:color="auto"/>
      </w:divBdr>
    </w:div>
    <w:div w:id="340546189">
      <w:bodyDiv w:val="1"/>
      <w:marLeft w:val="0"/>
      <w:marRight w:val="0"/>
      <w:marTop w:val="0"/>
      <w:marBottom w:val="0"/>
      <w:divBdr>
        <w:top w:val="none" w:sz="0" w:space="0" w:color="auto"/>
        <w:left w:val="none" w:sz="0" w:space="0" w:color="auto"/>
        <w:bottom w:val="none" w:sz="0" w:space="0" w:color="auto"/>
        <w:right w:val="none" w:sz="0" w:space="0" w:color="auto"/>
      </w:divBdr>
    </w:div>
    <w:div w:id="434711596">
      <w:bodyDiv w:val="1"/>
      <w:marLeft w:val="0"/>
      <w:marRight w:val="0"/>
      <w:marTop w:val="0"/>
      <w:marBottom w:val="0"/>
      <w:divBdr>
        <w:top w:val="none" w:sz="0" w:space="0" w:color="auto"/>
        <w:left w:val="none" w:sz="0" w:space="0" w:color="auto"/>
        <w:bottom w:val="none" w:sz="0" w:space="0" w:color="auto"/>
        <w:right w:val="none" w:sz="0" w:space="0" w:color="auto"/>
      </w:divBdr>
    </w:div>
    <w:div w:id="663239605">
      <w:bodyDiv w:val="1"/>
      <w:marLeft w:val="0"/>
      <w:marRight w:val="0"/>
      <w:marTop w:val="0"/>
      <w:marBottom w:val="0"/>
      <w:divBdr>
        <w:top w:val="none" w:sz="0" w:space="0" w:color="auto"/>
        <w:left w:val="none" w:sz="0" w:space="0" w:color="auto"/>
        <w:bottom w:val="none" w:sz="0" w:space="0" w:color="auto"/>
        <w:right w:val="none" w:sz="0" w:space="0" w:color="auto"/>
      </w:divBdr>
    </w:div>
    <w:div w:id="906574615">
      <w:bodyDiv w:val="1"/>
      <w:marLeft w:val="0"/>
      <w:marRight w:val="0"/>
      <w:marTop w:val="0"/>
      <w:marBottom w:val="0"/>
      <w:divBdr>
        <w:top w:val="none" w:sz="0" w:space="0" w:color="auto"/>
        <w:left w:val="none" w:sz="0" w:space="0" w:color="auto"/>
        <w:bottom w:val="none" w:sz="0" w:space="0" w:color="auto"/>
        <w:right w:val="none" w:sz="0" w:space="0" w:color="auto"/>
      </w:divBdr>
    </w:div>
    <w:div w:id="971523012">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7697522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43817877">
      <w:bodyDiv w:val="1"/>
      <w:marLeft w:val="0"/>
      <w:marRight w:val="0"/>
      <w:marTop w:val="0"/>
      <w:marBottom w:val="0"/>
      <w:divBdr>
        <w:top w:val="none" w:sz="0" w:space="0" w:color="auto"/>
        <w:left w:val="none" w:sz="0" w:space="0" w:color="auto"/>
        <w:bottom w:val="none" w:sz="0" w:space="0" w:color="auto"/>
        <w:right w:val="none" w:sz="0" w:space="0" w:color="auto"/>
      </w:divBdr>
    </w:div>
    <w:div w:id="135511504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86313327">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2465177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767388055">
      <w:bodyDiv w:val="1"/>
      <w:marLeft w:val="0"/>
      <w:marRight w:val="0"/>
      <w:marTop w:val="0"/>
      <w:marBottom w:val="0"/>
      <w:divBdr>
        <w:top w:val="none" w:sz="0" w:space="0" w:color="auto"/>
        <w:left w:val="none" w:sz="0" w:space="0" w:color="auto"/>
        <w:bottom w:val="none" w:sz="0" w:space="0" w:color="auto"/>
        <w:right w:val="none" w:sz="0" w:space="0" w:color="auto"/>
      </w:divBdr>
    </w:div>
    <w:div w:id="1983150436">
      <w:bodyDiv w:val="1"/>
      <w:marLeft w:val="0"/>
      <w:marRight w:val="0"/>
      <w:marTop w:val="0"/>
      <w:marBottom w:val="0"/>
      <w:divBdr>
        <w:top w:val="none" w:sz="0" w:space="0" w:color="auto"/>
        <w:left w:val="none" w:sz="0" w:space="0" w:color="auto"/>
        <w:bottom w:val="none" w:sz="0" w:space="0" w:color="auto"/>
        <w:right w:val="none" w:sz="0" w:space="0" w:color="auto"/>
      </w:divBdr>
    </w:div>
    <w:div w:id="202559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doi.org/10.56519/n97hgx40" TargetMode="External"/><Relationship Id="rId4" Type="http://schemas.openxmlformats.org/officeDocument/2006/relationships/styles" Target="styles.xml"/><Relationship Id="rId9" Type="http://schemas.openxmlformats.org/officeDocument/2006/relationships/hyperlink" Target="https://doi.org/10.225297/ad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Als</b:Tag>
    <b:SourceType>Book</b:SourceType>
    <b:Guid>{B74EFA85-DC17-4C63-B7CD-95ED3C126C5C}</b:Guid>
    <b:Author>
      <b:Author>
        <b:NameList>
          <b:Person>
            <b:Last>Alsina</b:Last>
            <b:First>Hugo</b:First>
          </b:Person>
        </b:NameList>
      </b:Author>
    </b:Author>
    <b:Title>Serie de Clásicos de Procedimientos Civiles</b:Title>
    <b:Publisher>Jurídica Universitaria</b:Publisher>
    <b:Volume>I</b:Volume>
    <b:ShortTitle>Juicio Ordinario</b:ShortTitle>
    <b:Year>2002</b:Year>
    <b:City>México</b:City>
    <b:RefOrder>1</b:RefOrder>
  </b:Source>
  <b:Source>
    <b:Tag>Cre99</b:Tag>
    <b:SourceType>Book</b:SourceType>
    <b:Guid>{9DF38373-97CA-46C4-832D-9116B7CA8A51}</b:Guid>
    <b:Title>La Prueba por soportes informáticos</b:Title>
    <b:Year>1999</b:Year>
    <b:Pages>174</b:Pages>
    <b:Author>
      <b:Author>
        <b:NameList>
          <b:Person>
            <b:Last>Carolina</b:Last>
            <b:First>Sanchis</b:First>
            <b:Middle>Crespo</b:Middle>
          </b:Person>
        </b:NameList>
      </b:Author>
    </b:Author>
    <b:Publisher>Tirant lo Blanch</b:Publisher>
    <b:City>Valencia</b:City>
    <b:CountryRegion>España</b:CountryRegion>
    <b:NumberVolumes>7</b:NumberVolumes>
    <b:ShortTitle>Abogacía Práctica</b:ShortTitle>
    <b:RefOrder>2</b:RefOrder>
  </b:Source>
  <b:Source>
    <b:Tag>Inc24</b:Tag>
    <b:SourceType>JournalArticle</b:SourceType>
    <b:Guid>{06C64A0A-6B7C-4070-A7F3-8C81260940A2}</b:Guid>
    <b:Author>
      <b:Author>
        <b:NameList>
          <b:Person>
            <b:Last>Inca</b:Last>
            <b:First>Manuel</b:First>
            <b:Middle>Alejandro Reyes</b:Middle>
          </b:Person>
        </b:NameList>
      </b:Author>
    </b:Author>
    <b:Title>La Prueba Digital en los procesos civiles y su prohibición</b:Title>
    <b:JournalName>LATAM Revista Latinoamericana de Ciencias Sociales y Humaninadaes</b:JournalName>
    <b:Year>2024</b:Year>
    <b:Pages>3697</b:Pages>
    <b:Volume>V</b:Volume>
    <b:Issue>6</b:Issue>
    <b:DOI>10.56712/latam</b:DOI>
    <b:City>Asunción</b:City>
    <b:Month>1</b:Month>
    <b:Day>9</b:Day>
    <b:RefOrder>3</b:RefOrder>
  </b:Source>
  <b:Source>
    <b:Tag>Mar26</b:Tag>
    <b:SourceType>JournalArticle</b:SourceType>
    <b:Guid>{4F3173A7-65BF-40DD-BB10-30B591F2ABD3}</b:Guid>
    <b:Title>El Debido Proceso y la Práctica de la Prueba Digital: Una lectura crítica desde el Derecho Procesal Civil en Ecuador</b:Title>
    <b:Year>2026</b:Year>
    <b:DOI>10.56519/n97hgx40</b:DOI>
    <b:LCID>es-EC</b:LCID>
    <b:Author>
      <b:Author>
        <b:NameList>
          <b:Person>
            <b:Last>Torres</b:Last>
            <b:First>Marcelo</b:First>
            <b:Middle>Hermes Nazate Paillacho y Roberto Carlos Viscarra</b:Middle>
          </b:Person>
        </b:NameList>
      </b:Author>
    </b:Author>
    <b:JournalName>Revista Científica Multidisciplinaria</b:JournalName>
    <b:Pages>11</b:Pages>
    <b:Volume>7</b:Volume>
    <b:Issue>19</b:Issue>
    <b:RefOrder>4</b:RefOrder>
  </b:Source>
  <b:Source>
    <b:Tag>Nac15</b:Tag>
    <b:SourceType>Book</b:SourceType>
    <b:Guid>{6002E10C-B5FA-4484-B614-E140161A293B}</b:Guid>
    <b:Title>Código Orgánico General de Procesos</b:Title>
    <b:Year>2015</b:Year>
    <b:Volume>|</b:Volume>
    <b:Author>
      <b:Author>
        <b:NameList>
          <b:Person>
            <b:Last>Nacional</b:Last>
            <b:First>Asamblea</b:First>
          </b:Person>
        </b:NameList>
      </b:Author>
    </b:Author>
    <b:Publisher>Corporación de Estudios y Publicaciones</b:Publisher>
    <b:City>Quito</b:City>
    <b:StateProvince>Pichincha</b:StateProvince>
    <b:CountryRegion>Ecuador</b:CountryRegion>
    <b:Edition>Primera</b:Edition>
    <b:RefOrder>5</b:RefOrder>
  </b:Source>
  <b:Source>
    <b:Tag>Nac23</b:Tag>
    <b:SourceType>Book</b:SourceType>
    <b:Guid>{BB875170-B2AE-445E-8E76-8102C0F43DAF}</b:Guid>
    <b:Author>
      <b:Author>
        <b:NameList>
          <b:Person>
            <b:Last>Nacional</b:Last>
            <b:First>Congreso</b:First>
          </b:Person>
        </b:NameList>
      </b:Author>
    </b:Author>
    <b:Title>Ley de Comercio Eléctrónico, Firmas Electrónicas y Mensajes de Datos</b:Title>
    <b:Year>2023</b:Year>
    <b:Publisher>Registro Oficial</b:Publisher>
    <b:City>Quito</b:City>
    <b:StateProvince>Pichincha</b:StateProvince>
    <b:CountryRegion>Quito</b:CountryRegion>
    <b:Volume>Tercer Suplemento al Registro Oficial No. 245, del 7 de noviembre de 2003</b:Volume>
    <b:ShortTitle>Ley No. 2002-67</b:ShortTitle>
    <b:RefOrder>6</b:RefOrder>
  </b:Source>
  <b:Source>
    <b:Tag>Pai26</b:Tag>
    <b:SourceType>JournalArticle</b:SourceType>
    <b:Guid>{1067A56F-6725-4D53-A80C-5448CFAE237D}</b:Guid>
    <b:Title>El Debido Proceso y la Práctica de la Prueba digital: Una lectura crítica desde el derecho procesal civil en el Ecuador</b:Title>
    <b:Year>2026</b:Year>
    <b:DOI>10.56519/n97hgx40</b:DOI>
    <b:Month>marzo</b:Month>
    <b:Day>31</b:Day>
    <b:Author>
      <b:Author>
        <b:NameList>
          <b:Person>
            <b:Last>Paillacho</b:Last>
            <b:First>Marcelo</b:First>
            <b:Middle>Hemes Nazate</b:Middle>
          </b:Person>
          <b:Person>
            <b:Last>Torres</b:Last>
            <b:First>Roberto</b:First>
            <b:Middle>Carlos Viscarra</b:Middle>
          </b:Person>
        </b:NameList>
      </b:Author>
    </b:Author>
    <b:JournalName>Revista Científica Multidisciplinaria Investigo</b:JournalName>
    <b:Pages>225-235</b:Pages>
    <b:Volume>7</b:Volume>
    <b:Issue>19</b:Issue>
    <b:City>Riobamba</b:City>
    <b:RefOrder>7</b:RefOrder>
  </b:Source>
  <b:Source>
    <b:Tag>Qui25</b:Tag>
    <b:SourceType>JournalArticle</b:SourceType>
    <b:Guid>{DC266A64-2C6F-4594-8897-784522164799}</b:Guid>
    <b:Author>
      <b:Author>
        <b:NameList>
          <b:Person>
            <b:Last>Quinche Álvarez F.G.</b:Last>
            <b:First>Endara</b:First>
            <b:Middle>- Almeida L.M., Herrera - Herrera G.C.</b:Middle>
          </b:Person>
        </b:NameList>
      </b:Author>
    </b:Author>
    <b:Title>La cadena de custodia en la producción de la prueba digital</b:Title>
    <b:JournalName>Journal Scientific</b:JournalName>
    <b:Year>2025</b:Year>
    <b:Pages>1-21</b:Pages>
    <b:Volume>9</b:Volume>
    <b:Issue>3</b:Issue>
    <b:DOI>10.56048/MQR</b:DOI>
    <b:Month>9</b:Month>
    <b:Day>30</b:Day>
    <b:RefOrder>8</b:RefOrder>
  </b:Source>
  <b:Source>
    <b:Tag>Mez24</b:Tag>
    <b:SourceType>JournalArticle</b:SourceType>
    <b:Guid>{DEFAF26A-3626-4CB9-9B3D-A237B0878893}</b:Guid>
    <b:Author>
      <b:Author>
        <b:NameList>
          <b:Person>
            <b:Last>Meza</b:Last>
            <b:First>Marina</b:First>
            <b:Middle>Inés</b:Middle>
          </b:Person>
        </b:NameList>
      </b:Author>
    </b:Author>
    <b:Title>La Prueba Digital en el proceso civil oral de Cordoba</b:Title>
    <b:JournalName>Anuario de Derecho Civil</b:JournalName>
    <b:Year>2024</b:Year>
    <b:Pages>140-160</b:Pages>
    <b:Issue>XIV</b:Issue>
    <b:DOI>10.225297/adc</b:DOI>
    <b:City>Córdoba</b:City>
    <b:RefOrder>9</b:RefOrder>
  </b:Source>
  <b:Source>
    <b:Tag>Jac24</b:Tag>
    <b:SourceType>JournalArticle</b:SourceType>
    <b:Guid>{811FD703-B777-487B-8935-B4A109705CCB}</b:Guid>
    <b:Title>La Incorporación de la Prueba Digital en el Derecho Procesal ecuatoriano</b:Title>
    <b:Year>2024</b:Year>
    <b:Author>
      <b:Author>
        <b:NameList>
          <b:Person>
            <b:Last>Revilla</b:Last>
            <b:First>Jackson</b:First>
            <b:Middle>Alvarado Imaicela</b:Middle>
          </b:Person>
          <b:Person>
            <b:Last>Ajila</b:Last>
            <b:First>Lissette</b:First>
            <b:Middle>Amelia Alvarado</b:Middle>
          </b:Person>
        </b:NameList>
      </b:Author>
    </b:Author>
    <b:JournalName>Revista n Investigación en Ciencias Jurídicas</b:JournalName>
    <b:Pages>1338-1350</b:Pages>
    <b:Volume>7</b:Volume>
    <b:Issue>27</b:Issue>
    <b:RefOrder>10</b:RefOrder>
  </b:Source>
  <b:Source>
    <b:Tag>Int25</b:Tag>
    <b:SourceType>JournalArticle</b:SourceType>
    <b:Guid>{8D3A1B68-940A-40D4-9527-AF0C8EB9F043}</b:Guid>
    <b:Author>
      <b:Author>
        <b:NameList>
          <b:Person>
            <b:Last>Intriago</b:Last>
            <b:First>Tamara</b:First>
            <b:Middle>Paola Hidrovo</b:Middle>
          </b:Person>
          <b:Person>
            <b:Last>Mieles</b:Last>
            <b:First>Neicer</b:First>
            <b:Middle>Jonathan Menéndez</b:Middle>
          </b:Person>
          <b:Person>
            <b:Last>Gaibor</b:Last>
            <b:First>Edward</b:First>
            <b:Middle>Fabricio Freire</b:Middle>
          </b:Person>
        </b:NameList>
      </b:Author>
    </b:Author>
    <b:Title>Vacíos Normativos en la producción de pruebas documentales en audiencias telemáticas</b:Title>
    <b:JournalName>Revista de Investigación en Ciencias Jurídicas Lex</b:JournalName>
    <b:Year>2025</b:Year>
    <b:Pages>1491-1506</b:Pages>
    <b:Volume>8</b:Volume>
    <b:Issue>30</b:Issue>
    <b:DOI>10.33996</b:DOI>
    <b:Month>8</b:Month>
    <b:Day>2</b:Day>
    <b:RefOrder>11</b:RefOrder>
  </b:Source>
  <b:Source>
    <b:Tag>HUG</b:Tag>
    <b:SourceType>Book</b:SourceType>
    <b:Guid>{8CA312DB-D4CE-469C-A3A4-87340B4817C8}</b:Guid>
    <b:Author>
      <b:Author>
        <b:NameList>
          <b:Person>
            <b:Last>HUG</b:Last>
          </b:Person>
        </b:NameList>
      </b:Author>
    </b:Author>
    <b:RefOrder>12</b:RefOrder>
  </b:Source>
  <b:Source>
    <b:Tag>MarcadorDePosición1</b:Tag>
    <b:SourceType>Misc</b:SourceType>
    <b:Guid>{6A043875-3F6B-491B-9975-0E789C903FFB}</b:Guid>
    <b:Author>
      <b:Author>
        <b:NameList>
          <b:Person>
            <b:Last>Nacional</b:Last>
            <b:First>Asamblea</b:First>
          </b:Person>
        </b:NameList>
      </b:Author>
    </b:Author>
    <b:Title>Ley de Comercio Eléctrónico, Firmas Electrónicas y Mensajes de Datos</b:Title>
    <b:Year>2023</b:Year>
    <b:Publisher>Registro Oficial</b:Publisher>
    <b:City>Quito</b:City>
    <b:StateProvince>Pichincha</b:StateProvince>
    <b:CountryRegion>Quito</b:CountryRegion>
    <b:Volume>Tercer Suplemento al Registro Oficial No. 245, del 7 de noviembre de 2003</b:Volume>
    <b:ShortTitle>Ley No. 2002-67</b:ShortTitle>
    <b:RefOrder>13</b:RefOrder>
  </b:Source>
  <b:Source>
    <b:Tag>MarcadorDePosición2</b:Tag>
    <b:SourceType>Misc</b:SourceType>
    <b:Guid>{21281824-14E0-4DB5-A838-D7818336E189}</b:Guid>
    <b:Title>Código Orgánico General de Procesos</b:Title>
    <b:Year>2015</b:Year>
    <b:Volume>|</b:Volume>
    <b:Author>
      <b:Author>
        <b:NameList>
          <b:Person>
            <b:Last>Nacional</b:Last>
            <b:First>Asamblea</b:First>
          </b:Person>
        </b:NameList>
      </b:Author>
    </b:Author>
    <b:Publisher>Corporación de Estudios y Publicaciones</b:Publisher>
    <b:City>Quito</b:City>
    <b:StateProvince>Pichincha</b:StateProvince>
    <b:CountryRegion>Ecuador</b:CountryRegion>
    <b:Edition>Primera</b:Edition>
    <b:RefOrder>14</b:RefOrder>
  </b:Source>
  <b:Source>
    <b:Tag>Pro26</b:Tag>
    <b:SourceType>Case</b:SourceType>
    <b:Guid>{E96089D3-B658-448E-B371-865FE29F6A87}</b:Guid>
    <b:Title>Proceso Judicial</b:Title>
    <b:Year>2026</b:Year>
    <b:Month>Febrero</b:Month>
    <b:Day>26</b:Day>
    <b:CaseNumber>09332-2024-11545</b:CaseNumber>
    <b:Court>Tercer Tribunal de la Sala Especializada de lo Civil de la Corte Provincial de Justicia</b:Court>
    <b:RefOrder>15</b:RefOrder>
  </b:Source>
</b:Sources>
</file>

<file path=customXml/itemProps1.xml><?xml version="1.0" encoding="utf-8"?>
<ds:datastoreItem xmlns:ds="http://schemas.openxmlformats.org/officeDocument/2006/customXml" ds:itemID="{68002F7C-C744-4BF7-BA14-C69C21DF0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306</TotalTime>
  <Pages>15</Pages>
  <Words>4678</Words>
  <Characters>25734</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Maria Gabriela Mayorga Contreras</cp:lastModifiedBy>
  <cp:revision>12</cp:revision>
  <dcterms:created xsi:type="dcterms:W3CDTF">2026-04-21T18:45:00Z</dcterms:created>
  <dcterms:modified xsi:type="dcterms:W3CDTF">2026-08-13T01:53:00Z</dcterms:modified>
  <cp:category>Categoria</cp:category>
  <cp:contentStatus>Estado</cp:contentStatus>
</cp:coreProperties>
</file>