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8992F" w14:textId="1B84FD1D" w:rsidR="001571A2" w:rsidRDefault="001571A2" w:rsidP="001571A2">
      <w:pPr>
        <w:pStyle w:val="TtCap"/>
        <w:jc w:val="right"/>
        <w:rPr>
          <w:color w:val="auto"/>
        </w:rPr>
      </w:pPr>
      <w:r>
        <w:rPr>
          <w:color w:val="auto"/>
        </w:rPr>
        <w:t>CAPÍTULO V</w:t>
      </w:r>
    </w:p>
    <w:p w14:paraId="53F485B9" w14:textId="31899151" w:rsidR="0015066B" w:rsidRPr="001E1053" w:rsidRDefault="002728CB" w:rsidP="0015066B">
      <w:pPr>
        <w:pStyle w:val="TtCap"/>
        <w:rPr>
          <w:color w:val="auto"/>
        </w:rPr>
      </w:pPr>
      <w:r w:rsidRPr="001E1053">
        <w:rPr>
          <w:color w:val="auto"/>
        </w:rPr>
        <w:t xml:space="preserve">Armonización societaria en la </w:t>
      </w:r>
      <w:r w:rsidR="00590BC8" w:rsidRPr="001E1053">
        <w:rPr>
          <w:color w:val="auto"/>
        </w:rPr>
        <w:t>Región Andina: Análisis compara</w:t>
      </w:r>
      <w:r w:rsidRPr="001E1053">
        <w:rPr>
          <w:color w:val="auto"/>
        </w:rPr>
        <w:t xml:space="preserve">tivo de la Sociedad por Acciones Simplificada (SAS) en Ecuador, Colombia y Perú </w:t>
      </w:r>
    </w:p>
    <w:p w14:paraId="4645F320" w14:textId="3A04D1AC" w:rsidR="0015066B" w:rsidRPr="001E1053" w:rsidRDefault="00590BC8" w:rsidP="0015066B">
      <w:pPr>
        <w:pStyle w:val="Autor"/>
        <w:rPr>
          <w:color w:val="auto"/>
        </w:rPr>
      </w:pPr>
      <w:r w:rsidRPr="001E1053">
        <w:rPr>
          <w:color w:val="auto"/>
        </w:rPr>
        <w:t>Ab. rolando ludeña ocampo</w:t>
      </w:r>
    </w:p>
    <w:p w14:paraId="69FA3E26" w14:textId="5E0514F8" w:rsidR="0015066B" w:rsidRPr="001E1053" w:rsidRDefault="00590BC8" w:rsidP="0015066B">
      <w:pPr>
        <w:pStyle w:val="Adscripcin"/>
        <w:rPr>
          <w:color w:val="auto"/>
        </w:rPr>
      </w:pPr>
      <w:r w:rsidRPr="001E1053">
        <w:rPr>
          <w:color w:val="auto"/>
        </w:rPr>
        <w:t>Universidad Católica de Santiago de Guayaquil</w:t>
      </w:r>
    </w:p>
    <w:p w14:paraId="6A02D415" w14:textId="59A7C1D2" w:rsidR="0015066B" w:rsidRPr="001E1053" w:rsidRDefault="0015066B" w:rsidP="0015066B">
      <w:pPr>
        <w:pStyle w:val="Adscripcin"/>
        <w:rPr>
          <w:color w:val="auto"/>
        </w:rPr>
      </w:pPr>
    </w:p>
    <w:p w14:paraId="7FB42A6F" w14:textId="1EE7E7FC" w:rsidR="009C0DFA" w:rsidRPr="001E1053" w:rsidRDefault="00721EBE" w:rsidP="00C45F7D">
      <w:pPr>
        <w:pStyle w:val="Ttulo1"/>
      </w:pPr>
      <w:r w:rsidRPr="001E1053">
        <w:t xml:space="preserve">1. </w:t>
      </w:r>
      <w:r w:rsidR="0015066B" w:rsidRPr="001E1053">
        <w:t>Introducción</w:t>
      </w:r>
      <w:r w:rsidR="00754E94" w:rsidRPr="001E1053">
        <w:t xml:space="preserve"> </w:t>
      </w:r>
    </w:p>
    <w:p w14:paraId="69E68965" w14:textId="5E50308F" w:rsidR="002B43C1" w:rsidRPr="001E1053" w:rsidRDefault="002B43C1" w:rsidP="002B43C1">
      <w:pPr>
        <w:rPr>
          <w:lang w:val="es-EC"/>
        </w:rPr>
      </w:pPr>
      <w:r w:rsidRPr="001E1053">
        <w:rPr>
          <w:lang w:val="es-EC"/>
        </w:rPr>
        <w:t>Las normas societarias restrictivas y el excesivo formalismo para la constitución de compañías en los países de la región andina, así como el requerimiento de capitales mínimos de constitución o el número mínimo o máximo de socios o accionistas requeridos para la formación de compañías tradicionales, tienen como efecto que los empresarios migren a otras jurisdicciones mucho más flexibles o amistosas para constituir sus empresas, según</w:t>
      </w:r>
      <w:r w:rsidR="00C21ACF">
        <w:rPr>
          <w:lang w:val="es-EC"/>
        </w:rPr>
        <w:t xml:space="preserve"> el autor</w:t>
      </w:r>
      <w:r w:rsidR="006E09B0">
        <w:rPr>
          <w:lang w:val="es-EC"/>
        </w:rPr>
        <w:t xml:space="preserve"> </w:t>
      </w:r>
      <w:sdt>
        <w:sdtPr>
          <w:rPr>
            <w:lang w:val="es-EC"/>
          </w:rPr>
          <w:id w:val="1578858636"/>
          <w:citation/>
        </w:sdtPr>
        <w:sdtEndPr/>
        <w:sdtContent>
          <w:r w:rsidR="006E09B0">
            <w:rPr>
              <w:lang w:val="es-EC"/>
            </w:rPr>
            <w:fldChar w:fldCharType="begin"/>
          </w:r>
          <w:r w:rsidR="006E09B0">
            <w:rPr>
              <w:lang w:val="es-EC"/>
            </w:rPr>
            <w:instrText xml:space="preserve"> CITATION Vil24 \l 12298 </w:instrText>
          </w:r>
          <w:r w:rsidR="006E09B0">
            <w:rPr>
              <w:lang w:val="es-EC"/>
            </w:rPr>
            <w:fldChar w:fldCharType="separate"/>
          </w:r>
          <w:r w:rsidR="006E09B0" w:rsidRPr="006E09B0">
            <w:rPr>
              <w:noProof/>
              <w:lang w:val="es-EC"/>
            </w:rPr>
            <w:t>(Reyes Villamizar, 2024)</w:t>
          </w:r>
          <w:r w:rsidR="006E09B0">
            <w:rPr>
              <w:lang w:val="es-EC"/>
            </w:rPr>
            <w:fldChar w:fldCharType="end"/>
          </w:r>
        </w:sdtContent>
      </w:sdt>
      <w:r w:rsidR="006E09B0">
        <w:rPr>
          <w:lang w:val="es-EC"/>
        </w:rPr>
        <w:t xml:space="preserve"> “</w:t>
      </w:r>
      <w:r w:rsidR="00BC0C9E" w:rsidRPr="001E1053">
        <w:rPr>
          <w:lang w:val="es-EC"/>
        </w:rPr>
        <w:t>la</w:t>
      </w:r>
      <w:r w:rsidR="00AB2434">
        <w:rPr>
          <w:lang w:val="es-EC"/>
        </w:rPr>
        <w:t>s</w:t>
      </w:r>
      <w:r w:rsidR="00BC0C9E" w:rsidRPr="001E1053">
        <w:rPr>
          <w:lang w:val="es-EC"/>
        </w:rPr>
        <w:t xml:space="preserve"> entidades de derecho p</w:t>
      </w:r>
      <w:r w:rsidRPr="001E1053">
        <w:rPr>
          <w:lang w:val="es-EC"/>
        </w:rPr>
        <w:t>rivado no ha</w:t>
      </w:r>
      <w:r w:rsidR="00BC0C9E" w:rsidRPr="001E1053">
        <w:rPr>
          <w:lang w:val="es-EC"/>
        </w:rPr>
        <w:t>n</w:t>
      </w:r>
      <w:r w:rsidRPr="001E1053">
        <w:rPr>
          <w:lang w:val="es-EC"/>
        </w:rPr>
        <w:t xml:space="preserve"> respondido al reto de suministrarle a los inversionistas una estructura adecuada para la actividad empresarial y desarrollo de la región</w:t>
      </w:r>
      <w:r w:rsidR="006E09B0">
        <w:rPr>
          <w:lang w:val="es-EC"/>
        </w:rPr>
        <w:t>” (Prefacio VIII)</w:t>
      </w:r>
    </w:p>
    <w:p w14:paraId="4C31CAE5" w14:textId="22DF7863" w:rsidR="002B43C1" w:rsidRPr="001E1053" w:rsidRDefault="002B43C1" w:rsidP="002B43C1">
      <w:pPr>
        <w:rPr>
          <w:lang w:val="es-EC"/>
        </w:rPr>
      </w:pPr>
      <w:r w:rsidRPr="001E1053">
        <w:rPr>
          <w:lang w:val="es-EC"/>
        </w:rPr>
        <w:t xml:space="preserve">Esta migración tiene severas consecuencias para los países, pues disminuye significativamente </w:t>
      </w:r>
      <w:r w:rsidR="00391D8B">
        <w:rPr>
          <w:lang w:val="es-EC"/>
        </w:rPr>
        <w:t>la innovación</w:t>
      </w:r>
      <w:r w:rsidRPr="001E1053">
        <w:rPr>
          <w:lang w:val="es-EC"/>
        </w:rPr>
        <w:t>,</w:t>
      </w:r>
      <w:r w:rsidR="00BC0C9E" w:rsidRPr="001E1053">
        <w:rPr>
          <w:lang w:val="es-EC"/>
        </w:rPr>
        <w:t xml:space="preserve"> </w:t>
      </w:r>
      <w:r w:rsidR="00391D8B">
        <w:rPr>
          <w:lang w:val="es-EC"/>
        </w:rPr>
        <w:t>el número</w:t>
      </w:r>
      <w:r w:rsidR="00BC0C9E" w:rsidRPr="001E1053">
        <w:rPr>
          <w:lang w:val="es-EC"/>
        </w:rPr>
        <w:t xml:space="preserve"> de contribuyentes, las </w:t>
      </w:r>
      <w:r w:rsidRPr="001E1053">
        <w:rPr>
          <w:lang w:val="es-EC"/>
        </w:rPr>
        <w:t>fuentes de empleo,</w:t>
      </w:r>
      <w:r w:rsidR="00BC0C9E" w:rsidRPr="001E1053">
        <w:rPr>
          <w:lang w:val="es-EC"/>
        </w:rPr>
        <w:t xml:space="preserve"> la </w:t>
      </w:r>
      <w:r w:rsidRPr="001E1053">
        <w:rPr>
          <w:lang w:val="es-EC"/>
        </w:rPr>
        <w:t xml:space="preserve">capacidad de exportación, </w:t>
      </w:r>
      <w:r w:rsidR="00BC0C9E" w:rsidRPr="001E1053">
        <w:rPr>
          <w:lang w:val="es-EC"/>
        </w:rPr>
        <w:t>el</w:t>
      </w:r>
      <w:r w:rsidRPr="001E1053">
        <w:rPr>
          <w:lang w:val="es-EC"/>
        </w:rPr>
        <w:t xml:space="preserve"> producto interno bruto, y por ende su capacidad de redistribuir riqueza incidiendo negativamente en el nivel de bienestar social y económico de</w:t>
      </w:r>
      <w:r w:rsidR="00DF1ACD">
        <w:rPr>
          <w:lang w:val="es-EC"/>
        </w:rPr>
        <w:t xml:space="preserve"> </w:t>
      </w:r>
      <w:r w:rsidRPr="001E1053">
        <w:rPr>
          <w:lang w:val="es-EC"/>
        </w:rPr>
        <w:t>l</w:t>
      </w:r>
      <w:r w:rsidR="00DF1ACD">
        <w:rPr>
          <w:lang w:val="es-EC"/>
        </w:rPr>
        <w:t xml:space="preserve">os </w:t>
      </w:r>
      <w:r w:rsidR="00174EF5">
        <w:rPr>
          <w:lang w:val="es-EC"/>
        </w:rPr>
        <w:t>paíse</w:t>
      </w:r>
      <w:r w:rsidR="00174EF5" w:rsidRPr="001E1053">
        <w:rPr>
          <w:lang w:val="es-EC"/>
        </w:rPr>
        <w:t>s</w:t>
      </w:r>
      <w:r w:rsidRPr="001E1053">
        <w:rPr>
          <w:lang w:val="es-EC"/>
        </w:rPr>
        <w:t>. El artículo 5 numeral 2 de</w:t>
      </w:r>
      <w:r w:rsidR="00E60CAE">
        <w:rPr>
          <w:lang w:val="es-EC"/>
        </w:rPr>
        <w:t xml:space="preserve"> la Ley Orgánica de Emprendimiento e Innovación</w:t>
      </w:r>
      <w:r w:rsidRPr="001E1053">
        <w:rPr>
          <w:lang w:val="es-EC"/>
        </w:rPr>
        <w:t xml:space="preserve"> </w:t>
      </w:r>
      <w:sdt>
        <w:sdtPr>
          <w:rPr>
            <w:lang w:val="es-EC"/>
          </w:rPr>
          <w:id w:val="-1991940113"/>
          <w:citation/>
        </w:sdtPr>
        <w:sdtEndPr/>
        <w:sdtContent>
          <w:r w:rsidR="00467E68">
            <w:rPr>
              <w:lang w:val="es-EC"/>
            </w:rPr>
            <w:fldChar w:fldCharType="begin"/>
          </w:r>
          <w:r w:rsidR="00467E68">
            <w:rPr>
              <w:lang w:val="es-EC"/>
            </w:rPr>
            <w:instrText xml:space="preserve"> CITATION Ley20 \l 12298 </w:instrText>
          </w:r>
          <w:r w:rsidR="00467E68">
            <w:rPr>
              <w:lang w:val="es-EC"/>
            </w:rPr>
            <w:fldChar w:fldCharType="separate"/>
          </w:r>
          <w:r w:rsidR="00467E68" w:rsidRPr="00467E68">
            <w:rPr>
              <w:noProof/>
              <w:lang w:val="es-EC"/>
            </w:rPr>
            <w:t>(Ecuador, Ley Orgánica de Emprendimiento e Innovación, 2020)</w:t>
          </w:r>
          <w:r w:rsidR="00467E68">
            <w:rPr>
              <w:lang w:val="es-EC"/>
            </w:rPr>
            <w:fldChar w:fldCharType="end"/>
          </w:r>
        </w:sdtContent>
      </w:sdt>
      <w:r w:rsidRPr="001E1053">
        <w:rPr>
          <w:lang w:val="es-EC"/>
        </w:rPr>
        <w:t xml:space="preserve">, establece como una </w:t>
      </w:r>
      <w:r w:rsidR="006D64BB">
        <w:rPr>
          <w:lang w:val="es-EC"/>
        </w:rPr>
        <w:t>“</w:t>
      </w:r>
      <w:r w:rsidRPr="001E1053">
        <w:rPr>
          <w:lang w:val="es-EC"/>
        </w:rPr>
        <w:t>obligación del Estado simplificar los trámites para la creación, operación y cierre de empresas</w:t>
      </w:r>
      <w:r w:rsidR="006D64BB">
        <w:rPr>
          <w:lang w:val="es-EC"/>
        </w:rPr>
        <w:t>”</w:t>
      </w:r>
      <w:r w:rsidR="00467E68">
        <w:rPr>
          <w:lang w:val="es-EC"/>
        </w:rPr>
        <w:t>.</w:t>
      </w:r>
      <w:r w:rsidRPr="001E1053">
        <w:rPr>
          <w:lang w:val="es-EC"/>
        </w:rPr>
        <w:t xml:space="preserve"> </w:t>
      </w:r>
    </w:p>
    <w:p w14:paraId="2D419FEA" w14:textId="204CE541" w:rsidR="002B43C1" w:rsidRPr="001E1053" w:rsidRDefault="002B43C1" w:rsidP="002B43C1">
      <w:pPr>
        <w:rPr>
          <w:lang w:val="es-EC"/>
        </w:rPr>
      </w:pPr>
      <w:r w:rsidRPr="001E1053">
        <w:rPr>
          <w:lang w:val="es-EC"/>
        </w:rPr>
        <w:t>Esta situación hace imprescindible avanzar hacia una flexibilización del derecho societario en los países de la región andina Ecuador, Colombia y Perú</w:t>
      </w:r>
      <w:r w:rsidR="00BC0C9E" w:rsidRPr="001E1053">
        <w:rPr>
          <w:lang w:val="es-EC"/>
        </w:rPr>
        <w:t>, en donde prime</w:t>
      </w:r>
      <w:r w:rsidRPr="001E1053">
        <w:rPr>
          <w:lang w:val="es-EC"/>
        </w:rPr>
        <w:t xml:space="preserve"> la voluntad contractual de los empresarios por </w:t>
      </w:r>
      <w:r w:rsidRPr="001E1053">
        <w:rPr>
          <w:lang w:val="es-EC"/>
        </w:rPr>
        <w:lastRenderedPageBreak/>
        <w:t>sobre la formalidad de normas imperativas.</w:t>
      </w:r>
      <w:r w:rsidR="00E34883">
        <w:rPr>
          <w:lang w:val="es-EC"/>
        </w:rPr>
        <w:t xml:space="preserve"> Según el autor </w:t>
      </w:r>
      <w:sdt>
        <w:sdtPr>
          <w:rPr>
            <w:lang w:val="es-EC"/>
          </w:rPr>
          <w:id w:val="-511533659"/>
          <w:citation/>
        </w:sdtPr>
        <w:sdtEndPr/>
        <w:sdtContent>
          <w:r w:rsidR="00E34883">
            <w:rPr>
              <w:lang w:val="es-EC"/>
            </w:rPr>
            <w:fldChar w:fldCharType="begin"/>
          </w:r>
          <w:r w:rsidR="00E34883">
            <w:rPr>
              <w:lang w:val="es-EC"/>
            </w:rPr>
            <w:instrText xml:space="preserve"> CITATION Vil24 \l 12298 </w:instrText>
          </w:r>
          <w:r w:rsidR="00E34883">
            <w:rPr>
              <w:lang w:val="es-EC"/>
            </w:rPr>
            <w:fldChar w:fldCharType="separate"/>
          </w:r>
          <w:r w:rsidR="00E34883" w:rsidRPr="00E34883">
            <w:rPr>
              <w:noProof/>
              <w:lang w:val="es-EC"/>
            </w:rPr>
            <w:t>(Reyes Villamizar, 2024)</w:t>
          </w:r>
          <w:r w:rsidR="00E34883">
            <w:rPr>
              <w:lang w:val="es-EC"/>
            </w:rPr>
            <w:fldChar w:fldCharType="end"/>
          </w:r>
        </w:sdtContent>
      </w:sdt>
      <w:r w:rsidRPr="001E1053">
        <w:rPr>
          <w:lang w:val="es-EC"/>
        </w:rPr>
        <w:t xml:space="preserve"> </w:t>
      </w:r>
      <w:r w:rsidR="00E34883">
        <w:rPr>
          <w:lang w:val="es-EC"/>
        </w:rPr>
        <w:t>“</w:t>
      </w:r>
      <w:r w:rsidRPr="001E1053">
        <w:rPr>
          <w:lang w:val="es-EC"/>
        </w:rPr>
        <w:t>La flexibilidad en la regulación de la SAS ha permitido regresar al concepto de sociedad – contrato, vale decir, al predominio de la autonomía de la voluntad sobre las reglas de orden imperativo</w:t>
      </w:r>
      <w:r w:rsidR="00E34883">
        <w:rPr>
          <w:lang w:val="es-EC"/>
        </w:rPr>
        <w:t>”</w:t>
      </w:r>
      <w:r w:rsidRPr="001E1053">
        <w:rPr>
          <w:lang w:val="es-EC"/>
        </w:rPr>
        <w:t>.</w:t>
      </w:r>
      <w:r w:rsidR="007D2DA1">
        <w:rPr>
          <w:lang w:val="es-EC"/>
        </w:rPr>
        <w:t xml:space="preserve"> (p. 4)</w:t>
      </w:r>
      <w:r w:rsidRPr="001E1053">
        <w:rPr>
          <w:lang w:val="es-EC"/>
        </w:rPr>
        <w:t xml:space="preserve">   </w:t>
      </w:r>
    </w:p>
    <w:p w14:paraId="49A09CFD" w14:textId="521FBD8A" w:rsidR="002B43C1" w:rsidRPr="001E1053" w:rsidRDefault="002B43C1" w:rsidP="002B43C1">
      <w:pPr>
        <w:rPr>
          <w:lang w:val="es-EC"/>
        </w:rPr>
      </w:pPr>
      <w:r w:rsidRPr="001E1053">
        <w:rPr>
          <w:lang w:val="es-EC"/>
        </w:rPr>
        <w:t xml:space="preserve">Estos países han realizado una serie de cambios estructurales económicos de cara al mercado global, la suscripción de convenios internacionales, la firma de tratados de libre comercio, el incremento de las exportaciones, la internacionalización de servicios profesionales, </w:t>
      </w:r>
      <w:r w:rsidR="00022B02" w:rsidRPr="001E1053">
        <w:rPr>
          <w:lang w:val="es-EC"/>
        </w:rPr>
        <w:t>tienen</w:t>
      </w:r>
      <w:r w:rsidR="00A6376D" w:rsidRPr="001E1053">
        <w:rPr>
          <w:lang w:val="es-EC"/>
        </w:rPr>
        <w:t xml:space="preserve"> </w:t>
      </w:r>
      <w:r w:rsidRPr="001E1053">
        <w:rPr>
          <w:lang w:val="es-EC"/>
        </w:rPr>
        <w:t>como resultado que cada vez más empresarios extranjeros deseen invertir en Ecuador, Colombia y Perú, sin embargo esta inversión extranjera se ha visto ralentizada por los diferentes sistemas normativos imperativos societarios de la región, siendo necesaria su actualización y armonización. De acuerdo con el autor</w:t>
      </w:r>
      <w:r w:rsidR="00EA4A6E">
        <w:rPr>
          <w:lang w:val="es-EC"/>
        </w:rPr>
        <w:t xml:space="preserve"> </w:t>
      </w:r>
      <w:sdt>
        <w:sdtPr>
          <w:rPr>
            <w:lang w:val="es-EC"/>
          </w:rPr>
          <w:id w:val="-208185551"/>
          <w:citation/>
        </w:sdtPr>
        <w:sdtEndPr/>
        <w:sdtContent>
          <w:r w:rsidR="00EA4A6E">
            <w:rPr>
              <w:lang w:val="es-EC"/>
            </w:rPr>
            <w:fldChar w:fldCharType="begin"/>
          </w:r>
          <w:r w:rsidR="00EA4A6E">
            <w:rPr>
              <w:lang w:val="es-EC"/>
            </w:rPr>
            <w:instrText xml:space="preserve"> CITATION Vil24 \l 12298 </w:instrText>
          </w:r>
          <w:r w:rsidR="00EA4A6E">
            <w:rPr>
              <w:lang w:val="es-EC"/>
            </w:rPr>
            <w:fldChar w:fldCharType="separate"/>
          </w:r>
          <w:r w:rsidR="00EA4A6E" w:rsidRPr="00EA4A6E">
            <w:rPr>
              <w:noProof/>
              <w:lang w:val="es-EC"/>
            </w:rPr>
            <w:t>(Reyes Villamizar, 2024)</w:t>
          </w:r>
          <w:r w:rsidR="00EA4A6E">
            <w:rPr>
              <w:lang w:val="es-EC"/>
            </w:rPr>
            <w:fldChar w:fldCharType="end"/>
          </w:r>
        </w:sdtContent>
      </w:sdt>
      <w:r w:rsidR="00EA4A6E">
        <w:rPr>
          <w:lang w:val="es-EC"/>
        </w:rPr>
        <w:t xml:space="preserve"> “</w:t>
      </w:r>
      <w:r w:rsidRPr="001E1053">
        <w:rPr>
          <w:lang w:val="es-EC"/>
        </w:rPr>
        <w:t>durante las últimas décadas, los países de esta región han experimentado cambios estructurales significativos, lo cual podría ser un factor determinante para el desarrollo futuro de la región</w:t>
      </w:r>
      <w:r w:rsidR="00EA4A6E">
        <w:rPr>
          <w:lang w:val="es-EC"/>
        </w:rPr>
        <w:t>”. (p. 40)</w:t>
      </w:r>
    </w:p>
    <w:p w14:paraId="31B36C9A" w14:textId="54523CEF" w:rsidR="002B43C1" w:rsidRPr="001E1053" w:rsidRDefault="002B43C1" w:rsidP="002B43C1">
      <w:pPr>
        <w:rPr>
          <w:lang w:val="es-EC"/>
        </w:rPr>
      </w:pPr>
      <w:r w:rsidRPr="00C359F8">
        <w:rPr>
          <w:lang w:val="es-EC"/>
        </w:rPr>
        <w:t>En este contexto</w:t>
      </w:r>
      <w:r w:rsidR="00A906EC" w:rsidRPr="00C359F8">
        <w:rPr>
          <w:lang w:val="es-EC"/>
        </w:rPr>
        <w:t>,</w:t>
      </w:r>
      <w:r w:rsidRPr="00C359F8">
        <w:rPr>
          <w:lang w:val="es-EC"/>
        </w:rPr>
        <w:t xml:space="preserve"> la Sociedad por Acciones Simplificada (SAS), q</w:t>
      </w:r>
      <w:r w:rsidR="00B41804" w:rsidRPr="00C359F8">
        <w:rPr>
          <w:lang w:val="es-EC"/>
        </w:rPr>
        <w:t>ue</w:t>
      </w:r>
      <w:r w:rsidR="00B0360C" w:rsidRPr="00C359F8">
        <w:rPr>
          <w:lang w:val="es-EC"/>
        </w:rPr>
        <w:t xml:space="preserve"> según el autor </w:t>
      </w:r>
      <w:sdt>
        <w:sdtPr>
          <w:rPr>
            <w:lang w:val="es-EC"/>
          </w:rPr>
          <w:id w:val="-887257466"/>
          <w:citation/>
        </w:sdtPr>
        <w:sdtEndPr/>
        <w:sdtContent>
          <w:r w:rsidR="00B0360C" w:rsidRPr="00C359F8">
            <w:rPr>
              <w:lang w:val="es-EC"/>
            </w:rPr>
            <w:fldChar w:fldCharType="begin"/>
          </w:r>
          <w:r w:rsidR="00B0360C" w:rsidRPr="00C359F8">
            <w:rPr>
              <w:lang w:val="es-EC"/>
            </w:rPr>
            <w:instrText xml:space="preserve"> CITATION DrC24 \l 12298 </w:instrText>
          </w:r>
          <w:r w:rsidR="00B0360C" w:rsidRPr="00C359F8">
            <w:rPr>
              <w:lang w:val="es-EC"/>
            </w:rPr>
            <w:fldChar w:fldCharType="separate"/>
          </w:r>
          <w:r w:rsidR="00B0360C" w:rsidRPr="00C359F8">
            <w:rPr>
              <w:noProof/>
              <w:lang w:val="es-EC"/>
            </w:rPr>
            <w:t>(Bustamante Fuentes, 2024)</w:t>
          </w:r>
          <w:r w:rsidR="00B0360C" w:rsidRPr="00C359F8">
            <w:rPr>
              <w:lang w:val="es-EC"/>
            </w:rPr>
            <w:fldChar w:fldCharType="end"/>
          </w:r>
        </w:sdtContent>
      </w:sdt>
      <w:r w:rsidR="00B0360C" w:rsidRPr="00C359F8">
        <w:rPr>
          <w:lang w:val="es-EC"/>
        </w:rPr>
        <w:t xml:space="preserve"> </w:t>
      </w:r>
      <w:r w:rsidR="00B41804" w:rsidRPr="00C359F8">
        <w:rPr>
          <w:lang w:val="es-EC"/>
        </w:rPr>
        <w:t>tuvo</w:t>
      </w:r>
      <w:r w:rsidRPr="00C359F8">
        <w:rPr>
          <w:lang w:val="es-EC"/>
        </w:rPr>
        <w:t xml:space="preserve"> su origen en Francia</w:t>
      </w:r>
      <w:r w:rsidR="00B0360C" w:rsidRPr="00C359F8">
        <w:rPr>
          <w:lang w:val="es-EC"/>
        </w:rPr>
        <w:t xml:space="preserve"> (p. 142</w:t>
      </w:r>
      <w:r w:rsidRPr="001E1053">
        <w:rPr>
          <w:lang w:val="es-EC"/>
        </w:rPr>
        <w:t xml:space="preserve">, luego es contextualizada y adoptada por Colombia </w:t>
      </w:r>
      <w:sdt>
        <w:sdtPr>
          <w:rPr>
            <w:lang w:val="es-EC"/>
          </w:rPr>
          <w:id w:val="-819649537"/>
          <w:citation/>
        </w:sdtPr>
        <w:sdtEndPr/>
        <w:sdtContent>
          <w:r w:rsidRPr="001E1053">
            <w:rPr>
              <w:lang w:val="es-EC"/>
            </w:rPr>
            <w:fldChar w:fldCharType="begin"/>
          </w:r>
          <w:r w:rsidRPr="001E1053">
            <w:rPr>
              <w:lang w:val="es-EC"/>
            </w:rPr>
            <w:instrText xml:space="preserve"> CITATION Col08 \l 12298 </w:instrText>
          </w:r>
          <w:r w:rsidRPr="001E1053">
            <w:rPr>
              <w:lang w:val="es-EC"/>
            </w:rPr>
            <w:fldChar w:fldCharType="separate"/>
          </w:r>
          <w:r w:rsidR="006E09B0" w:rsidRPr="006E09B0">
            <w:rPr>
              <w:noProof/>
              <w:lang w:val="es-EC"/>
            </w:rPr>
            <w:t>(Colombia, Ley 1258 de 2008, 2008)</w:t>
          </w:r>
          <w:r w:rsidRPr="001E1053">
            <w:fldChar w:fldCharType="end"/>
          </w:r>
        </w:sdtContent>
      </w:sdt>
      <w:r w:rsidRPr="001E1053">
        <w:rPr>
          <w:lang w:val="es-EC"/>
        </w:rPr>
        <w:t xml:space="preserve"> y posteriormente adoptada por Ecuador </w:t>
      </w:r>
      <w:sdt>
        <w:sdtPr>
          <w:rPr>
            <w:lang w:val="es-EC"/>
          </w:rPr>
          <w:id w:val="-738017782"/>
          <w:citation/>
        </w:sdtPr>
        <w:sdtEndPr/>
        <w:sdtContent>
          <w:r w:rsidRPr="001E1053">
            <w:rPr>
              <w:lang w:val="es-EC"/>
            </w:rPr>
            <w:fldChar w:fldCharType="begin"/>
          </w:r>
          <w:r w:rsidRPr="001E1053">
            <w:rPr>
              <w:lang w:val="es-EC"/>
            </w:rPr>
            <w:instrText xml:space="preserve"> CITATION Ley20 \l 12298 </w:instrText>
          </w:r>
          <w:r w:rsidRPr="001E1053">
            <w:rPr>
              <w:lang w:val="es-EC"/>
            </w:rPr>
            <w:fldChar w:fldCharType="separate"/>
          </w:r>
          <w:r w:rsidR="006E09B0" w:rsidRPr="006E09B0">
            <w:rPr>
              <w:noProof/>
              <w:lang w:val="es-EC"/>
            </w:rPr>
            <w:t>(Ecuador, Ley Orgánica de Emprendimiento e Innovación, 2020)</w:t>
          </w:r>
          <w:r w:rsidRPr="001E1053">
            <w:fldChar w:fldCharType="end"/>
          </w:r>
        </w:sdtContent>
      </w:sdt>
      <w:r w:rsidR="00A906EC" w:rsidRPr="001E1053">
        <w:rPr>
          <w:lang w:val="es-EC"/>
        </w:rPr>
        <w:t xml:space="preserve"> </w:t>
      </w:r>
      <w:r w:rsidRPr="001E1053">
        <w:rPr>
          <w:lang w:val="es-EC"/>
        </w:rPr>
        <w:t xml:space="preserve">y Perú </w:t>
      </w:r>
      <w:sdt>
        <w:sdtPr>
          <w:rPr>
            <w:lang w:val="es-EC"/>
          </w:rPr>
          <w:id w:val="-1895030836"/>
          <w:citation/>
        </w:sdtPr>
        <w:sdtEndPr/>
        <w:sdtContent>
          <w:r w:rsidRPr="001E1053">
            <w:rPr>
              <w:lang w:val="es-EC"/>
            </w:rPr>
            <w:fldChar w:fldCharType="begin"/>
          </w:r>
          <w:r w:rsidRPr="001E1053">
            <w:rPr>
              <w:lang w:val="es-EC"/>
            </w:rPr>
            <w:instrText xml:space="preserve"> CITATION Pre18 \l 12298 </w:instrText>
          </w:r>
          <w:r w:rsidRPr="001E1053">
            <w:rPr>
              <w:lang w:val="es-EC"/>
            </w:rPr>
            <w:fldChar w:fldCharType="separate"/>
          </w:r>
          <w:r w:rsidR="006E09B0" w:rsidRPr="006E09B0">
            <w:rPr>
              <w:noProof/>
              <w:lang w:val="es-EC"/>
            </w:rPr>
            <w:t>(Perú, Decreto Legislativo 1409, 2018)</w:t>
          </w:r>
          <w:r w:rsidRPr="001E1053">
            <w:fldChar w:fldCharType="end"/>
          </w:r>
        </w:sdtContent>
      </w:sdt>
      <w:r w:rsidRPr="001E1053">
        <w:rPr>
          <w:lang w:val="es-EC"/>
        </w:rPr>
        <w:t>, es considerada por algunos autores como un referente de innovación jurídica regional.</w:t>
      </w:r>
    </w:p>
    <w:p w14:paraId="4B5A2FDA" w14:textId="211ADF0F" w:rsidR="002B43C1" w:rsidRPr="001D0D33" w:rsidRDefault="002B43C1" w:rsidP="002B43C1">
      <w:pPr>
        <w:rPr>
          <w:lang w:val="es-EC"/>
        </w:rPr>
      </w:pPr>
      <w:r w:rsidRPr="00B35CE7">
        <w:rPr>
          <w:lang w:val="es-EC"/>
        </w:rPr>
        <w:t>Según el autor</w:t>
      </w:r>
      <w:r w:rsidR="00B35CE7" w:rsidRPr="00B35CE7">
        <w:rPr>
          <w:lang w:val="es-EC"/>
        </w:rPr>
        <w:t xml:space="preserve"> </w:t>
      </w:r>
      <w:sdt>
        <w:sdtPr>
          <w:rPr>
            <w:lang w:val="es-EC"/>
          </w:rPr>
          <w:id w:val="890158084"/>
          <w:citation/>
        </w:sdtPr>
        <w:sdtEndPr/>
        <w:sdtContent>
          <w:r w:rsidR="00B35CE7" w:rsidRPr="00B35CE7">
            <w:rPr>
              <w:lang w:val="es-EC"/>
            </w:rPr>
            <w:fldChar w:fldCharType="begin"/>
          </w:r>
          <w:r w:rsidR="00B35CE7" w:rsidRPr="00B35CE7">
            <w:rPr>
              <w:lang w:val="es-EC"/>
            </w:rPr>
            <w:instrText xml:space="preserve"> CITATION DrC24 \l 12298 </w:instrText>
          </w:r>
          <w:r w:rsidR="00B35CE7" w:rsidRPr="00B35CE7">
            <w:rPr>
              <w:lang w:val="es-EC"/>
            </w:rPr>
            <w:fldChar w:fldCharType="separate"/>
          </w:r>
          <w:r w:rsidR="00B35CE7" w:rsidRPr="00B35CE7">
            <w:rPr>
              <w:noProof/>
              <w:lang w:val="es-EC"/>
            </w:rPr>
            <w:t>(Bustamante Fuentes, 2024)</w:t>
          </w:r>
          <w:r w:rsidR="00B35CE7" w:rsidRPr="00B35CE7">
            <w:rPr>
              <w:lang w:val="es-EC"/>
            </w:rPr>
            <w:fldChar w:fldCharType="end"/>
          </w:r>
        </w:sdtContent>
      </w:sdt>
      <w:r w:rsidR="00B35CE7" w:rsidRPr="00B35CE7">
        <w:rPr>
          <w:lang w:val="es-EC"/>
        </w:rPr>
        <w:t xml:space="preserve"> ¨</w:t>
      </w:r>
      <w:r w:rsidRPr="00B35CE7">
        <w:rPr>
          <w:lang w:val="es-EC"/>
        </w:rPr>
        <w:t>la SAS es un paradigma de ideas e innovación jurídica</w:t>
      </w:r>
      <w:r w:rsidR="00B35CE7" w:rsidRPr="00B35CE7">
        <w:rPr>
          <w:lang w:val="es-EC"/>
        </w:rPr>
        <w:t>¨. (p. 139)</w:t>
      </w:r>
      <w:r w:rsidRPr="001E1053">
        <w:rPr>
          <w:lang w:val="es-EC"/>
        </w:rPr>
        <w:t>, cuyo rol en el derecho societario marca un hito histórico, un antes y un después para el derecho societario latinoamericano, principalmente porque se aleja de m</w:t>
      </w:r>
      <w:r w:rsidR="00DC4A22">
        <w:rPr>
          <w:lang w:val="es-EC"/>
        </w:rPr>
        <w:t xml:space="preserve">odelos normativos imperativos, </w:t>
      </w:r>
      <w:r w:rsidRPr="001E1053">
        <w:rPr>
          <w:lang w:val="es-EC"/>
        </w:rPr>
        <w:t>anticuados y migra hacia un modelo normativo dispositiv</w:t>
      </w:r>
      <w:r w:rsidRPr="001D0D33">
        <w:rPr>
          <w:lang w:val="es-EC"/>
        </w:rPr>
        <w:t>o, en donde prima la amplia facultad contractual de las partes.</w:t>
      </w:r>
    </w:p>
    <w:p w14:paraId="5DEAAB37" w14:textId="1F8283FD" w:rsidR="002B43C1" w:rsidRPr="001E1053" w:rsidRDefault="002B43C1" w:rsidP="002B43C1">
      <w:pPr>
        <w:rPr>
          <w:lang w:val="es-EC"/>
        </w:rPr>
      </w:pPr>
      <w:r w:rsidRPr="001D0D33">
        <w:rPr>
          <w:lang w:val="es-EC"/>
        </w:rPr>
        <w:t>El mismo autor</w:t>
      </w:r>
      <w:r w:rsidR="0097643B" w:rsidRPr="001D0D33">
        <w:rPr>
          <w:lang w:val="es-EC"/>
        </w:rPr>
        <w:t xml:space="preserve"> </w:t>
      </w:r>
      <w:sdt>
        <w:sdtPr>
          <w:rPr>
            <w:lang w:val="es-EC"/>
          </w:rPr>
          <w:id w:val="922679433"/>
          <w:citation/>
        </w:sdtPr>
        <w:sdtEndPr/>
        <w:sdtContent>
          <w:r w:rsidR="0097643B" w:rsidRPr="001D0D33">
            <w:rPr>
              <w:lang w:val="es-EC"/>
            </w:rPr>
            <w:fldChar w:fldCharType="begin"/>
          </w:r>
          <w:r w:rsidR="0097643B" w:rsidRPr="001D0D33">
            <w:rPr>
              <w:lang w:val="es-EC"/>
            </w:rPr>
            <w:instrText xml:space="preserve"> CITATION DrC24 \l 12298 </w:instrText>
          </w:r>
          <w:r w:rsidR="0097643B" w:rsidRPr="001D0D33">
            <w:rPr>
              <w:lang w:val="es-EC"/>
            </w:rPr>
            <w:fldChar w:fldCharType="separate"/>
          </w:r>
          <w:r w:rsidR="0097643B" w:rsidRPr="001D0D33">
            <w:rPr>
              <w:noProof/>
              <w:lang w:val="es-EC"/>
            </w:rPr>
            <w:t>(Bustamante Fuentes, 2024)</w:t>
          </w:r>
          <w:r w:rsidR="0097643B" w:rsidRPr="001D0D33">
            <w:rPr>
              <w:lang w:val="es-EC"/>
            </w:rPr>
            <w:fldChar w:fldCharType="end"/>
          </w:r>
        </w:sdtContent>
      </w:sdt>
      <w:r w:rsidRPr="001D0D33">
        <w:rPr>
          <w:lang w:val="es-EC"/>
        </w:rPr>
        <w:t xml:space="preserve"> expresa que </w:t>
      </w:r>
      <w:r w:rsidR="0097643B" w:rsidRPr="001D0D33">
        <w:rPr>
          <w:lang w:val="es-EC"/>
        </w:rPr>
        <w:t>“</w:t>
      </w:r>
      <w:r w:rsidRPr="001D0D33">
        <w:rPr>
          <w:lang w:val="es-EC"/>
        </w:rPr>
        <w:t>la SAS se</w:t>
      </w:r>
      <w:r w:rsidR="0097643B" w:rsidRPr="001D0D33">
        <w:rPr>
          <w:lang w:val="es-EC"/>
        </w:rPr>
        <w:t xml:space="preserve"> caracteriza por conjugar la amplísima libertad contractual propia de las sociedades personalistas con las ventajas de la limitación de responsabilidad y de financiamiento, propia de las sociedades de capital¨. (p. </w:t>
      </w:r>
      <w:r w:rsidR="0097643B" w:rsidRPr="001D0D33">
        <w:rPr>
          <w:lang w:val="es-EC"/>
        </w:rPr>
        <w:lastRenderedPageBreak/>
        <w:t>153)</w:t>
      </w:r>
      <w:r w:rsidRPr="001D0D33">
        <w:rPr>
          <w:lang w:val="es-EC"/>
        </w:rPr>
        <w:t>, con normas sencillas y flexibles que hace</w:t>
      </w:r>
      <w:r w:rsidR="00265AB3" w:rsidRPr="001D0D33">
        <w:rPr>
          <w:lang w:val="es-EC"/>
        </w:rPr>
        <w:t>n</w:t>
      </w:r>
      <w:r w:rsidRPr="001D0D33">
        <w:rPr>
          <w:lang w:val="es-EC"/>
        </w:rPr>
        <w:t xml:space="preserve"> de este tipo de compañía i</w:t>
      </w:r>
      <w:r w:rsidRPr="001E1053">
        <w:rPr>
          <w:lang w:val="es-EC"/>
        </w:rPr>
        <w:t>deal para empresas pequeñas, medianas, grandes e inclusive multinacionales, promoviendo la inversión extranjera directa en la región, según el autor</w:t>
      </w:r>
      <w:r w:rsidR="00565647">
        <w:rPr>
          <w:lang w:val="es-EC"/>
        </w:rPr>
        <w:t xml:space="preserve"> </w:t>
      </w:r>
      <w:sdt>
        <w:sdtPr>
          <w:rPr>
            <w:lang w:val="es-EC"/>
          </w:rPr>
          <w:id w:val="1931701121"/>
          <w:citation/>
        </w:sdtPr>
        <w:sdtEndPr/>
        <w:sdtContent>
          <w:r w:rsidR="00565647">
            <w:rPr>
              <w:lang w:val="es-EC"/>
            </w:rPr>
            <w:fldChar w:fldCharType="begin"/>
          </w:r>
          <w:r w:rsidR="00565647">
            <w:rPr>
              <w:lang w:val="es-EC"/>
            </w:rPr>
            <w:instrText xml:space="preserve"> CITATION Vil24 \l 12298 </w:instrText>
          </w:r>
          <w:r w:rsidR="00565647">
            <w:rPr>
              <w:lang w:val="es-EC"/>
            </w:rPr>
            <w:fldChar w:fldCharType="separate"/>
          </w:r>
          <w:r w:rsidR="00565647" w:rsidRPr="00565647">
            <w:rPr>
              <w:noProof/>
              <w:lang w:val="es-EC"/>
            </w:rPr>
            <w:t>(Reyes Villamizar, 2024)</w:t>
          </w:r>
          <w:r w:rsidR="00565647">
            <w:rPr>
              <w:lang w:val="es-EC"/>
            </w:rPr>
            <w:fldChar w:fldCharType="end"/>
          </w:r>
        </w:sdtContent>
      </w:sdt>
      <w:r w:rsidR="00565647">
        <w:rPr>
          <w:lang w:val="es-EC"/>
        </w:rPr>
        <w:t xml:space="preserve"> </w:t>
      </w:r>
      <w:r w:rsidR="006D64BB">
        <w:rPr>
          <w:lang w:val="es-EC"/>
        </w:rPr>
        <w:t>“</w:t>
      </w:r>
      <w:r w:rsidRPr="001E1053">
        <w:rPr>
          <w:lang w:val="es-EC"/>
        </w:rPr>
        <w:t>no es correcto considerar a la SAS como un instrumento diseñado exclusivamente para la microempresa o para las llamadas pymes</w:t>
      </w:r>
      <w:r w:rsidR="006D64BB">
        <w:rPr>
          <w:lang w:val="es-EC"/>
        </w:rPr>
        <w:t>”</w:t>
      </w:r>
      <w:r w:rsidR="00565647">
        <w:rPr>
          <w:lang w:val="es-EC"/>
        </w:rPr>
        <w:t>. (p. 6)</w:t>
      </w:r>
    </w:p>
    <w:p w14:paraId="0EB741D6" w14:textId="4ADB7FF3" w:rsidR="002B43C1" w:rsidRPr="001E1053" w:rsidRDefault="002B43C1" w:rsidP="002B43C1">
      <w:pPr>
        <w:rPr>
          <w:lang w:val="es-EC"/>
        </w:rPr>
      </w:pPr>
      <w:r w:rsidRPr="001E1053">
        <w:rPr>
          <w:lang w:val="es-EC"/>
        </w:rPr>
        <w:t>Una armonización societaria en la región andina implicaría una competencia leal entre los tres países para la atracción de inversión extranjera directa, tanto de la región andina, como latinoamericana y mundial, implicaría además la profundización del comercio y el mayor establecimiento de empresas entre los tres países pues tendrían un marco societario común, conocido, fiable, flexible, sencillo, con normas dispositivas no imperativas que valor</w:t>
      </w:r>
      <w:r w:rsidR="007E2D6E">
        <w:rPr>
          <w:lang w:val="es-EC"/>
        </w:rPr>
        <w:t>e</w:t>
      </w:r>
      <w:r w:rsidRPr="001E1053">
        <w:rPr>
          <w:lang w:val="es-EC"/>
        </w:rPr>
        <w:t>n la voluntad contractual de los empresarios, según el mismo autor mencionado</w:t>
      </w:r>
      <w:r w:rsidR="009B3D68">
        <w:rPr>
          <w:lang w:val="es-EC"/>
        </w:rPr>
        <w:t xml:space="preserve"> </w:t>
      </w:r>
      <w:sdt>
        <w:sdtPr>
          <w:rPr>
            <w:lang w:val="es-EC"/>
          </w:rPr>
          <w:id w:val="-633712334"/>
          <w:citation/>
        </w:sdtPr>
        <w:sdtEndPr/>
        <w:sdtContent>
          <w:r w:rsidR="009B3D68">
            <w:rPr>
              <w:lang w:val="es-EC"/>
            </w:rPr>
            <w:fldChar w:fldCharType="begin"/>
          </w:r>
          <w:r w:rsidR="009B3D68">
            <w:rPr>
              <w:lang w:val="es-EC"/>
            </w:rPr>
            <w:instrText xml:space="preserve"> CITATION Vil24 \l 12298 </w:instrText>
          </w:r>
          <w:r w:rsidR="009B3D68">
            <w:rPr>
              <w:lang w:val="es-EC"/>
            </w:rPr>
            <w:fldChar w:fldCharType="separate"/>
          </w:r>
          <w:r w:rsidR="009B3D68" w:rsidRPr="009B3D68">
            <w:rPr>
              <w:noProof/>
              <w:lang w:val="es-EC"/>
            </w:rPr>
            <w:t>(Reyes Villamizar, 2024)</w:t>
          </w:r>
          <w:r w:rsidR="009B3D68">
            <w:rPr>
              <w:lang w:val="es-EC"/>
            </w:rPr>
            <w:fldChar w:fldCharType="end"/>
          </w:r>
        </w:sdtContent>
      </w:sdt>
      <w:r w:rsidRPr="001E1053">
        <w:rPr>
          <w:lang w:val="es-EC"/>
        </w:rPr>
        <w:t xml:space="preserve"> </w:t>
      </w:r>
      <w:r w:rsidR="009B3D68">
        <w:rPr>
          <w:lang w:val="es-EC"/>
        </w:rPr>
        <w:t>“</w:t>
      </w:r>
      <w:r w:rsidRPr="001E1053">
        <w:rPr>
          <w:lang w:val="es-EC"/>
        </w:rPr>
        <w:t xml:space="preserve">para que este proceso sea exitoso, </w:t>
      </w:r>
      <w:r w:rsidR="00D12061">
        <w:rPr>
          <w:lang w:val="es-EC"/>
        </w:rPr>
        <w:t>“</w:t>
      </w:r>
      <w:r w:rsidRPr="001E1053">
        <w:rPr>
          <w:lang w:val="es-EC"/>
        </w:rPr>
        <w:t>es indispensable que se ajuste la infraestructura normativa de los países del área, pues la existencia de un régimen legal apropiado contribuye al sistema de libre intercambio de bienes y servicios</w:t>
      </w:r>
      <w:r w:rsidR="00D12061">
        <w:rPr>
          <w:lang w:val="es-EC"/>
        </w:rPr>
        <w:t>”</w:t>
      </w:r>
      <w:r w:rsidR="009B3D68">
        <w:rPr>
          <w:lang w:val="es-EC"/>
        </w:rPr>
        <w:t xml:space="preserve"> (p. 41)</w:t>
      </w:r>
      <w:r w:rsidRPr="001E1053">
        <w:rPr>
          <w:lang w:val="es-EC"/>
        </w:rPr>
        <w:t xml:space="preserve"> </w:t>
      </w:r>
    </w:p>
    <w:p w14:paraId="70DA0308" w14:textId="309C44DC" w:rsidR="00607EE3" w:rsidRPr="00C302E3" w:rsidRDefault="00607EE3" w:rsidP="009E2480">
      <w:pPr>
        <w:pStyle w:val="Ttulo1"/>
      </w:pPr>
      <w:r>
        <w:t>2. Objetivo</w:t>
      </w:r>
    </w:p>
    <w:p w14:paraId="1024AB32" w14:textId="10000069" w:rsidR="004307D4" w:rsidRDefault="007B3D9A" w:rsidP="005A43E3">
      <w:r>
        <w:rPr>
          <w:lang w:val="es-EC"/>
        </w:rPr>
        <w:t>E</w:t>
      </w:r>
      <w:r w:rsidR="00265AB3" w:rsidRPr="00265AB3">
        <w:rPr>
          <w:lang w:val="es-EC"/>
        </w:rPr>
        <w:t>l objetivo de</w:t>
      </w:r>
      <w:r>
        <w:rPr>
          <w:lang w:val="es-EC"/>
        </w:rPr>
        <w:t>l presente</w:t>
      </w:r>
      <w:r w:rsidR="00265AB3" w:rsidRPr="00265AB3">
        <w:rPr>
          <w:lang w:val="es-EC"/>
        </w:rPr>
        <w:t xml:space="preserve"> artículo científico, es llegar a determinar si existe armonización normativa de la SAS en Ecuador, Colombia y Perú</w:t>
      </w:r>
      <w:r w:rsidR="001917D9">
        <w:rPr>
          <w:lang w:val="es-EC"/>
        </w:rPr>
        <w:t>. A</w:t>
      </w:r>
      <w:r w:rsidR="00265AB3" w:rsidRPr="00265AB3">
        <w:rPr>
          <w:lang w:val="es-EC"/>
        </w:rPr>
        <w:t>cadémicamente es relevante llegar a esta determinación por los cuantiosos beneficios que obtendrían los tres países de la región, de llegar a alcanzar una armonización normativa societaria formal y funcional por medio de la SAS, según el autor</w:t>
      </w:r>
      <w:r w:rsidR="00F45C5C">
        <w:rPr>
          <w:lang w:val="es-EC"/>
        </w:rPr>
        <w:t xml:space="preserve"> </w:t>
      </w:r>
      <w:sdt>
        <w:sdtPr>
          <w:rPr>
            <w:lang w:val="es-EC"/>
          </w:rPr>
          <w:id w:val="906488592"/>
          <w:citation/>
        </w:sdtPr>
        <w:sdtEndPr/>
        <w:sdtContent>
          <w:r w:rsidR="00F45C5C">
            <w:rPr>
              <w:lang w:val="es-EC"/>
            </w:rPr>
            <w:fldChar w:fldCharType="begin"/>
          </w:r>
          <w:r w:rsidR="00F45C5C">
            <w:rPr>
              <w:lang w:val="es-EC"/>
            </w:rPr>
            <w:instrText xml:space="preserve"> CITATION Vil24 \l 12298 </w:instrText>
          </w:r>
          <w:r w:rsidR="00F45C5C">
            <w:rPr>
              <w:lang w:val="es-EC"/>
            </w:rPr>
            <w:fldChar w:fldCharType="separate"/>
          </w:r>
          <w:r w:rsidR="00F45C5C" w:rsidRPr="00F45C5C">
            <w:rPr>
              <w:noProof/>
              <w:lang w:val="es-EC"/>
            </w:rPr>
            <w:t>(Reyes Villamizar, 2024)</w:t>
          </w:r>
          <w:r w:rsidR="00F45C5C">
            <w:rPr>
              <w:lang w:val="es-EC"/>
            </w:rPr>
            <w:fldChar w:fldCharType="end"/>
          </w:r>
        </w:sdtContent>
      </w:sdt>
      <w:r w:rsidR="00265AB3" w:rsidRPr="00265AB3">
        <w:rPr>
          <w:lang w:val="es-EC"/>
        </w:rPr>
        <w:t xml:space="preserve"> </w:t>
      </w:r>
      <w:r w:rsidR="00F45C5C">
        <w:rPr>
          <w:lang w:val="es-EC"/>
        </w:rPr>
        <w:t>“</w:t>
      </w:r>
      <w:r w:rsidR="00265AB3" w:rsidRPr="00265AB3">
        <w:rPr>
          <w:lang w:val="es-EC"/>
        </w:rPr>
        <w:t>se procura que los inversionistas entren en contacto con empresarios locales, y puedan hablar el mismo idioma jurídico y estructurar sus relaciones económicas conforme a las pautas jurídicas que prevalecen en los negocios internacionales</w:t>
      </w:r>
      <w:r w:rsidR="009F7FC1">
        <w:rPr>
          <w:lang w:val="es-EC"/>
        </w:rPr>
        <w:t>”</w:t>
      </w:r>
      <w:r w:rsidR="00F45C5C">
        <w:rPr>
          <w:lang w:val="es-EC"/>
        </w:rPr>
        <w:t>. (p. 8)</w:t>
      </w:r>
    </w:p>
    <w:p w14:paraId="2708A763" w14:textId="4D768474" w:rsidR="005A43E3" w:rsidRPr="005A43E3" w:rsidRDefault="005A43E3" w:rsidP="005A43E3">
      <w:pPr>
        <w:pStyle w:val="Ttulo1"/>
      </w:pPr>
      <w:r>
        <w:t xml:space="preserve">3. </w:t>
      </w:r>
      <w:r w:rsidRPr="004770A2">
        <w:t>Metodología</w:t>
      </w:r>
    </w:p>
    <w:p w14:paraId="4DA28D92" w14:textId="7CA70644" w:rsidR="00665887" w:rsidRDefault="00665887" w:rsidP="005A43E3">
      <w:r>
        <w:t>La metodología utilizada es</w:t>
      </w:r>
      <w:r w:rsidR="009578AE">
        <w:t xml:space="preserve"> cualitativa, realizando</w:t>
      </w:r>
      <w:r>
        <w:t xml:space="preserve"> el a</w:t>
      </w:r>
      <w:r w:rsidRPr="00665887">
        <w:t>nálisis de derecho comparado sistemático de tres cuerpos legales:</w:t>
      </w:r>
      <w:r>
        <w:t xml:space="preserve"> La</w:t>
      </w:r>
      <w:r w:rsidRPr="00665887">
        <w:t xml:space="preserve"> Ley Orgánica de </w:t>
      </w:r>
      <w:r w:rsidRPr="00665887">
        <w:lastRenderedPageBreak/>
        <w:t>Emprendi</w:t>
      </w:r>
      <w:r>
        <w:t>miento e Innovación ecuatoriana,</w:t>
      </w:r>
      <w:r w:rsidRPr="00665887">
        <w:t xml:space="preserve"> la Ley 1258 colombiana, y el Decreto Legislativo No.1409 peruano.</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1E6EAB2D" w14:textId="77777777" w:rsidR="00666755" w:rsidRDefault="00666755" w:rsidP="0015066B">
      <w:r w:rsidRPr="00666755">
        <w:t>Existe una armonización societaria formal y funcional en las SAS de Ecuador y Colombia,</w:t>
      </w:r>
      <w:r>
        <w:t xml:space="preserve"> pues</w:t>
      </w:r>
      <w:r w:rsidRPr="00666755">
        <w:t xml:space="preserve"> comparten normas estructurales, constitución flexible, por instrumento privado, por acto unilateral. Comparten similares características de aportación y constitución de capital, diferentes clases y series de acciones, con diferentes atribuciones de voto. Comparten normas armónicas de gobierno, estructura administrativa, de control y representación legal, y de actos societarios. </w:t>
      </w:r>
    </w:p>
    <w:p w14:paraId="6BF8DF3E" w14:textId="15298260" w:rsidR="0015066B" w:rsidRDefault="00666755" w:rsidP="0015066B">
      <w:r w:rsidRPr="00666755">
        <w:t xml:space="preserve">Respecto de la normativa peruana, determinamos que no existe una armonización normativa con las dos normas </w:t>
      </w:r>
      <w:r w:rsidR="0091106C">
        <w:t xml:space="preserve">antes </w:t>
      </w:r>
      <w:r w:rsidRPr="00666755">
        <w:t xml:space="preserve">mencionadas, </w:t>
      </w:r>
      <w:r w:rsidR="0091106C">
        <w:t xml:space="preserve">y solamente </w:t>
      </w:r>
      <w:r w:rsidRPr="00666755">
        <w:t xml:space="preserve">resulta en una </w:t>
      </w:r>
      <w:r w:rsidRPr="00666755">
        <w:rPr>
          <w:lang w:val="es-EC"/>
        </w:rPr>
        <w:t>convergencia parcial con divergencias estructurales</w:t>
      </w:r>
      <w:r w:rsidRPr="00666755">
        <w:t>.</w:t>
      </w:r>
    </w:p>
    <w:p w14:paraId="740C7DA7" w14:textId="45BFE6AC" w:rsidR="00CE0F4B" w:rsidRDefault="002A43CD" w:rsidP="002A43CD">
      <w:pPr>
        <w:pStyle w:val="Ttulo1"/>
      </w:pPr>
      <w:r w:rsidRPr="002A43CD">
        <w:t>5.</w:t>
      </w:r>
      <w:r>
        <w:t xml:space="preserve"> </w:t>
      </w:r>
      <w:r w:rsidR="00CE0F4B">
        <w:t>discusión</w:t>
      </w:r>
    </w:p>
    <w:p w14:paraId="45EE1500" w14:textId="77777777" w:rsidR="00A25590" w:rsidRPr="00A25590" w:rsidRDefault="00A25590" w:rsidP="00A40C25">
      <w:pPr>
        <w:pStyle w:val="Ttulo2"/>
      </w:pPr>
      <w:r w:rsidRPr="00A25590">
        <w:rPr>
          <w:lang w:val="es-EC"/>
        </w:rPr>
        <w:t>La Armonización normativa y el Derecho Societario</w:t>
      </w:r>
    </w:p>
    <w:p w14:paraId="59A8894D" w14:textId="40D07181" w:rsidR="00A25590" w:rsidRPr="00A25590" w:rsidRDefault="00A25590" w:rsidP="00A25590">
      <w:r w:rsidRPr="00A25590">
        <w:t xml:space="preserve">La globalización e integración mercantil regional y mundial es un hecho innegable y un desafío del derecho societario, la interacción comercial entre los países andinos principalmente con los Estados Unidos de América y con los países de la Comunidad Económica Europea es </w:t>
      </w:r>
      <w:r w:rsidR="00614C2A">
        <w:t>evidente</w:t>
      </w:r>
      <w:r w:rsidRPr="00A25590">
        <w:t xml:space="preserve">, esta globalización se ha visto acentuada por diferentes factores como son la ausencia prácticamente de barreras en la comunicación internacional, la virtualidad de las reuniones de negocios, la disminución de la barrera del idioma, el comercio global por internet, las redes sociales y las plataformas de pagos, la migración de personas entre los diferentes países y continentes, la intervención cada vez más generalizada de inversionistas y empresas extranjeras en los diferentes países, </w:t>
      </w:r>
      <w:r w:rsidR="005574C3">
        <w:t xml:space="preserve">esto </w:t>
      </w:r>
      <w:r w:rsidRPr="00A25590">
        <w:t xml:space="preserve">ha ocasionado que </w:t>
      </w:r>
      <w:r w:rsidR="00B867E4">
        <w:t>los</w:t>
      </w:r>
      <w:r w:rsidRPr="00A25590">
        <w:t xml:space="preserve"> inversionistas extranjeros generalmente de países más desarrollados en legislación mercantil, contractual y societaria, tengan la necesidad de comunicarse en el mismo idioma normativo societario y por lo tanto la necesidad de que existan en los diversos </w:t>
      </w:r>
      <w:r w:rsidRPr="00A25590">
        <w:lastRenderedPageBreak/>
        <w:t>países estructuras societarias parecidas, homogéneas, armónicas. De acuerdo al autor</w:t>
      </w:r>
      <w:r w:rsidR="0082447F">
        <w:t xml:space="preserve"> </w:t>
      </w:r>
      <w:sdt>
        <w:sdtPr>
          <w:id w:val="1292628013"/>
          <w:citation/>
        </w:sdtPr>
        <w:sdtEndPr/>
        <w:sdtContent>
          <w:r w:rsidR="0082447F">
            <w:fldChar w:fldCharType="begin"/>
          </w:r>
          <w:r w:rsidR="0082447F">
            <w:rPr>
              <w:lang w:val="es-EC"/>
            </w:rPr>
            <w:instrText xml:space="preserve"> CITATION Vil24 \l 12298 </w:instrText>
          </w:r>
          <w:r w:rsidR="0082447F">
            <w:fldChar w:fldCharType="separate"/>
          </w:r>
          <w:r w:rsidR="0082447F" w:rsidRPr="0082447F">
            <w:rPr>
              <w:noProof/>
              <w:lang w:val="es-EC"/>
            </w:rPr>
            <w:t>(Reyes Villamizar, 2024)</w:t>
          </w:r>
          <w:r w:rsidR="0082447F">
            <w:fldChar w:fldCharType="end"/>
          </w:r>
        </w:sdtContent>
      </w:sdt>
      <w:r w:rsidRPr="00A25590">
        <w:t xml:space="preserve"> </w:t>
      </w:r>
      <w:r w:rsidR="006C5327">
        <w:t>“</w:t>
      </w:r>
      <w:r w:rsidRPr="00A25590">
        <w:t>debe reconocerse la necesidad de importar instituciones jurídicas que han tenido éxito comprobado en otras naciones</w:t>
      </w:r>
      <w:r w:rsidR="006C5327">
        <w:t>”</w:t>
      </w:r>
      <w:r w:rsidR="0082447F">
        <w:t>. (p. 41)</w:t>
      </w:r>
    </w:p>
    <w:p w14:paraId="31A822D2" w14:textId="58BBE575" w:rsidR="00A25590" w:rsidRPr="00A25590" w:rsidRDefault="00A25590" w:rsidP="00A25590">
      <w:r w:rsidRPr="00A25590">
        <w:t xml:space="preserve">El desarrollo en Estados Unidos de América de las LLC (Limited Liability Company), las LLP (Limited Liability Partnership) y en Francia de las Societé par Acciones Simplifique </w:t>
      </w:r>
      <w:sdt>
        <w:sdtPr>
          <w:id w:val="927852815"/>
          <w:citation/>
        </w:sdtPr>
        <w:sdtEndPr/>
        <w:sdtContent>
          <w:r w:rsidRPr="00A25590">
            <w:fldChar w:fldCharType="begin"/>
          </w:r>
          <w:r w:rsidRPr="00A25590">
            <w:rPr>
              <w:lang w:val="es-EC"/>
            </w:rPr>
            <w:instrText xml:space="preserve">CITATION Vil24 \l 12298 </w:instrText>
          </w:r>
          <w:r w:rsidRPr="00A25590">
            <w:fldChar w:fldCharType="separate"/>
          </w:r>
          <w:r w:rsidR="006E09B0" w:rsidRPr="006E09B0">
            <w:rPr>
              <w:noProof/>
              <w:lang w:val="es-EC"/>
            </w:rPr>
            <w:t>(Reyes Villamizar, 2024)</w:t>
          </w:r>
          <w:r w:rsidRPr="00A25590">
            <w:fldChar w:fldCharType="end"/>
          </w:r>
        </w:sdtContent>
      </w:sdt>
      <w:r w:rsidRPr="00A25590">
        <w:t>, han tenido como</w:t>
      </w:r>
      <w:r w:rsidR="0074399B">
        <w:t xml:space="preserve"> consecuencia</w:t>
      </w:r>
      <w:r w:rsidRPr="00A25590">
        <w:t xml:space="preserve"> la necesidad de armonizar las normas de derecho societario en los difere</w:t>
      </w:r>
      <w:r w:rsidRPr="009036A0">
        <w:t>ntes países de la región andina. En este sentido</w:t>
      </w:r>
      <w:r w:rsidR="00587D96" w:rsidRPr="009036A0">
        <w:t xml:space="preserve"> según el autor </w:t>
      </w:r>
      <w:sdt>
        <w:sdtPr>
          <w:id w:val="-1275706034"/>
          <w:citation/>
        </w:sdtPr>
        <w:sdtEndPr/>
        <w:sdtContent>
          <w:r w:rsidR="00587D96" w:rsidRPr="009036A0">
            <w:fldChar w:fldCharType="begin"/>
          </w:r>
          <w:r w:rsidR="00587D96" w:rsidRPr="009036A0">
            <w:rPr>
              <w:lang w:val="es-EC"/>
            </w:rPr>
            <w:instrText xml:space="preserve"> CITATION DrC24 \l 12298 </w:instrText>
          </w:r>
          <w:r w:rsidR="00587D96" w:rsidRPr="009036A0">
            <w:fldChar w:fldCharType="separate"/>
          </w:r>
          <w:r w:rsidR="00587D96" w:rsidRPr="009036A0">
            <w:rPr>
              <w:noProof/>
              <w:lang w:val="es-EC"/>
            </w:rPr>
            <w:t>(Bustamante Fuentes, 2024)</w:t>
          </w:r>
          <w:r w:rsidR="00587D96" w:rsidRPr="009036A0">
            <w:fldChar w:fldCharType="end"/>
          </w:r>
        </w:sdtContent>
      </w:sdt>
      <w:r w:rsidRPr="009036A0">
        <w:t xml:space="preserve"> </w:t>
      </w:r>
      <w:r w:rsidR="00587D96" w:rsidRPr="009036A0">
        <w:t>“</w:t>
      </w:r>
      <w:r w:rsidRPr="009036A0">
        <w:t>la Organización de Estados Americanos (OEA) ha realizado una loable labor al emitir la Ley Modelo de Sociedad por Acciones Simplificada como un intento de dotar a los diferentes países de una base sólida sobre la cual adaptar sus legislaciones societarias</w:t>
      </w:r>
      <w:r w:rsidR="00587D96" w:rsidRPr="009036A0">
        <w:t>¨</w:t>
      </w:r>
      <w:r w:rsidRPr="009036A0">
        <w:t>.</w:t>
      </w:r>
    </w:p>
    <w:p w14:paraId="1A4C8F95" w14:textId="305D6F20" w:rsidR="00A25590" w:rsidRPr="00A25590" w:rsidRDefault="00A25590" w:rsidP="00A25590">
      <w:r w:rsidRPr="00A25590">
        <w:t>Las legislaciones de países más desarrollados mercantilmente como Estados Unidos de América y los países de la Comunidad Económica Europea en los caso</w:t>
      </w:r>
      <w:r w:rsidR="00590B86">
        <w:t>s</w:t>
      </w:r>
      <w:r w:rsidRPr="00A25590">
        <w:t xml:space="preserve"> de compañías de capital cerrado, han migrado en las últimas décadas, de modelos societarios con normativa imperativa y poco flexible a modelos con normativa dispositiva y mucho más flexible, es decir han migrado a la contractualización del derecho societario, en donde la autonomía de la voluntad contractual privada prima sobre las normativas poco flexibles de orden público, al respecto el autor </w:t>
      </w:r>
      <w:sdt>
        <w:sdtPr>
          <w:id w:val="2144308921"/>
          <w:citation/>
        </w:sdtPr>
        <w:sdtEndPr/>
        <w:sdtContent>
          <w:r w:rsidR="00525097">
            <w:fldChar w:fldCharType="begin"/>
          </w:r>
          <w:r w:rsidR="00525097">
            <w:rPr>
              <w:lang w:val="es-EC"/>
            </w:rPr>
            <w:instrText xml:space="preserve"> CITATION Vil24 \l 12298 </w:instrText>
          </w:r>
          <w:r w:rsidR="00525097">
            <w:fldChar w:fldCharType="separate"/>
          </w:r>
          <w:r w:rsidR="00525097" w:rsidRPr="00525097">
            <w:rPr>
              <w:noProof/>
              <w:lang w:val="es-EC"/>
            </w:rPr>
            <w:t>(Reyes Villamizar, 2024)</w:t>
          </w:r>
          <w:r w:rsidR="00525097">
            <w:fldChar w:fldCharType="end"/>
          </w:r>
        </w:sdtContent>
      </w:sdt>
      <w:r w:rsidR="00525097">
        <w:t xml:space="preserve"> </w:t>
      </w:r>
      <w:r w:rsidRPr="00A25590">
        <w:t xml:space="preserve">expresa que </w:t>
      </w:r>
      <w:r w:rsidR="00525097">
        <w:t>¨</w:t>
      </w:r>
      <w:r w:rsidRPr="00A25590">
        <w:t>la SAS es un tipo de compañía diseñada específicamente para sociedades cerradas por ello su mayor libertad de estipulación contractual</w:t>
      </w:r>
      <w:r w:rsidR="00525097">
        <w:t xml:space="preserve">¨. (p. </w:t>
      </w:r>
      <w:r w:rsidR="00810D4B">
        <w:t>47</w:t>
      </w:r>
      <w:r w:rsidR="00525097">
        <w:t>)</w:t>
      </w:r>
      <w:r w:rsidRPr="00A25590">
        <w:t xml:space="preserve"> </w:t>
      </w:r>
    </w:p>
    <w:p w14:paraId="062D10F0" w14:textId="17DA1633" w:rsidR="00A25590" w:rsidRPr="00EC4A30" w:rsidRDefault="00A25590" w:rsidP="00A25590">
      <w:r w:rsidRPr="00A25590">
        <w:t xml:space="preserve">Esto es de vital importancia para la formalización y constitución de compañías, pues se eliminan los excesivos formalismos para su constitución, se eliminan costos innecesarios notariales, requerimientos mínimos de capital, requerimientos mínimos de números de socios o accionistas, requerimiento de pluralidad de socios, </w:t>
      </w:r>
      <w:r w:rsidR="00123E42">
        <w:t xml:space="preserve">se incluyen </w:t>
      </w:r>
      <w:r w:rsidRPr="00A25590">
        <w:t xml:space="preserve">normas más flexibles para la administración de las compañías y para el desarrollo de los diferentes actos societarios como son los aumentos de capital, fusión, escisión, disolución, liquidación y cancelación de las mismas. </w:t>
      </w:r>
      <w:r w:rsidR="00AD140F">
        <w:t>Según</w:t>
      </w:r>
      <w:r w:rsidR="000D5396">
        <w:t xml:space="preserve"> el autor</w:t>
      </w:r>
      <w:r w:rsidR="00AD140F">
        <w:t xml:space="preserve"> </w:t>
      </w:r>
      <w:sdt>
        <w:sdtPr>
          <w:id w:val="809290130"/>
          <w:citation/>
        </w:sdtPr>
        <w:sdtEndPr/>
        <w:sdtContent>
          <w:r w:rsidR="00AD140F">
            <w:fldChar w:fldCharType="begin"/>
          </w:r>
          <w:r w:rsidR="00AD140F">
            <w:rPr>
              <w:lang w:val="es-EC"/>
            </w:rPr>
            <w:instrText xml:space="preserve"> CITATION Vil24 \l 12298 </w:instrText>
          </w:r>
          <w:r w:rsidR="00AD140F">
            <w:fldChar w:fldCharType="separate"/>
          </w:r>
          <w:r w:rsidR="00AD140F" w:rsidRPr="00AD140F">
            <w:rPr>
              <w:noProof/>
              <w:lang w:val="es-EC"/>
            </w:rPr>
            <w:t>(Reyes Villamizar, 2024)</w:t>
          </w:r>
          <w:r w:rsidR="00AD140F">
            <w:fldChar w:fldCharType="end"/>
          </w:r>
        </w:sdtContent>
      </w:sdt>
      <w:r w:rsidR="00AD140F">
        <w:t xml:space="preserve"> “r</w:t>
      </w:r>
      <w:r w:rsidRPr="00A25590">
        <w:t xml:space="preserve">esulta sensata la eliminación de trámites burocráticos que desde siempre han desmotivado a </w:t>
      </w:r>
      <w:r w:rsidRPr="00A25590">
        <w:lastRenderedPageBreak/>
        <w:t>los empresarios a crear nuevas unidades formales de explotación ec</w:t>
      </w:r>
      <w:r w:rsidRPr="00EC4A30">
        <w:t>onómica</w:t>
      </w:r>
      <w:r w:rsidR="00AD140F">
        <w:t>¨. (p. 58)</w:t>
      </w:r>
    </w:p>
    <w:p w14:paraId="09EF7772" w14:textId="77777777" w:rsidR="00A25590" w:rsidRPr="00A11166" w:rsidRDefault="00A25590" w:rsidP="00A25590">
      <w:r w:rsidRPr="00EC4A30">
        <w:t xml:space="preserve">Es importante señalar en este punto que la armonización normativa es un proceso en el cual se aproximan o coordinan legislaciones nacionales, manteniendo cada Estado su propia norma, pero reduciendo diferencias sustanciales, es decir no se eliminan la leyes nacionales, sino que en armonía se las hace compatibles, evitando de esta forma contradicciones y facilitando la cooperación jurídica sin perder soberanía legislativa, no se impone un texto único obligatorio, permite diferencias </w:t>
      </w:r>
      <w:r w:rsidRPr="00A11166">
        <w:t>pero dentro de ciertos parámetros comunes.</w:t>
      </w:r>
    </w:p>
    <w:p w14:paraId="42C602FE" w14:textId="0C09ED92" w:rsidR="00A25590" w:rsidRDefault="00A25590" w:rsidP="00A25590">
      <w:r w:rsidRPr="00A11166">
        <w:t>De acuerdo a la autora</w:t>
      </w:r>
      <w:r w:rsidR="00A11166" w:rsidRPr="00A11166">
        <w:t xml:space="preserve"> </w:t>
      </w:r>
      <w:sdt>
        <w:sdtPr>
          <w:id w:val="-2057306792"/>
          <w:citation/>
        </w:sdtPr>
        <w:sdtEndPr/>
        <w:sdtContent>
          <w:r w:rsidR="00A11166" w:rsidRPr="00A11166">
            <w:fldChar w:fldCharType="begin"/>
          </w:r>
          <w:r w:rsidR="00A11166" w:rsidRPr="00A11166">
            <w:rPr>
              <w:lang w:val="es-EC"/>
            </w:rPr>
            <w:instrText xml:space="preserve"> CITATION Alv21 \l 12298 </w:instrText>
          </w:r>
          <w:r w:rsidR="00A11166" w:rsidRPr="00A11166">
            <w:fldChar w:fldCharType="separate"/>
          </w:r>
          <w:r w:rsidR="00A11166" w:rsidRPr="00A11166">
            <w:rPr>
              <w:noProof/>
              <w:lang w:val="es-EC"/>
            </w:rPr>
            <w:t>(Alvarado Blanco, 2021)</w:t>
          </w:r>
          <w:r w:rsidR="00A11166" w:rsidRPr="00A11166">
            <w:fldChar w:fldCharType="end"/>
          </w:r>
        </w:sdtContent>
      </w:sdt>
      <w:r w:rsidRPr="00A11166">
        <w:t xml:space="preserve"> </w:t>
      </w:r>
      <w:r w:rsidR="00C80A47" w:rsidRPr="00A11166">
        <w:t>¨</w:t>
      </w:r>
      <w:r w:rsidRPr="00A11166">
        <w:t>para los países andinos, los efectos del fenómeno de la globalización suponen lograr aproximaciones en las legislaciones nacionales, con la finalidad de obtener sistemas jurídicos sistemáticos y coherentes; y, de esta manera, adecuarse de la mejor forma al fenómeno de la globalización. En este escenario, cobra importancia el instrumento de armonización legislativa</w:t>
      </w:r>
      <w:r w:rsidR="00C80A47" w:rsidRPr="00A11166">
        <w:t>¨</w:t>
      </w:r>
      <w:r w:rsidR="00A11166" w:rsidRPr="00A11166">
        <w:t>.</w:t>
      </w:r>
    </w:p>
    <w:p w14:paraId="28E6875D" w14:textId="77777777" w:rsidR="00DE2570" w:rsidRDefault="009C2DC6" w:rsidP="00A25590">
      <w:r>
        <w:t>La armonización normativa puede ser de tipo formal cuando se realiza como proceso de sistematización o uniformización externa de las normas jurídicas, orient</w:t>
      </w:r>
      <w:r w:rsidR="00DE2570">
        <w:t>ado a garantizar la</w:t>
      </w:r>
      <w:r>
        <w:t xml:space="preserve"> </w:t>
      </w:r>
      <w:r w:rsidR="00DE2570">
        <w:t>coherencia técnica</w:t>
      </w:r>
      <w:r>
        <w:t>, dentro del ordenamiento jurídico, sin alterar su contenido sustancial, o puede ser de tipo material, cuando se cambia el contenido sustancial de la norma</w:t>
      </w:r>
      <w:r w:rsidR="00DE2570">
        <w:t>.</w:t>
      </w:r>
    </w:p>
    <w:p w14:paraId="1F675026" w14:textId="49F4948D" w:rsidR="009C2DC6" w:rsidRPr="00A25590" w:rsidRDefault="00DE2570" w:rsidP="00A25590">
      <w:r>
        <w:t>La armonización normativa es funcional cuando se enfoca no tanto en la forma, ni en el contenido aislado de las normas, sino que se enfoca en su funcionamiento en conjunto dentro del sistema jurídico.</w:t>
      </w:r>
      <w:r w:rsidR="009C2DC6">
        <w:t xml:space="preserve"> </w:t>
      </w:r>
    </w:p>
    <w:p w14:paraId="416D950D" w14:textId="34C79CA3" w:rsidR="00A25590" w:rsidRPr="00A25590" w:rsidRDefault="00A25590" w:rsidP="00A40C25">
      <w:pPr>
        <w:pStyle w:val="Ttulo2"/>
      </w:pPr>
      <w:r w:rsidRPr="00A25590">
        <w:t>Origen de la Sociedad por Acciones Simplificada (SAS) en la Región Andina</w:t>
      </w:r>
    </w:p>
    <w:p w14:paraId="23FBF834" w14:textId="327981EA" w:rsidR="00A25590" w:rsidRPr="00A25590" w:rsidRDefault="00A25590" w:rsidP="00A25590">
      <w:r w:rsidRPr="00A25590">
        <w:t>Como lo hemos mencionado anteriormente el origen de la SAS tiene ya algunas décadas, se remonta a la legislación s</w:t>
      </w:r>
      <w:r w:rsidRPr="00BA272B">
        <w:t xml:space="preserve">ocietaria francesa con la creación de la Societé par Acciones Simplifique, de acuerdo al autor </w:t>
      </w:r>
      <w:sdt>
        <w:sdtPr>
          <w:id w:val="-1424111054"/>
          <w:citation/>
        </w:sdtPr>
        <w:sdtEndPr/>
        <w:sdtContent>
          <w:r w:rsidR="00BA272B" w:rsidRPr="00BA272B">
            <w:fldChar w:fldCharType="begin"/>
          </w:r>
          <w:r w:rsidR="00BA272B" w:rsidRPr="00BA272B">
            <w:rPr>
              <w:lang w:val="es-EC"/>
            </w:rPr>
            <w:instrText xml:space="preserve"> CITATION Sal21 \l 12298 </w:instrText>
          </w:r>
          <w:r w:rsidR="00BA272B" w:rsidRPr="00BA272B">
            <w:fldChar w:fldCharType="separate"/>
          </w:r>
          <w:r w:rsidR="00BA272B" w:rsidRPr="00BA272B">
            <w:rPr>
              <w:noProof/>
              <w:lang w:val="es-EC"/>
            </w:rPr>
            <w:t>(Salgado Valdez, 2021)</w:t>
          </w:r>
          <w:r w:rsidR="00BA272B" w:rsidRPr="00BA272B">
            <w:fldChar w:fldCharType="end"/>
          </w:r>
        </w:sdtContent>
      </w:sdt>
      <w:r w:rsidRPr="00BA272B">
        <w:t xml:space="preserve"> </w:t>
      </w:r>
      <w:r w:rsidR="00BA272B" w:rsidRPr="00BA272B">
        <w:t>“</w:t>
      </w:r>
      <w:r w:rsidRPr="00BA272B">
        <w:t>no constituyen ninguna novedad genuina porque provienen de inspiración francesa</w:t>
      </w:r>
      <w:r w:rsidR="00BA272B" w:rsidRPr="00BA272B">
        <w:t xml:space="preserve">”. (p. 133), </w:t>
      </w:r>
      <w:r w:rsidRPr="00BA272B">
        <w:t xml:space="preserve"> sin embargo otros autores consideran que la SAS es uno de los más significativos avances en materia societaria </w:t>
      </w:r>
      <w:sdt>
        <w:sdtPr>
          <w:id w:val="940343118"/>
          <w:citation/>
        </w:sdtPr>
        <w:sdtEndPr/>
        <w:sdtContent>
          <w:r w:rsidRPr="00BA272B">
            <w:fldChar w:fldCharType="begin"/>
          </w:r>
          <w:r w:rsidRPr="00BA272B">
            <w:rPr>
              <w:lang w:val="es-EC"/>
            </w:rPr>
            <w:instrText xml:space="preserve"> CITATION Gue18 \l 12298 </w:instrText>
          </w:r>
          <w:r w:rsidRPr="00BA272B">
            <w:fldChar w:fldCharType="separate"/>
          </w:r>
          <w:r w:rsidR="006E09B0" w:rsidRPr="00BA272B">
            <w:rPr>
              <w:noProof/>
              <w:lang w:val="es-EC"/>
            </w:rPr>
            <w:t>(Guevara Cadena, 2018)</w:t>
          </w:r>
          <w:r w:rsidRPr="00BA272B">
            <w:fldChar w:fldCharType="end"/>
          </w:r>
        </w:sdtContent>
      </w:sdt>
      <w:r w:rsidRPr="00A25590">
        <w:t xml:space="preserve"> y nace como un tipo de </w:t>
      </w:r>
      <w:r w:rsidRPr="00A25590">
        <w:lastRenderedPageBreak/>
        <w:t xml:space="preserve">compañía diseñado para grandes empresas, normalmente inversoras extrajeras de grandes capitales con la necesidad de estructurar grandes grupos empresariales con cabezas de grupos como matrices y sus respectivas subsidiarias, de hecho inicialmente no permitía su constitución por parte de personas físicas naturales, restringiendo su constitución exclusivamente a otras personas jurídicas y con un significativo capital inicial. </w:t>
      </w:r>
    </w:p>
    <w:p w14:paraId="146DACA0" w14:textId="6AC750A7" w:rsidR="00A25590" w:rsidRPr="00A25590" w:rsidRDefault="00A25590" w:rsidP="00A25590">
      <w:r w:rsidRPr="00A25590">
        <w:t xml:space="preserve">En la región andina el origen de la SAS se da en Colombia con la expedición en el año 2008 de la Ley 1258, por lo que surge la SAS como una innovación jurídica, la Organización de Estados Americanos en el año 2017 implementó una Ley modelo para la adopción de la SAS en todos sus estados miembros, sin embargo a pesar de ser </w:t>
      </w:r>
      <w:r w:rsidR="008A3C95">
        <w:t xml:space="preserve">treinta y dos </w:t>
      </w:r>
      <w:r w:rsidRPr="00A25590">
        <w:t xml:space="preserve">países los adscritos a la OEA, fue en Latinoamérica que se causó la mayor acogida a este nuevo tipo de sociedad principalmente por su flexibilidad, bajos costos de constitución y amplia posibilidad para acuerdos sociales entre los socios y accionistas. </w:t>
      </w:r>
    </w:p>
    <w:p w14:paraId="4E841F69" w14:textId="6D1A5387" w:rsidR="00A25590" w:rsidRPr="00A25590" w:rsidRDefault="00A25590" w:rsidP="00A25590">
      <w:r w:rsidRPr="00A25590">
        <w:t xml:space="preserve">Perú fue el segundo país de la región que adoptó la Sociedad por Acciones Cerrada Simplificada (SACS) con la expedición del Decreto 1409. Ecuador por su parte adoptó el modelo de SAS con la expedición de la </w:t>
      </w:r>
      <w:r w:rsidR="00212275">
        <w:t>¨</w:t>
      </w:r>
      <w:r w:rsidRPr="00A25590">
        <w:t>Ley Orgánica de Emprendimiento e Innovación</w:t>
      </w:r>
      <w:r w:rsidR="00212275">
        <w:t>¨</w:t>
      </w:r>
      <w:r w:rsidRPr="00A25590">
        <w:t xml:space="preserve"> que reformó la Ley de Compañías e incluyó a continuación de la sección VIII de dicha Ley una sección innumerada sobre las Sociedades por Acciones Simplificadas.</w:t>
      </w:r>
    </w:p>
    <w:p w14:paraId="3DB5DC35" w14:textId="77777777" w:rsidR="00A25590" w:rsidRPr="00A25590" w:rsidRDefault="00A25590" w:rsidP="00A40C25">
      <w:pPr>
        <w:pStyle w:val="Ttulo2"/>
      </w:pPr>
      <w:r w:rsidRPr="00A25590">
        <w:t>Análisis comparativo estructural y sistemático de la SAS en la Región Andina: Ecuador, Colombia y Perú</w:t>
      </w:r>
    </w:p>
    <w:p w14:paraId="04CDA7A9" w14:textId="4DF61625" w:rsidR="00A25590" w:rsidRPr="00A25590" w:rsidRDefault="00A25590" w:rsidP="00A25590">
      <w:r w:rsidRPr="00A25590">
        <w:t>Para el presente estudio utilizando el método del derecho comparado, hemos realizado el análisis organizándolo por variables homogéneas a fin de determinar la armonización de las normas societarias entre los tres países mencionados y el grado de dicha armonización existente</w:t>
      </w:r>
      <w:r w:rsidR="008F419D">
        <w:t>. L</w:t>
      </w:r>
      <w:r w:rsidRPr="00A25590">
        <w:t>as variables revisadas son: La constitución de las compañías y sus formalidades, el capital y su estructura accionaria, el gobierno corporativo, la responsabilidad y el levantamiento del velo societario.</w:t>
      </w:r>
    </w:p>
    <w:p w14:paraId="60A5C008" w14:textId="77777777" w:rsidR="00A25590" w:rsidRPr="00A25590" w:rsidRDefault="00A25590" w:rsidP="00A40C25">
      <w:pPr>
        <w:pStyle w:val="Ttulo2"/>
      </w:pPr>
      <w:r w:rsidRPr="00A25590">
        <w:t>Constitución de las SAS y sus formalidades</w:t>
      </w:r>
    </w:p>
    <w:p w14:paraId="51C4D13D" w14:textId="194C86E0" w:rsidR="00A25590" w:rsidRPr="00A25590" w:rsidRDefault="00A25590" w:rsidP="00A25590">
      <w:r w:rsidRPr="00A25590">
        <w:lastRenderedPageBreak/>
        <w:t xml:space="preserve">Respecto de la constitución de la SAS el artículo 5 de la Ley 1258 de 2008 de Colombia establece que </w:t>
      </w:r>
      <w:r w:rsidR="00AD7610">
        <w:t>¨</w:t>
      </w:r>
      <w:r w:rsidRPr="00A25590">
        <w:t>la Sociedad por Acciones Simplificada se creará mediante contrato o acto unilateral que conste en documento privado, inscrito en el Registro Mercantil de la Cámara de Comercio del lugar en que la sociedad establezca su domicilio</w:t>
      </w:r>
      <w:r w:rsidR="00AD7610">
        <w:t>¨</w:t>
      </w:r>
      <w:r w:rsidRPr="00A25590">
        <w:t xml:space="preserve"> </w:t>
      </w:r>
      <w:sdt>
        <w:sdtPr>
          <w:id w:val="753867047"/>
          <w:citation/>
        </w:sdtPr>
        <w:sdtEndPr/>
        <w:sdtContent>
          <w:r w:rsidRPr="00A25590">
            <w:fldChar w:fldCharType="begin"/>
          </w:r>
          <w:r w:rsidRPr="00A25590">
            <w:rPr>
              <w:lang w:val="es-EC"/>
            </w:rPr>
            <w:instrText xml:space="preserve"> CITATION Col08 \l 12298 </w:instrText>
          </w:r>
          <w:r w:rsidRPr="00A25590">
            <w:fldChar w:fldCharType="separate"/>
          </w:r>
          <w:r w:rsidR="006E09B0" w:rsidRPr="006E09B0">
            <w:rPr>
              <w:noProof/>
              <w:lang w:val="es-EC"/>
            </w:rPr>
            <w:t>(Colombia, Ley 1258 de 2008, 2008)</w:t>
          </w:r>
          <w:r w:rsidRPr="00A25590">
            <w:fldChar w:fldCharType="end"/>
          </w:r>
        </w:sdtContent>
      </w:sdt>
      <w:r w:rsidR="0096527B">
        <w:t>, por su parte la Ley de C</w:t>
      </w:r>
      <w:r w:rsidRPr="00A25590">
        <w:t xml:space="preserve">ompañías ecuatoriana reformada, contempla la misma forma de constitución por contrato entre dos o más personas o por acto unilateral, es decir por una sola persona natural o jurídica y también por documento privado, obviando el requisito de escritura pública, con la única diferencia de que su inscripción en lugar de ser en el Registro Mercantil que en el caso colombiano lo administran las cámaras de comercio, en el caso ecuatoriano, </w:t>
      </w:r>
      <w:r w:rsidR="006127CE">
        <w:t>“</w:t>
      </w:r>
      <w:r w:rsidRPr="00A25590">
        <w:t>su constitución se registrará en el Registro de Sociedades a cargo de la Superintendencia de Compañías Valores y Seguros</w:t>
      </w:r>
      <w:r w:rsidR="006127CE">
        <w:t>¨</w:t>
      </w:r>
      <w:r w:rsidRPr="00A25590">
        <w:t xml:space="preserve"> </w:t>
      </w:r>
      <w:sdt>
        <w:sdtPr>
          <w:id w:val="939341324"/>
          <w:citation/>
        </w:sdtPr>
        <w:sdtEndPr/>
        <w:sdtContent>
          <w:r w:rsidRPr="00A25590">
            <w:fldChar w:fldCharType="begin"/>
          </w:r>
          <w:r w:rsidRPr="00A25590">
            <w:rPr>
              <w:lang w:val="es-EC"/>
            </w:rPr>
            <w:instrText xml:space="preserve"> CITATION Ley20 \l 12298 </w:instrText>
          </w:r>
          <w:r w:rsidRPr="00A25590">
            <w:fldChar w:fldCharType="separate"/>
          </w:r>
          <w:r w:rsidR="006E09B0" w:rsidRPr="006E09B0">
            <w:rPr>
              <w:noProof/>
              <w:lang w:val="es-EC"/>
            </w:rPr>
            <w:t>(Ecuador, Ley Orgánica de Emprendimiento e Innovación, 2020)</w:t>
          </w:r>
          <w:r w:rsidRPr="00A25590">
            <w:fldChar w:fldCharType="end"/>
          </w:r>
        </w:sdtContent>
      </w:sdt>
      <w:r w:rsidRPr="00A25590">
        <w:t xml:space="preserve">. </w:t>
      </w:r>
    </w:p>
    <w:p w14:paraId="069C054E" w14:textId="28315D81" w:rsidR="00A25590" w:rsidRPr="00A25590" w:rsidRDefault="00A25590" w:rsidP="00A25590">
      <w:r w:rsidRPr="00A25590">
        <w:t xml:space="preserve">Por su parte en la normativa peruana Decreto Legislativo No.1409, se establece que la Sociedad por Acciones Cerrada Simplificada (SACS) se constituirá también por acuerdo privado pero a diferencia de la legislación </w:t>
      </w:r>
      <w:r w:rsidR="00EA6A0D" w:rsidRPr="00A25590">
        <w:t>ecuatoriana</w:t>
      </w:r>
      <w:r w:rsidR="00EA6A0D" w:rsidRPr="00A25590">
        <w:t xml:space="preserve"> </w:t>
      </w:r>
      <w:r w:rsidR="00EA6A0D">
        <w:t xml:space="preserve">y </w:t>
      </w:r>
      <w:r w:rsidRPr="00A25590">
        <w:t>colombiana</w:t>
      </w:r>
      <w:r w:rsidR="00EA6A0D">
        <w:t>,</w:t>
      </w:r>
      <w:r w:rsidRPr="00A25590">
        <w:t xml:space="preserve"> esta constitución deberá realizarse entre dos (2) o hasta veinte (20) personas naturales </w:t>
      </w:r>
      <w:sdt>
        <w:sdtPr>
          <w:id w:val="-1931262558"/>
          <w:citation/>
        </w:sdtPr>
        <w:sdtEndPr/>
        <w:sdtContent>
          <w:r w:rsidRPr="00A25590">
            <w:fldChar w:fldCharType="begin"/>
          </w:r>
          <w:r w:rsidRPr="00A25590">
            <w:rPr>
              <w:lang w:val="es-EC"/>
            </w:rPr>
            <w:instrText xml:space="preserve"> CITATION Pre18 \l 12298 </w:instrText>
          </w:r>
          <w:r w:rsidRPr="00A25590">
            <w:fldChar w:fldCharType="separate"/>
          </w:r>
          <w:r w:rsidR="006E09B0" w:rsidRPr="006E09B0">
            <w:rPr>
              <w:noProof/>
              <w:lang w:val="es-EC"/>
            </w:rPr>
            <w:t>(Perú, Decreto Legislativo 1409, 2018)</w:t>
          </w:r>
          <w:r w:rsidRPr="00A25590">
            <w:fldChar w:fldCharType="end"/>
          </w:r>
        </w:sdtContent>
      </w:sdt>
      <w:r w:rsidRPr="00A25590">
        <w:t xml:space="preserve">, existiendo aquí una diametral diferencia en dos de los temas más importantes de flexibilidad de la SAS, el primero es que en la legislación peruana no se atiende a la unipersonalidad en la creación de la SACS, es decir no podrá constituírsela por acto unilateral, necesariamente deberán comparecer dos o más personas por medio de contrato, característica </w:t>
      </w:r>
      <w:r w:rsidR="0096527B">
        <w:t xml:space="preserve">principal de la SAS del modelo </w:t>
      </w:r>
      <w:r w:rsidR="00EA6A0D">
        <w:t xml:space="preserve">ecuatoriano, </w:t>
      </w:r>
      <w:r w:rsidR="0096527B">
        <w:t>c</w:t>
      </w:r>
      <w:r w:rsidRPr="00A25590">
        <w:t>olombiano y de la OEA, pues es precisamente esta unipersonalidad l</w:t>
      </w:r>
      <w:r w:rsidR="00EA6A0D">
        <w:t>o</w:t>
      </w:r>
      <w:r w:rsidRPr="00A25590">
        <w:t xml:space="preserve"> que da una ventaja al empresario individual que desea separar su patrimonio civil o personal de su patrimonio mercantil, pues con la constitución de una SAS el empresario individual crea una persona jurídica diferente de sí mismo, siendo responsable exclusivamente por aquel capital que aporte a la nueva persona jurídica, esta ventaja sustancial se pierde en la legislación peruana de la SACS, adicionalmente a esto el límite de veinte (20) personas que establece la legislación peruana no </w:t>
      </w:r>
      <w:r w:rsidRPr="00A25590">
        <w:lastRenderedPageBreak/>
        <w:t xml:space="preserve">existe en las legislaciones </w:t>
      </w:r>
      <w:r w:rsidR="00EA6A0D" w:rsidRPr="00A25590">
        <w:t>ecuatoriana</w:t>
      </w:r>
      <w:r w:rsidR="00EA6A0D" w:rsidRPr="00A25590">
        <w:t xml:space="preserve"> </w:t>
      </w:r>
      <w:r w:rsidR="00EA6A0D">
        <w:t xml:space="preserve">y </w:t>
      </w:r>
      <w:r w:rsidRPr="00A25590">
        <w:t xml:space="preserve">colombiana, en donde el número de </w:t>
      </w:r>
      <w:r w:rsidR="0096527B">
        <w:t>los accionistas de la SAS puede ser</w:t>
      </w:r>
      <w:r w:rsidRPr="00A25590">
        <w:t xml:space="preserve"> prácticamente ilimitado, esta diferencia sustancial atenta contra otra de las características fundamentales de este tipo de compañías, que es su flexibilidad, pues en el caso peruano al momento de sobrepasar el número antes mencionado de accionistas, necesariamente la SACS deberá transformarse posiblemente en una compañía anónima, sujeta a esta última a normas imperativas diferentes a la SAS. </w:t>
      </w:r>
    </w:p>
    <w:p w14:paraId="2A842348" w14:textId="15033631" w:rsidR="00A25590" w:rsidRPr="00A25590" w:rsidRDefault="00A25590" w:rsidP="00A25590">
      <w:r w:rsidRPr="00A25590">
        <w:t xml:space="preserve">En el caso de la SACS peruana su personalidad jurídica la adquiere en el momento de su registro ante la Superintendencia Nacional de los Registros Públicos (SUNARP), muy similar al Registro de Sociedades de la Superintendencia de Compañías Valores y Seguros ecuatoriana, es decir en ambas legislaciones la personalidad jurídica está sujeta a un registro público administrado por el Estado, a diferencia de la SAS Colombiana cuya personalidad jurídica está sujeta a su inscripción en un Registro Mercantil administrado por las </w:t>
      </w:r>
      <w:r w:rsidR="008029E2">
        <w:t>c</w:t>
      </w:r>
      <w:r w:rsidRPr="00A25590">
        <w:t xml:space="preserve">ámaras de </w:t>
      </w:r>
      <w:r w:rsidR="008029E2">
        <w:t>c</w:t>
      </w:r>
      <w:r w:rsidRPr="00A25590">
        <w:t>omercio privadas. Vale desatar que en las tres jurisdicciones su constitución puede realizarse por instrumento privado sin que sea necesario una escritura pública otorgada ante un notario.</w:t>
      </w:r>
    </w:p>
    <w:p w14:paraId="2A4A3F80" w14:textId="77777777" w:rsidR="00A25590" w:rsidRPr="00A25590" w:rsidRDefault="00A25590" w:rsidP="00A25590">
      <w:r w:rsidRPr="00A25590">
        <w:t>Respecto al plazo de constitución en las tres legislaciones estudiadas se contempla que en caso de no expresarse nada en el acto de constitución, se entenderá que el plazo de constitución es indefinido.</w:t>
      </w:r>
    </w:p>
    <w:p w14:paraId="7D72C9C5" w14:textId="56F937DD" w:rsidR="00A25590" w:rsidRPr="00A25590" w:rsidRDefault="00A25590" w:rsidP="00A25590">
      <w:r w:rsidRPr="00A25590">
        <w:t>Otro aspecto relevante a destacar es el objeto social de la SAS, en donde existe una diferencia sustancial, pues tanto en la legislación</w:t>
      </w:r>
      <w:r w:rsidR="00161339">
        <w:t xml:space="preserve"> </w:t>
      </w:r>
      <w:r w:rsidR="00161339" w:rsidRPr="00A25590">
        <w:t>ecuatoriana</w:t>
      </w:r>
      <w:r w:rsidR="00161339">
        <w:t xml:space="preserve"> como</w:t>
      </w:r>
      <w:r w:rsidRPr="00A25590">
        <w:t xml:space="preserve"> colombiana se detalla que, si no se expresase nada en el acto de constitución, se entenderá que la SAS podrá realizar cualquier actividad lícita a diferencia de la legislación peruana en donde si es necesario definir el objeto social de la compañía. </w:t>
      </w:r>
    </w:p>
    <w:p w14:paraId="37B37437" w14:textId="26E0F35C" w:rsidR="00A25590" w:rsidRPr="00A25590" w:rsidRDefault="00A25590" w:rsidP="00A25590">
      <w:r w:rsidRPr="00A25590">
        <w:t xml:space="preserve">Esta diferencia sustancial afecta la flexibilidad característica de este tipo de compañías, sometiendo al pequeño empresario a la necesidad de realizar reformas estatutarias costosas cada vez que requiera iniciar una actividad lícita diferente, situación que no ocurre en las legislaciones </w:t>
      </w:r>
      <w:r w:rsidR="00E37153" w:rsidRPr="00A25590">
        <w:t>ecuatoriana</w:t>
      </w:r>
      <w:r w:rsidR="00E37153" w:rsidRPr="00A25590">
        <w:t xml:space="preserve"> </w:t>
      </w:r>
      <w:r w:rsidR="00E37153">
        <w:t xml:space="preserve">y </w:t>
      </w:r>
      <w:r w:rsidRPr="00A25590">
        <w:t>colombiana</w:t>
      </w:r>
      <w:r w:rsidR="00E37153">
        <w:t>.</w:t>
      </w:r>
    </w:p>
    <w:p w14:paraId="7A7E4050" w14:textId="3C8E88E5" w:rsidR="00A25590" w:rsidRPr="00A25590" w:rsidRDefault="00A25590" w:rsidP="00A25590">
      <w:r w:rsidRPr="00A25590">
        <w:lastRenderedPageBreak/>
        <w:t>Un aspecto a tener en c</w:t>
      </w:r>
      <w:r w:rsidR="000330D8">
        <w:t>onsideración</w:t>
      </w:r>
      <w:r w:rsidRPr="00A25590">
        <w:t xml:space="preserve"> además es que en la legisl</w:t>
      </w:r>
      <w:r w:rsidR="00845F38">
        <w:t>ación colombiana la</w:t>
      </w:r>
      <w:r w:rsidRPr="00A25590">
        <w:t xml:space="preserve"> constitución </w:t>
      </w:r>
      <w:r w:rsidR="00845F38">
        <w:t>deberá ser autenticada</w:t>
      </w:r>
      <w:r w:rsidRPr="00A25590">
        <w:t xml:space="preserve"> (se entiende notarial</w:t>
      </w:r>
      <w:r w:rsidR="00AA4431">
        <w:t>mente</w:t>
      </w:r>
      <w:r w:rsidRPr="00A25590">
        <w:t xml:space="preserve">) </w:t>
      </w:r>
      <w:r w:rsidR="00845F38">
        <w:t xml:space="preserve">en forma </w:t>
      </w:r>
      <w:r w:rsidRPr="00A25590">
        <w:t>previa a la inscripción en el Registro Mercantil de la Cámara de Comercio</w:t>
      </w:r>
      <w:r w:rsidR="00B36F6B">
        <w:t xml:space="preserve"> respectiva</w:t>
      </w:r>
      <w:r w:rsidRPr="00A25590">
        <w:t>, requisito que cont</w:t>
      </w:r>
      <w:r w:rsidR="001565F7">
        <w:t>r</w:t>
      </w:r>
      <w:r w:rsidRPr="00A25590">
        <w:t>aría la buena fe contractual de la que gozan los accionistas y que no es solicitado en las legislaciones ecuatoriana y peruana.</w:t>
      </w:r>
    </w:p>
    <w:p w14:paraId="58763133" w14:textId="3E64E665" w:rsidR="00A25590" w:rsidRPr="00A25590" w:rsidRDefault="00A25590" w:rsidP="00A25590">
      <w:r w:rsidRPr="00A25590">
        <w:t xml:space="preserve">Respecto del control al acto constitutivo y sus subsecuentes reformas, la norma colombiana establece que las </w:t>
      </w:r>
      <w:r w:rsidR="00CE3D5C">
        <w:t>c</w:t>
      </w:r>
      <w:r w:rsidRPr="00A25590">
        <w:t xml:space="preserve">ámaras de </w:t>
      </w:r>
      <w:r w:rsidR="00CE3D5C">
        <w:t>c</w:t>
      </w:r>
      <w:r w:rsidRPr="00A25590">
        <w:t>omercio verificarán la conformidad del acto constitutivo, es decir que tienen competencia para observar la legalidad de las SAS, en el caso de la norma ecuatoriana este control de legalidad se lo otorga a la Superintendencia de Compañías y en el caso de la norma peruana el acto de verificación de legalidad es conferido a la Superintendencia Nacional de Registros Públicos (SUNARP), es importante men</w:t>
      </w:r>
      <w:r w:rsidR="0070362F">
        <w:t xml:space="preserve">cionar además que en los casos </w:t>
      </w:r>
      <w:r w:rsidR="00D56D5F" w:rsidRPr="00A25590">
        <w:t>ecuatoriano</w:t>
      </w:r>
      <w:r w:rsidR="00D56D5F">
        <w:t xml:space="preserve"> y </w:t>
      </w:r>
      <w:r w:rsidR="0070362F">
        <w:t>c</w:t>
      </w:r>
      <w:r w:rsidRPr="00A25590">
        <w:t>olombiano este registro no tiene ningún costo, no así en el caso peruano en donde se deberá pagar la correspondiente tasa registral.</w:t>
      </w:r>
    </w:p>
    <w:p w14:paraId="494A6059" w14:textId="77777777" w:rsidR="00A25590" w:rsidRPr="00A25590" w:rsidRDefault="00A25590" w:rsidP="00A40C25">
      <w:pPr>
        <w:pStyle w:val="Ttulo2"/>
      </w:pPr>
      <w:r w:rsidRPr="00A25590">
        <w:t>Capital y estructura accionaria</w:t>
      </w:r>
    </w:p>
    <w:p w14:paraId="455F029C" w14:textId="3167B1AC" w:rsidR="00A25590" w:rsidRPr="00A25590" w:rsidRDefault="00A25590" w:rsidP="00A25590">
      <w:r w:rsidRPr="00A25590">
        <w:t>Respecto del capital y la estructura accionaria existen varias di</w:t>
      </w:r>
      <w:r w:rsidR="0063777B">
        <w:t>vergencias</w:t>
      </w:r>
      <w:r w:rsidRPr="00A25590">
        <w:t xml:space="preserve"> sustanciales detectadas en la legislación peruana, la primera es que en esta última, el monto del capital suscrito debe ser pagado totalmente, adicional a esto no se especifica si las acciones pueden ser divididas en varias clases o series, a diferencia de las SAS </w:t>
      </w:r>
      <w:r w:rsidR="004A4A75" w:rsidRPr="00A25590">
        <w:t>ecuatoriana</w:t>
      </w:r>
      <w:r w:rsidR="004A4A75" w:rsidRPr="00A25590">
        <w:t xml:space="preserve"> </w:t>
      </w:r>
      <w:r w:rsidR="004A4A75">
        <w:t xml:space="preserve">y </w:t>
      </w:r>
      <w:r w:rsidRPr="00A25590">
        <w:t xml:space="preserve">colombiana en donde existe amplia flexibilidad para el pago del capital suscrito, el cual puede ser pagado hasta en el plazo de dos años contados a partir de su suscripción, adicional a esto el capital puede estar dividido en acciones de diferentes clases con diferentes atribuciones de derecho de votación y de reparto de utilidades, pues dentro de las series de acciones que pudieran tener la SAS </w:t>
      </w:r>
      <w:r w:rsidR="00F170D2" w:rsidRPr="00A25590">
        <w:t>ecuatoriana</w:t>
      </w:r>
      <w:r w:rsidR="00F170D2" w:rsidRPr="00A25590">
        <w:t xml:space="preserve"> </w:t>
      </w:r>
      <w:r w:rsidR="00F170D2">
        <w:t xml:space="preserve">y </w:t>
      </w:r>
      <w:r w:rsidRPr="00A25590">
        <w:t xml:space="preserve">colombiana, está las acciones ordinarias, las acciones preferenciales sin derecho a voto, las acciones, con pluralidad de voto, las acciones de pago de dividendos fijos y las acciones de pago, lo cual contribuye a que la SAS pueda tener varias formas de capitalizarse y de obtener su financiación y consagra el principio de la voluntad contractual de las partes. </w:t>
      </w:r>
    </w:p>
    <w:p w14:paraId="68F3F110" w14:textId="5EA96054" w:rsidR="00A25590" w:rsidRPr="00A25590" w:rsidRDefault="00A25590" w:rsidP="00A25590">
      <w:r w:rsidRPr="00A25590">
        <w:lastRenderedPageBreak/>
        <w:t xml:space="preserve">La segunda diferencia importante respecto del capital es que en la SACS peruana los aportes de capital pueden ser únicamente dinerarios o bienes muebles no registrables o ambos con su equivalente porcentual en el capital social, a diferencia de la SAS </w:t>
      </w:r>
      <w:r w:rsidR="00273DC0" w:rsidRPr="00A25590">
        <w:t>ecuatoriana</w:t>
      </w:r>
      <w:r w:rsidR="00273DC0">
        <w:t xml:space="preserve"> y</w:t>
      </w:r>
      <w:r w:rsidR="00273DC0" w:rsidRPr="00A25590">
        <w:t xml:space="preserve"> </w:t>
      </w:r>
      <w:r w:rsidRPr="00A25590">
        <w:t>colombiana</w:t>
      </w:r>
      <w:r w:rsidR="00085140">
        <w:t xml:space="preserve"> </w:t>
      </w:r>
      <w:r w:rsidRPr="00A25590">
        <w:t xml:space="preserve">en donde es posible aportar al capital todo tipo de industria, dinero, bienes muebles o inclusive inmuebles con el único requisito que en caso de aportarse estos últimos necesariamente deberá hacérselo por medio de escritura pública, adicionalmente en la legislación colombiana y ecuatoriana en virtud de la amplia flexibilidad de este tipo de compañías, la aportación del capital y su proporción en la composición accionaria no está sujeta al valor de los mismos y no necesariamente su valor será equivalente a su porcentaje accionario, pues quedará </w:t>
      </w:r>
      <w:r w:rsidR="00996E31">
        <w:t xml:space="preserve">a </w:t>
      </w:r>
      <w:r w:rsidRPr="00A25590">
        <w:t>criterio de sus accionistas en atención a la libre voluntad contractual de la que gozan este tipo de compañías.</w:t>
      </w:r>
    </w:p>
    <w:p w14:paraId="7173DD35" w14:textId="03F6F3E7" w:rsidR="00A25590" w:rsidRPr="00A25590" w:rsidRDefault="00A25590" w:rsidP="00A25590">
      <w:r w:rsidRPr="00A25590">
        <w:t xml:space="preserve">Una característica importante de la SAS </w:t>
      </w:r>
      <w:r w:rsidR="00700182" w:rsidRPr="00A25590">
        <w:t>ecuatoriana</w:t>
      </w:r>
      <w:r w:rsidR="00700182" w:rsidRPr="00A25590">
        <w:t xml:space="preserve"> </w:t>
      </w:r>
      <w:r w:rsidR="00700182">
        <w:t xml:space="preserve">y </w:t>
      </w:r>
      <w:r w:rsidRPr="00A25590">
        <w:t>colombiana es que estatutariamente podrá estipularse la prohibición de negociar las acciones emitidas o algunas de sus clases siempre que la vigencia de dicha restricción no exceda de diez (10) años, prorrogados por periodos adicionales de diez (10) años y por voluntad unánime de la totalidad de los accionistas, esto reafirma el concepto de la amplia voluntad contractual de los accionistas que rigen este tipo de compañías, que las convierte en un híbrido entre las compañías personalistas y las compañía</w:t>
      </w:r>
      <w:r w:rsidR="00BF08EE">
        <w:t>s</w:t>
      </w:r>
      <w:r w:rsidRPr="00A25590">
        <w:t xml:space="preserve"> de capital, lo cual evidentemente confiere un mayor campo de acción y de acuerdos para los accionistas que no deberán verse obligados a suscribir pactos paracionales paralelos, esta característica no se puede identificar en la SACS peruana.</w:t>
      </w:r>
    </w:p>
    <w:p w14:paraId="04FA37C3" w14:textId="77777777" w:rsidR="00A25590" w:rsidRPr="00A25590" w:rsidRDefault="00A25590" w:rsidP="00A25590">
      <w:r w:rsidRPr="00A25590">
        <w:t xml:space="preserve">De igual forma, en las SAS ecuatoriana y colombiana toda negociación de acciones o de alguna clase de ellas, puede ser sometida a la aprobación de las juntas de accionistas, lo cual no ocurre en la compañía peruana. </w:t>
      </w:r>
    </w:p>
    <w:p w14:paraId="0E39F0E9" w14:textId="77777777" w:rsidR="00A25590" w:rsidRPr="00A25590" w:rsidRDefault="00A25590" w:rsidP="00A40C25">
      <w:pPr>
        <w:pStyle w:val="Ttulo2"/>
      </w:pPr>
      <w:r w:rsidRPr="00A25590">
        <w:t>Gobierno corporativo</w:t>
      </w:r>
    </w:p>
    <w:p w14:paraId="5FDBCF8B" w14:textId="652719DF" w:rsidR="00A25590" w:rsidRPr="00A25590" w:rsidRDefault="00A25590" w:rsidP="00A25590">
      <w:r w:rsidRPr="00A25590">
        <w:t xml:space="preserve">Respecto al Gobierno corporativo de este tipo de compañías existen profundas diferencias. La SAS </w:t>
      </w:r>
      <w:r w:rsidR="00A47420" w:rsidRPr="00A25590">
        <w:t>ecuatoriana</w:t>
      </w:r>
      <w:r w:rsidR="00A47420" w:rsidRPr="00A25590">
        <w:t xml:space="preserve"> </w:t>
      </w:r>
      <w:r w:rsidR="00A47420">
        <w:t xml:space="preserve">y </w:t>
      </w:r>
      <w:r w:rsidRPr="00A25590">
        <w:t>colombiana son muy sí</w:t>
      </w:r>
      <w:r w:rsidRPr="00A25590">
        <w:lastRenderedPageBreak/>
        <w:t xml:space="preserve">miles en su normatividad dispositiva dejando un amplio abanico de posibilidades </w:t>
      </w:r>
      <w:r w:rsidR="00704F16">
        <w:t>para el nombramiento del o los r</w:t>
      </w:r>
      <w:r w:rsidR="004E53EC">
        <w:t>epresentantes legales, a</w:t>
      </w:r>
      <w:r w:rsidRPr="00A25590">
        <w:t>dministrado</w:t>
      </w:r>
      <w:r w:rsidR="004E53EC">
        <w:t>res, j</w:t>
      </w:r>
      <w:r w:rsidRPr="00A25590">
        <w:t xml:space="preserve">untas directivas y cualquier otro órgano de gobierno administrativo, pudiendo ser el o los accionistas representantes legales o miembros de juntas directivas, pues solo a falta de estipulación </w:t>
      </w:r>
      <w:r w:rsidR="002F172D">
        <w:t>en los estatutos, se entenderá que</w:t>
      </w:r>
      <w:r w:rsidRPr="00A25590">
        <w:t xml:space="preserve"> las funciones de gobierno de la compañía serán ejercidas por la asamblea o por el accionista único y que la administración estará a cargo del representante legal, en el caso de la SACS peruana, no se establece esta libertad y flexibilidad para la estructura organizativa de la compañía, disponiendo que el régimen de SACS se rige </w:t>
      </w:r>
      <w:r w:rsidR="00371F2F">
        <w:t xml:space="preserve">en forma </w:t>
      </w:r>
      <w:r w:rsidRPr="00A25590">
        <w:t>supletoria por las disposiciones generales de la Ley General de sociedades, así como las específicas que regula la sociedad anónima cerrada del mismo cuerpo legal.</w:t>
      </w:r>
    </w:p>
    <w:p w14:paraId="0EB5EA7B" w14:textId="614B07C3" w:rsidR="00A25590" w:rsidRPr="00A25590" w:rsidRDefault="00436CCF" w:rsidP="00A25590">
      <w:r>
        <w:t xml:space="preserve">Las SAS </w:t>
      </w:r>
      <w:r w:rsidR="00624187" w:rsidRPr="00A25590">
        <w:t>ecuatoriana</w:t>
      </w:r>
      <w:r w:rsidR="00624187">
        <w:t xml:space="preserve"> y </w:t>
      </w:r>
      <w:r>
        <w:t>c</w:t>
      </w:r>
      <w:r w:rsidR="00A25590" w:rsidRPr="00A25590">
        <w:t>olombiana también contemplan una considerable flexibilidad respecto de las asambleas de accionistas, pudiendo realizarse en el domicilio principal o fuera de él, inclusive sino existiere un quorum universal, adicionalmente tiene una significativa flexibilidad respecto a la realización de asambleas por comunicación simultánea o sucesiva y por consentimiento escrito</w:t>
      </w:r>
      <w:r w:rsidR="00163A25">
        <w:t>, salvo estipulación en los estatutos</w:t>
      </w:r>
      <w:r w:rsidR="00A25590" w:rsidRPr="00A25590">
        <w:t xml:space="preserve"> en contrario la asamblea </w:t>
      </w:r>
      <w:r w:rsidR="00163A25">
        <w:t xml:space="preserve">debe </w:t>
      </w:r>
      <w:r w:rsidR="00A25590" w:rsidRPr="00A25590">
        <w:t>ser convocada por el representante legal de la sociedad con una antelación mínima de 5 días, en el caso de la SACS peruana no se establece esta amplia flexibilidad y la convocatoria deberá ser realizada con una antelación de 3 días.</w:t>
      </w:r>
    </w:p>
    <w:p w14:paraId="73F12222" w14:textId="0E361F2D" w:rsidR="00A25590" w:rsidRPr="00A25590" w:rsidRDefault="00A25590" w:rsidP="00A25590">
      <w:pPr>
        <w:rPr>
          <w:lang w:val="es-EC"/>
        </w:rPr>
      </w:pPr>
      <w:r w:rsidRPr="00A25590">
        <w:rPr>
          <w:lang w:val="es-EC"/>
        </w:rPr>
        <w:t>Respecto de la solución de los conflictos societarios, las normas colombiana y ecuatoriana establecen que estas podrán ser resueltas a través de una mediación, también podrán someterse a una decisión arbitral si fuere pactado de esa manera en el estatuto social y los cesionarios de las acciones también quedarán obligados a la cláusula arbitral, si no se hubiere pactado arbitraje en el estatuto social, las controversias serán resueltas ante un juez de lo civil e</w:t>
      </w:r>
      <w:r w:rsidR="00085A5D">
        <w:rPr>
          <w:lang w:val="es-EC"/>
        </w:rPr>
        <w:t>n</w:t>
      </w:r>
      <w:r w:rsidRPr="00A25590">
        <w:rPr>
          <w:lang w:val="es-EC"/>
        </w:rPr>
        <w:t xml:space="preserve"> el caso ecuatoriano y por la Superintendencia de sociedades en el caso colombiano, en</w:t>
      </w:r>
      <w:r w:rsidR="00585250">
        <w:rPr>
          <w:lang w:val="es-EC"/>
        </w:rPr>
        <w:t xml:space="preserve"> la norma societaria peruana no</w:t>
      </w:r>
      <w:r w:rsidRPr="00A25590">
        <w:rPr>
          <w:lang w:val="es-EC"/>
        </w:rPr>
        <w:t xml:space="preserve"> contempla la posibilidad de arbitraje en las SACS. </w:t>
      </w:r>
    </w:p>
    <w:p w14:paraId="04B76E10" w14:textId="77777777" w:rsidR="00A25590" w:rsidRPr="00A25590" w:rsidRDefault="00A25590" w:rsidP="00A40C25">
      <w:pPr>
        <w:pStyle w:val="Ttulo2"/>
        <w:rPr>
          <w:lang w:val="es-EC"/>
        </w:rPr>
      </w:pPr>
      <w:r w:rsidRPr="00A25590">
        <w:rPr>
          <w:lang w:val="es-EC"/>
        </w:rPr>
        <w:t>Levantamiento del velo societario</w:t>
      </w:r>
    </w:p>
    <w:p w14:paraId="0C060B19" w14:textId="584A0DD1" w:rsidR="00A25590" w:rsidRPr="00A25590" w:rsidRDefault="00A25590" w:rsidP="00A25590">
      <w:pPr>
        <w:rPr>
          <w:lang w:val="es-EC"/>
        </w:rPr>
      </w:pPr>
      <w:r w:rsidRPr="00A25590">
        <w:rPr>
          <w:lang w:val="es-EC"/>
        </w:rPr>
        <w:lastRenderedPageBreak/>
        <w:t xml:space="preserve">Respecto del levantamiento del velo societario, las normas colombiana y ecuatoriana establecen que este aplicará cuando se utilice a la compañía en fraude a la ley, como un mero recurso para evadir alguna exigencia o prohibición legal mediante simulación o por cualquier otra vía de hecho semejante, con fines abusivos en perjuicio de terceros. En este caso los accionistas y administradores que </w:t>
      </w:r>
      <w:r w:rsidR="00C83862">
        <w:rPr>
          <w:lang w:val="es-EC"/>
        </w:rPr>
        <w:t xml:space="preserve">han realizado, </w:t>
      </w:r>
      <w:r w:rsidRPr="00A25590">
        <w:rPr>
          <w:lang w:val="es-EC"/>
        </w:rPr>
        <w:t xml:space="preserve">tales actos, responderán solidariamente por las obligaciones nacidas de dichos actos y por los perjuicios causados. El levantamiento del velo societario solo podrá ser realizado mediante sentencia judicial o laudo arbitral si a si se hubiera acordado en el estatuto social. Este aspecto legal no se observa en la legislación de la SACS peruana. </w:t>
      </w:r>
    </w:p>
    <w:p w14:paraId="568F694A" w14:textId="337BD443" w:rsidR="004307D4" w:rsidRDefault="00721EBE" w:rsidP="00721EBE">
      <w:pPr>
        <w:pStyle w:val="Ttulo1"/>
      </w:pPr>
      <w:r w:rsidRPr="00721EBE">
        <w:rPr>
          <w:caps w:val="0"/>
        </w:rPr>
        <w:t>6.</w:t>
      </w:r>
      <w:r>
        <w:t xml:space="preserve"> </w:t>
      </w:r>
      <w:r w:rsidR="004307D4">
        <w:t xml:space="preserve">conclusiones </w:t>
      </w:r>
    </w:p>
    <w:p w14:paraId="10D87D37" w14:textId="5070D40E" w:rsidR="00157CEF" w:rsidRDefault="00A40C25" w:rsidP="00A40C25">
      <w:r w:rsidRPr="00A40C25">
        <w:t xml:space="preserve">Existe una armonización normativa societaria formal y funcional en las SAS de </w:t>
      </w:r>
      <w:r w:rsidR="00F203E0" w:rsidRPr="00A40C25">
        <w:t>Ecuador</w:t>
      </w:r>
      <w:r w:rsidR="00F203E0" w:rsidRPr="00A40C25">
        <w:t xml:space="preserve"> </w:t>
      </w:r>
      <w:r w:rsidR="00F203E0">
        <w:t xml:space="preserve">y </w:t>
      </w:r>
      <w:r w:rsidRPr="00A40C25">
        <w:t xml:space="preserve">Colombia, pues comparten los cambios estructurales, la constitución flexible, sin costos, por instrumento privado, por acto unilateral o por contrato, por una sola persona natural o jurídica o pluralidad de personas, sin mínimo o máximo de accionistas, con limitación de responsabilidad del accionista, separando el patrimonio civil del mercantil del empresario. Comparten similares características respecto a la aportación y constitución de capital, con diferentes clases y series de acciones, de diferentes tipos, con diferentes atribuciones de voto. Comparten normas armónicas de gobierno, estructura administrativa y representación legal, y normas similares de control, y de los actos societarios como transformación, fusión, escisión, liquidación y cancelación. </w:t>
      </w:r>
    </w:p>
    <w:p w14:paraId="50438EA2" w14:textId="2C248A40" w:rsidR="00A40C25" w:rsidRPr="00A40C25" w:rsidRDefault="00A40C25" w:rsidP="00A40C25">
      <w:r w:rsidRPr="00A40C25">
        <w:t xml:space="preserve">Respecto de la normativa peruana, podemos concluir que esta no guarda armonía con las otras dos normativas mencionadas, resulta en una </w:t>
      </w:r>
      <w:r w:rsidRPr="00A40C25">
        <w:rPr>
          <w:lang w:val="es-EC"/>
        </w:rPr>
        <w:t>convergencia parcial con divergencias estructurales</w:t>
      </w:r>
      <w:r w:rsidRPr="00A40C25">
        <w:t xml:space="preserve">, su denominación de Sociedad por Acciones Cerrada Simplificada (SACS) guarda similitud con la SAS, pero verificamos profundas diferencias sin armonía funcional, respecto a su constitución, su aportación y pago del capital, su gobierno, estructura administrativa y el alcance de su objeto social. </w:t>
      </w:r>
    </w:p>
    <w:p w14:paraId="4B5C509D" w14:textId="7078E820" w:rsidR="0015066B" w:rsidRDefault="006708ED" w:rsidP="00A40C25">
      <w:r>
        <w:rPr>
          <w:lang w:val="es-EC"/>
        </w:rPr>
        <w:lastRenderedPageBreak/>
        <w:t>C</w:t>
      </w:r>
      <w:r w:rsidRPr="00A40C25">
        <w:rPr>
          <w:lang w:val="es-EC"/>
        </w:rPr>
        <w:t>onsideramos</w:t>
      </w:r>
      <w:r w:rsidR="00A40C25" w:rsidRPr="00A40C25">
        <w:rPr>
          <w:lang w:val="es-EC"/>
        </w:rPr>
        <w:t xml:space="preserve"> imprescindible avanzar hacia una armonización del derecho societario en la región andina. Los cambios económicos, convenios internacionales de comercio, incremento de las exportaciones, la internacionalización de servicios profesionales, hacen necesario que los países de la región andina, tengan un lenguaje societario común y armónico, con particularidades propias, convirtiéndose en jurisdicciones societarias armónicas, amigables y flexibles, como ventaja competitiva para la atracción de inversiones y el comercio interregional.</w:t>
      </w:r>
    </w:p>
    <w:p w14:paraId="6C5733CD" w14:textId="4B03AA03" w:rsidR="002F3733" w:rsidRDefault="00721EBE" w:rsidP="00721EBE">
      <w:pPr>
        <w:pStyle w:val="Ttulo1"/>
      </w:pPr>
      <w:r w:rsidRPr="00721EBE">
        <w:rPr>
          <w:caps w:val="0"/>
        </w:rPr>
        <w:t>7</w:t>
      </w:r>
      <w:r w:rsidR="00920563">
        <w:rPr>
          <w:caps w:val="0"/>
        </w:rPr>
        <w:t>.</w:t>
      </w:r>
      <w:r>
        <w:t xml:space="preserve"> </w:t>
      </w:r>
      <w:r w:rsidR="002F3733">
        <w:t>Agradecimientos</w:t>
      </w:r>
      <w:r w:rsidR="00920563">
        <w:t xml:space="preserve"> </w:t>
      </w:r>
    </w:p>
    <w:p w14:paraId="74DC25C0" w14:textId="6E12E68D" w:rsidR="002F3733" w:rsidRDefault="00A40C25" w:rsidP="00920563">
      <w:r>
        <w:t xml:space="preserve">Agradezco al </w:t>
      </w:r>
      <w:r w:rsidR="00063547">
        <w:t>programa de Doctorado en Derecho de la Universidad Católica de Santiago de Guayaquil, y de manera especial al Dr. Marco Elizalde Jalil, Ph.D. y al Dr. Francisco Obando, Ph.D. por el acompañamiento científico, académico y metodológico proporcionado para la preparación del presente artículo científico.</w:t>
      </w:r>
    </w:p>
    <w:p w14:paraId="703B2935" w14:textId="6FB6B3DC" w:rsidR="003616E0" w:rsidRDefault="00721EBE" w:rsidP="003616E0">
      <w:pPr>
        <w:pStyle w:val="Ttulo1"/>
        <w:rPr>
          <w:rStyle w:val="Hipervnculo"/>
          <w:color w:val="FF0000"/>
          <w:u w:val="none"/>
        </w:rPr>
      </w:pPr>
      <w:r w:rsidRPr="008B6A98">
        <w:rPr>
          <w:caps w:val="0"/>
        </w:rPr>
        <w:t>8.</w:t>
      </w:r>
      <w:r w:rsidRPr="008B6A98">
        <w:t xml:space="preserve"> </w:t>
      </w:r>
      <w:r w:rsidR="002F3733" w:rsidRPr="008B6A98">
        <w:t>Referencias</w:t>
      </w:r>
    </w:p>
    <w:p w14:paraId="30D8C6D5" w14:textId="5CF4387C" w:rsidR="006E09B0" w:rsidRDefault="00F735CB" w:rsidP="006E09B0">
      <w:pPr>
        <w:pStyle w:val="Bibliografa"/>
        <w:ind w:left="720" w:hanging="720"/>
        <w:rPr>
          <w:noProof/>
          <w:sz w:val="24"/>
          <w:szCs w:val="24"/>
        </w:rPr>
      </w:pPr>
      <w:r>
        <w:rPr>
          <w:color w:val="FF0000"/>
        </w:rPr>
        <w:fldChar w:fldCharType="begin"/>
      </w:r>
      <w:r>
        <w:rPr>
          <w:color w:val="FF0000"/>
          <w:lang w:val="es-EC"/>
        </w:rPr>
        <w:instrText xml:space="preserve"> BIBLIOGRAPHY  \l 12298 </w:instrText>
      </w:r>
      <w:r>
        <w:rPr>
          <w:color w:val="FF0000"/>
        </w:rPr>
        <w:fldChar w:fldCharType="separate"/>
      </w:r>
      <w:r w:rsidR="006E09B0">
        <w:rPr>
          <w:noProof/>
        </w:rPr>
        <w:t xml:space="preserve">Alvarado Blanco, C. (6 de Agosto de 2021). </w:t>
      </w:r>
      <w:r w:rsidR="006E09B0">
        <w:rPr>
          <w:i/>
          <w:iCs/>
          <w:noProof/>
        </w:rPr>
        <w:t>scielo.org.co</w:t>
      </w:r>
      <w:r w:rsidR="006E09B0">
        <w:rPr>
          <w:noProof/>
        </w:rPr>
        <w:t xml:space="preserve">. </w:t>
      </w:r>
      <w:hyperlink r:id="rId9" w:tgtFrame="_blank" w:history="1">
        <w:r w:rsidR="006E09B0">
          <w:rPr>
            <w:rStyle w:val="Hipervnculo"/>
            <w:noProof/>
          </w:rPr>
          <w:t>http://scielo.org.co/scielo.php?script=sci_arttext&amp;pid=S0121-182X2021000100133</w:t>
        </w:r>
      </w:hyperlink>
    </w:p>
    <w:p w14:paraId="0750A98E" w14:textId="77777777" w:rsidR="006E09B0" w:rsidRDefault="006E09B0" w:rsidP="006E09B0">
      <w:pPr>
        <w:pStyle w:val="Bibliografa"/>
        <w:ind w:left="720" w:hanging="720"/>
        <w:rPr>
          <w:noProof/>
        </w:rPr>
      </w:pPr>
      <w:r>
        <w:rPr>
          <w:noProof/>
        </w:rPr>
        <w:t>Bustamante Fuentes, C. (2024). Derecho societario potenciado por la nueva figura jurídica: SAS para emprendedores. Quito, Pichincha, Ecuador: Murillo Editores.</w:t>
      </w:r>
    </w:p>
    <w:p w14:paraId="3C856DB3" w14:textId="77777777" w:rsidR="006E09B0" w:rsidRDefault="006E09B0" w:rsidP="006E09B0">
      <w:pPr>
        <w:pStyle w:val="Bibliografa"/>
        <w:ind w:left="720" w:hanging="720"/>
        <w:rPr>
          <w:noProof/>
        </w:rPr>
      </w:pPr>
      <w:r>
        <w:rPr>
          <w:noProof/>
        </w:rPr>
        <w:t>Colombia, Ley 1258 de 2008. (5 de Diciembre de 2008). Colombia, Ley 1258 de 2008. Bogotá, Bogotá, Colombia.</w:t>
      </w:r>
    </w:p>
    <w:p w14:paraId="65CE3FF2" w14:textId="77777777" w:rsidR="006E09B0" w:rsidRDefault="006E09B0" w:rsidP="006E09B0">
      <w:pPr>
        <w:pStyle w:val="Bibliografa"/>
        <w:ind w:left="720" w:hanging="720"/>
        <w:rPr>
          <w:noProof/>
        </w:rPr>
      </w:pPr>
      <w:r>
        <w:rPr>
          <w:noProof/>
        </w:rPr>
        <w:t>Ecuador, Ley Orgánica de Emprendimiento e Innovación. (28 de Febrero de 2020). Ley Orgánica de Emprendimiento e Innovación. Quito, Pichincha, Ecuador.</w:t>
      </w:r>
    </w:p>
    <w:p w14:paraId="3478118A" w14:textId="77777777" w:rsidR="006E09B0" w:rsidRDefault="006E09B0" w:rsidP="006E09B0">
      <w:pPr>
        <w:pStyle w:val="Bibliografa"/>
        <w:ind w:left="720" w:hanging="720"/>
        <w:rPr>
          <w:noProof/>
        </w:rPr>
      </w:pPr>
      <w:r>
        <w:rPr>
          <w:noProof/>
        </w:rPr>
        <w:t>Guevara Cadena, J. (2018). La Sociedad por Acciones Simplificada SAS una sociedad de éxito. Bogotá, Bogotá, Colombia: Universidad Católica Colombiana.</w:t>
      </w:r>
    </w:p>
    <w:p w14:paraId="7D45A0D0" w14:textId="77777777" w:rsidR="006E09B0" w:rsidRDefault="006E09B0" w:rsidP="006E09B0">
      <w:pPr>
        <w:pStyle w:val="Bibliografa"/>
        <w:ind w:left="720" w:hanging="720"/>
        <w:rPr>
          <w:noProof/>
        </w:rPr>
      </w:pPr>
      <w:r>
        <w:rPr>
          <w:noProof/>
        </w:rPr>
        <w:t>Perú, Decreto Legislativo 1409. (12 de Septiembre de 2018). Decreto Legislativo 1409 que promociona la formalización y dinamización de micro, pequeña y mediana empresa mediante el régimen societario alternativo denominado Sociedad por Acciones Cerrada Simplificada. Lima, Perú.</w:t>
      </w:r>
    </w:p>
    <w:p w14:paraId="733748EA" w14:textId="77777777" w:rsidR="006E09B0" w:rsidRDefault="006E09B0" w:rsidP="006E09B0">
      <w:pPr>
        <w:pStyle w:val="Bibliografa"/>
        <w:ind w:left="720" w:hanging="720"/>
        <w:rPr>
          <w:noProof/>
        </w:rPr>
      </w:pPr>
      <w:r>
        <w:rPr>
          <w:noProof/>
        </w:rPr>
        <w:lastRenderedPageBreak/>
        <w:t xml:space="preserve">Reyes Villamizar, F. (2024). </w:t>
      </w:r>
      <w:r>
        <w:rPr>
          <w:i/>
          <w:iCs/>
          <w:noProof/>
        </w:rPr>
        <w:t>Derecho Societario LA SAS.</w:t>
      </w:r>
      <w:r>
        <w:rPr>
          <w:noProof/>
        </w:rPr>
        <w:t xml:space="preserve"> Bogotá: Editorial Temis S.A.</w:t>
      </w:r>
    </w:p>
    <w:p w14:paraId="2AF534DE" w14:textId="77777777" w:rsidR="006E09B0" w:rsidRDefault="006E09B0" w:rsidP="006E09B0">
      <w:pPr>
        <w:pStyle w:val="Bibliografa"/>
        <w:ind w:left="720" w:hanging="720"/>
        <w:rPr>
          <w:noProof/>
        </w:rPr>
      </w:pPr>
      <w:r>
        <w:rPr>
          <w:noProof/>
        </w:rPr>
        <w:t>Salgado Valdez, R. (Septiembre de 2021). Emprendimiento e Innovación Sociedad por Acciones Simplificadas (SAS). Quito, Pichincha, Ecuador: Editorial Jurídica del Ecuador.</w:t>
      </w:r>
    </w:p>
    <w:p w14:paraId="019F3A40" w14:textId="76EDB059" w:rsidR="008F3F8E" w:rsidRPr="00920563" w:rsidRDefault="00F735CB" w:rsidP="006E09B0">
      <w:pPr>
        <w:rPr>
          <w:color w:val="FF0000"/>
        </w:rPr>
      </w:pPr>
      <w:r>
        <w:rPr>
          <w:color w:val="FF0000"/>
        </w:rPr>
        <w:fldChar w:fldCharType="end"/>
      </w:r>
    </w:p>
    <w:p w14:paraId="3944D8C3" w14:textId="77777777" w:rsidR="00CE0F4B" w:rsidRPr="00C45F7D" w:rsidRDefault="00CE0F4B" w:rsidP="008B6A98">
      <w:pPr>
        <w:rPr>
          <w:color w:val="FF0000"/>
        </w:rPr>
      </w:pPr>
    </w:p>
    <w:p w14:paraId="1CED1DA4" w14:textId="77777777" w:rsidR="00CE0F4B" w:rsidRPr="00CE0F4B" w:rsidRDefault="00CE0F4B" w:rsidP="008B6A98"/>
    <w:sectPr w:rsidR="00CE0F4B" w:rsidRPr="00CE0F4B"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3F369" w14:textId="77777777" w:rsidR="00322BD7" w:rsidRDefault="00322BD7" w:rsidP="00EB0247">
      <w:pPr>
        <w:spacing w:after="0" w:line="240" w:lineRule="auto"/>
      </w:pPr>
      <w:r>
        <w:separator/>
      </w:r>
    </w:p>
  </w:endnote>
  <w:endnote w:type="continuationSeparator" w:id="0">
    <w:p w14:paraId="2335AECD" w14:textId="77777777" w:rsidR="00322BD7" w:rsidRDefault="00322BD7"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6A186" w14:textId="77777777" w:rsidR="00322BD7" w:rsidRDefault="00322BD7" w:rsidP="00EB0247">
      <w:pPr>
        <w:spacing w:after="0" w:line="240" w:lineRule="auto"/>
      </w:pPr>
      <w:r>
        <w:separator/>
      </w:r>
    </w:p>
  </w:footnote>
  <w:footnote w:type="continuationSeparator" w:id="0">
    <w:p w14:paraId="0F7963D9" w14:textId="77777777" w:rsidR="00322BD7" w:rsidRDefault="00322BD7"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3"/>
  </w:num>
  <w:num w:numId="13">
    <w:abstractNumId w:val="16"/>
  </w:num>
  <w:num w:numId="14">
    <w:abstractNumId w:val="17"/>
  </w:num>
  <w:num w:numId="15">
    <w:abstractNumId w:val="18"/>
  </w:num>
  <w:num w:numId="16">
    <w:abstractNumId w:val="28"/>
  </w:num>
  <w:num w:numId="17">
    <w:abstractNumId w:val="25"/>
  </w:num>
  <w:num w:numId="18">
    <w:abstractNumId w:val="10"/>
  </w:num>
  <w:num w:numId="19">
    <w:abstractNumId w:val="24"/>
  </w:num>
  <w:num w:numId="20">
    <w:abstractNumId w:val="29"/>
  </w:num>
  <w:num w:numId="21">
    <w:abstractNumId w:val="30"/>
  </w:num>
  <w:num w:numId="22">
    <w:abstractNumId w:val="21"/>
  </w:num>
  <w:num w:numId="23">
    <w:abstractNumId w:val="30"/>
    <w:lvlOverride w:ilvl="0">
      <w:startOverride w:val="1"/>
    </w:lvlOverride>
  </w:num>
  <w:num w:numId="24">
    <w:abstractNumId w:val="30"/>
    <w:lvlOverride w:ilvl="0">
      <w:startOverride w:val="1"/>
    </w:lvlOverride>
  </w:num>
  <w:num w:numId="25">
    <w:abstractNumId w:val="12"/>
  </w:num>
  <w:num w:numId="26">
    <w:abstractNumId w:val="31"/>
  </w:num>
  <w:num w:numId="27">
    <w:abstractNumId w:val="19"/>
  </w:num>
  <w:num w:numId="28">
    <w:abstractNumId w:val="20"/>
  </w:num>
  <w:num w:numId="29">
    <w:abstractNumId w:val="22"/>
  </w:num>
  <w:num w:numId="30">
    <w:abstractNumId w:val="15"/>
  </w:num>
  <w:num w:numId="31">
    <w:abstractNumId w:val="23"/>
  </w:num>
  <w:num w:numId="32">
    <w:abstractNumId w:val="14"/>
  </w:num>
  <w:num w:numId="33">
    <w:abstractNumId w:val="26"/>
  </w:num>
  <w:num w:numId="34">
    <w:abstractNumId w:val="27"/>
  </w:num>
  <w:num w:numId="35">
    <w:abstractNumId w:val="32"/>
  </w:num>
  <w:num w:numId="36">
    <w:abstractNumId w:val="30"/>
    <w:lvlOverride w:ilvl="0">
      <w:startOverride w:val="1"/>
    </w:lvlOverride>
  </w:num>
  <w:num w:numId="37">
    <w:abstractNumId w:val="30"/>
    <w:lvlOverride w:ilvl="0">
      <w:startOverride w:val="1"/>
    </w:lvlOverride>
  </w:num>
  <w:num w:numId="38">
    <w:abstractNumId w:val="30"/>
    <w:lvlOverride w:ilvl="0">
      <w:startOverride w:val="1"/>
    </w:lvlOverride>
  </w:num>
  <w:num w:numId="39">
    <w:abstractNumId w:val="32"/>
    <w:lvlOverride w:ilvl="0">
      <w:startOverride w:val="1"/>
    </w:lvlOverride>
  </w:num>
  <w:num w:numId="40">
    <w:abstractNumId w:val="32"/>
    <w:lvlOverride w:ilvl="0">
      <w:startOverride w:val="1"/>
    </w:lvlOverride>
  </w:num>
  <w:num w:numId="41">
    <w:abstractNumId w:val="30"/>
    <w:lvlOverride w:ilvl="0">
      <w:startOverride w:val="1"/>
    </w:lvlOverride>
  </w:num>
  <w:num w:numId="42">
    <w:abstractNumId w:val="32"/>
    <w:lvlOverride w:ilvl="0">
      <w:startOverride w:val="1"/>
    </w:lvlOverride>
  </w:num>
  <w:num w:numId="43">
    <w:abstractNumId w:val="30"/>
    <w:lvlOverride w:ilvl="0">
      <w:startOverride w:val="1"/>
    </w:lvlOverride>
  </w:num>
  <w:num w:numId="44">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50E9"/>
    <w:rsid w:val="000068CF"/>
    <w:rsid w:val="00012517"/>
    <w:rsid w:val="00022B02"/>
    <w:rsid w:val="000330D8"/>
    <w:rsid w:val="00033E3E"/>
    <w:rsid w:val="00042194"/>
    <w:rsid w:val="00063421"/>
    <w:rsid w:val="00063547"/>
    <w:rsid w:val="00085140"/>
    <w:rsid w:val="00085A5D"/>
    <w:rsid w:val="00097EEF"/>
    <w:rsid w:val="000C5EDB"/>
    <w:rsid w:val="000D5396"/>
    <w:rsid w:val="00123E42"/>
    <w:rsid w:val="001348A0"/>
    <w:rsid w:val="00140844"/>
    <w:rsid w:val="001468AC"/>
    <w:rsid w:val="0015066B"/>
    <w:rsid w:val="001565F7"/>
    <w:rsid w:val="00156F2B"/>
    <w:rsid w:val="001571A2"/>
    <w:rsid w:val="00157CEF"/>
    <w:rsid w:val="00161339"/>
    <w:rsid w:val="00163A25"/>
    <w:rsid w:val="00174EF5"/>
    <w:rsid w:val="00182667"/>
    <w:rsid w:val="00185A00"/>
    <w:rsid w:val="0018654D"/>
    <w:rsid w:val="001917D9"/>
    <w:rsid w:val="001950D8"/>
    <w:rsid w:val="00197D57"/>
    <w:rsid w:val="001A7AD8"/>
    <w:rsid w:val="001C4457"/>
    <w:rsid w:val="001D0D33"/>
    <w:rsid w:val="001D3A78"/>
    <w:rsid w:val="001E1053"/>
    <w:rsid w:val="001E20D2"/>
    <w:rsid w:val="00212275"/>
    <w:rsid w:val="002369ED"/>
    <w:rsid w:val="00242EFB"/>
    <w:rsid w:val="002433EC"/>
    <w:rsid w:val="00254F0F"/>
    <w:rsid w:val="00265AB3"/>
    <w:rsid w:val="002728CB"/>
    <w:rsid w:val="00273DC0"/>
    <w:rsid w:val="00280126"/>
    <w:rsid w:val="00281564"/>
    <w:rsid w:val="00285B53"/>
    <w:rsid w:val="002A3279"/>
    <w:rsid w:val="002A43CD"/>
    <w:rsid w:val="002B43C1"/>
    <w:rsid w:val="002C5703"/>
    <w:rsid w:val="002D23FB"/>
    <w:rsid w:val="002D268C"/>
    <w:rsid w:val="002F172D"/>
    <w:rsid w:val="002F3733"/>
    <w:rsid w:val="00322BD7"/>
    <w:rsid w:val="003512A0"/>
    <w:rsid w:val="003616E0"/>
    <w:rsid w:val="00371F2F"/>
    <w:rsid w:val="00375999"/>
    <w:rsid w:val="00391D8B"/>
    <w:rsid w:val="0039591A"/>
    <w:rsid w:val="003A7746"/>
    <w:rsid w:val="003C4D9F"/>
    <w:rsid w:val="003E66FB"/>
    <w:rsid w:val="00422CDA"/>
    <w:rsid w:val="004307D4"/>
    <w:rsid w:val="00436CCF"/>
    <w:rsid w:val="00437ED3"/>
    <w:rsid w:val="0044345A"/>
    <w:rsid w:val="00467E68"/>
    <w:rsid w:val="00470BAD"/>
    <w:rsid w:val="00471CF9"/>
    <w:rsid w:val="004770A2"/>
    <w:rsid w:val="00477173"/>
    <w:rsid w:val="004819D7"/>
    <w:rsid w:val="004842F0"/>
    <w:rsid w:val="00484413"/>
    <w:rsid w:val="00493A17"/>
    <w:rsid w:val="004A4A75"/>
    <w:rsid w:val="004C0202"/>
    <w:rsid w:val="004D0180"/>
    <w:rsid w:val="004E53EC"/>
    <w:rsid w:val="004F6383"/>
    <w:rsid w:val="00522897"/>
    <w:rsid w:val="00525097"/>
    <w:rsid w:val="005335DF"/>
    <w:rsid w:val="005371BF"/>
    <w:rsid w:val="005417EB"/>
    <w:rsid w:val="005430EA"/>
    <w:rsid w:val="0055483F"/>
    <w:rsid w:val="005574C3"/>
    <w:rsid w:val="00565647"/>
    <w:rsid w:val="00580825"/>
    <w:rsid w:val="00584BB4"/>
    <w:rsid w:val="00585250"/>
    <w:rsid w:val="00587D96"/>
    <w:rsid w:val="00590B86"/>
    <w:rsid w:val="00590BC8"/>
    <w:rsid w:val="005A43E3"/>
    <w:rsid w:val="005A4AFE"/>
    <w:rsid w:val="005A6174"/>
    <w:rsid w:val="00607EE3"/>
    <w:rsid w:val="006127CE"/>
    <w:rsid w:val="006131F7"/>
    <w:rsid w:val="00614C2A"/>
    <w:rsid w:val="00624187"/>
    <w:rsid w:val="0063777B"/>
    <w:rsid w:val="00645173"/>
    <w:rsid w:val="00663E3E"/>
    <w:rsid w:val="00665887"/>
    <w:rsid w:val="00666755"/>
    <w:rsid w:val="006708ED"/>
    <w:rsid w:val="00675757"/>
    <w:rsid w:val="00680332"/>
    <w:rsid w:val="00681364"/>
    <w:rsid w:val="0068171E"/>
    <w:rsid w:val="00683B7B"/>
    <w:rsid w:val="006846E4"/>
    <w:rsid w:val="00686766"/>
    <w:rsid w:val="0068745E"/>
    <w:rsid w:val="006B7745"/>
    <w:rsid w:val="006C5327"/>
    <w:rsid w:val="006D64BB"/>
    <w:rsid w:val="006E09B0"/>
    <w:rsid w:val="00700182"/>
    <w:rsid w:val="0070362F"/>
    <w:rsid w:val="00704F16"/>
    <w:rsid w:val="00714CBD"/>
    <w:rsid w:val="00721EBE"/>
    <w:rsid w:val="00742AC5"/>
    <w:rsid w:val="0074399B"/>
    <w:rsid w:val="00754E94"/>
    <w:rsid w:val="007558D0"/>
    <w:rsid w:val="007701F1"/>
    <w:rsid w:val="007777BB"/>
    <w:rsid w:val="007809F7"/>
    <w:rsid w:val="00792960"/>
    <w:rsid w:val="007A0F17"/>
    <w:rsid w:val="007B3D9A"/>
    <w:rsid w:val="007D2DA1"/>
    <w:rsid w:val="007E2D6E"/>
    <w:rsid w:val="007E4E94"/>
    <w:rsid w:val="007F0944"/>
    <w:rsid w:val="008029E2"/>
    <w:rsid w:val="00810D4B"/>
    <w:rsid w:val="008238DE"/>
    <w:rsid w:val="0082447F"/>
    <w:rsid w:val="00845F38"/>
    <w:rsid w:val="008535B9"/>
    <w:rsid w:val="00863A4D"/>
    <w:rsid w:val="008A3C95"/>
    <w:rsid w:val="008A4085"/>
    <w:rsid w:val="008A483F"/>
    <w:rsid w:val="008B6A98"/>
    <w:rsid w:val="008C1056"/>
    <w:rsid w:val="008C2B2C"/>
    <w:rsid w:val="008F1330"/>
    <w:rsid w:val="008F3F8E"/>
    <w:rsid w:val="008F419D"/>
    <w:rsid w:val="009036A0"/>
    <w:rsid w:val="0091106C"/>
    <w:rsid w:val="0091337D"/>
    <w:rsid w:val="009171C1"/>
    <w:rsid w:val="00920563"/>
    <w:rsid w:val="0093429F"/>
    <w:rsid w:val="009477E3"/>
    <w:rsid w:val="00955495"/>
    <w:rsid w:val="009578AE"/>
    <w:rsid w:val="009603CD"/>
    <w:rsid w:val="00962592"/>
    <w:rsid w:val="0096527B"/>
    <w:rsid w:val="0097643B"/>
    <w:rsid w:val="00976609"/>
    <w:rsid w:val="009847F6"/>
    <w:rsid w:val="00990B73"/>
    <w:rsid w:val="00996E31"/>
    <w:rsid w:val="009A336B"/>
    <w:rsid w:val="009A6DAD"/>
    <w:rsid w:val="009B3D68"/>
    <w:rsid w:val="009C0DFA"/>
    <w:rsid w:val="009C2DC6"/>
    <w:rsid w:val="009C304F"/>
    <w:rsid w:val="009C657C"/>
    <w:rsid w:val="009D0814"/>
    <w:rsid w:val="009D4514"/>
    <w:rsid w:val="009E2480"/>
    <w:rsid w:val="009E664A"/>
    <w:rsid w:val="009F5F74"/>
    <w:rsid w:val="009F7FC1"/>
    <w:rsid w:val="00A11166"/>
    <w:rsid w:val="00A206F1"/>
    <w:rsid w:val="00A25590"/>
    <w:rsid w:val="00A40C25"/>
    <w:rsid w:val="00A47420"/>
    <w:rsid w:val="00A5199B"/>
    <w:rsid w:val="00A6376D"/>
    <w:rsid w:val="00A8553F"/>
    <w:rsid w:val="00A906EC"/>
    <w:rsid w:val="00AA4431"/>
    <w:rsid w:val="00AB2434"/>
    <w:rsid w:val="00AB2D6D"/>
    <w:rsid w:val="00AD140F"/>
    <w:rsid w:val="00AD7610"/>
    <w:rsid w:val="00B0360C"/>
    <w:rsid w:val="00B03E92"/>
    <w:rsid w:val="00B0717D"/>
    <w:rsid w:val="00B35CE7"/>
    <w:rsid w:val="00B36F6B"/>
    <w:rsid w:val="00B41804"/>
    <w:rsid w:val="00B57A4E"/>
    <w:rsid w:val="00B60DF4"/>
    <w:rsid w:val="00B867E4"/>
    <w:rsid w:val="00BA272B"/>
    <w:rsid w:val="00BA4EA8"/>
    <w:rsid w:val="00BA4FD5"/>
    <w:rsid w:val="00BB38AC"/>
    <w:rsid w:val="00BC0C9E"/>
    <w:rsid w:val="00BD7178"/>
    <w:rsid w:val="00BE3D2B"/>
    <w:rsid w:val="00BE5F2C"/>
    <w:rsid w:val="00BF08EE"/>
    <w:rsid w:val="00BF45D1"/>
    <w:rsid w:val="00BF50C0"/>
    <w:rsid w:val="00C21ACF"/>
    <w:rsid w:val="00C21F8C"/>
    <w:rsid w:val="00C302E3"/>
    <w:rsid w:val="00C30BA1"/>
    <w:rsid w:val="00C359F8"/>
    <w:rsid w:val="00C45F7D"/>
    <w:rsid w:val="00C80A47"/>
    <w:rsid w:val="00C83862"/>
    <w:rsid w:val="00C930F7"/>
    <w:rsid w:val="00CA0400"/>
    <w:rsid w:val="00CC152D"/>
    <w:rsid w:val="00CD0091"/>
    <w:rsid w:val="00CE0F4B"/>
    <w:rsid w:val="00CE3D5C"/>
    <w:rsid w:val="00CF4977"/>
    <w:rsid w:val="00D0381D"/>
    <w:rsid w:val="00D05D1F"/>
    <w:rsid w:val="00D12061"/>
    <w:rsid w:val="00D36F76"/>
    <w:rsid w:val="00D47BD3"/>
    <w:rsid w:val="00D502EB"/>
    <w:rsid w:val="00D56D5F"/>
    <w:rsid w:val="00D86CAA"/>
    <w:rsid w:val="00D97ADC"/>
    <w:rsid w:val="00DA0BED"/>
    <w:rsid w:val="00DB5839"/>
    <w:rsid w:val="00DB79E5"/>
    <w:rsid w:val="00DC3839"/>
    <w:rsid w:val="00DC4A22"/>
    <w:rsid w:val="00DC5E7D"/>
    <w:rsid w:val="00DE0B74"/>
    <w:rsid w:val="00DE2570"/>
    <w:rsid w:val="00DE7FB3"/>
    <w:rsid w:val="00DF1ACD"/>
    <w:rsid w:val="00DF1B76"/>
    <w:rsid w:val="00DF437E"/>
    <w:rsid w:val="00E04357"/>
    <w:rsid w:val="00E05E1A"/>
    <w:rsid w:val="00E06000"/>
    <w:rsid w:val="00E34883"/>
    <w:rsid w:val="00E37153"/>
    <w:rsid w:val="00E5764A"/>
    <w:rsid w:val="00E60CAE"/>
    <w:rsid w:val="00E6391B"/>
    <w:rsid w:val="00E649D6"/>
    <w:rsid w:val="00EA4A6E"/>
    <w:rsid w:val="00EA6A0D"/>
    <w:rsid w:val="00EB0247"/>
    <w:rsid w:val="00EC01A5"/>
    <w:rsid w:val="00EC14E7"/>
    <w:rsid w:val="00EC4A30"/>
    <w:rsid w:val="00F170D2"/>
    <w:rsid w:val="00F203E0"/>
    <w:rsid w:val="00F45C5C"/>
    <w:rsid w:val="00F60611"/>
    <w:rsid w:val="00F6387D"/>
    <w:rsid w:val="00F63B01"/>
    <w:rsid w:val="00F66726"/>
    <w:rsid w:val="00F735CB"/>
    <w:rsid w:val="00F831B2"/>
    <w:rsid w:val="00F92F51"/>
    <w:rsid w:val="00FA51E8"/>
    <w:rsid w:val="00FA7CDE"/>
    <w:rsid w:val="00FC486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customStyle="1" w:styleId="Mencinsinresolver2">
    <w:name w:val="Mención sin resolver2"/>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7384">
      <w:bodyDiv w:val="1"/>
      <w:marLeft w:val="0"/>
      <w:marRight w:val="0"/>
      <w:marTop w:val="0"/>
      <w:marBottom w:val="0"/>
      <w:divBdr>
        <w:top w:val="none" w:sz="0" w:space="0" w:color="auto"/>
        <w:left w:val="none" w:sz="0" w:space="0" w:color="auto"/>
        <w:bottom w:val="none" w:sz="0" w:space="0" w:color="auto"/>
        <w:right w:val="none" w:sz="0" w:space="0" w:color="auto"/>
      </w:divBdr>
    </w:div>
    <w:div w:id="29384167">
      <w:bodyDiv w:val="1"/>
      <w:marLeft w:val="0"/>
      <w:marRight w:val="0"/>
      <w:marTop w:val="0"/>
      <w:marBottom w:val="0"/>
      <w:divBdr>
        <w:top w:val="none" w:sz="0" w:space="0" w:color="auto"/>
        <w:left w:val="none" w:sz="0" w:space="0" w:color="auto"/>
        <w:bottom w:val="none" w:sz="0" w:space="0" w:color="auto"/>
        <w:right w:val="none" w:sz="0" w:space="0" w:color="auto"/>
      </w:divBdr>
    </w:div>
    <w:div w:id="102001141">
      <w:bodyDiv w:val="1"/>
      <w:marLeft w:val="0"/>
      <w:marRight w:val="0"/>
      <w:marTop w:val="0"/>
      <w:marBottom w:val="0"/>
      <w:divBdr>
        <w:top w:val="none" w:sz="0" w:space="0" w:color="auto"/>
        <w:left w:val="none" w:sz="0" w:space="0" w:color="auto"/>
        <w:bottom w:val="none" w:sz="0" w:space="0" w:color="auto"/>
        <w:right w:val="none" w:sz="0" w:space="0" w:color="auto"/>
      </w:divBdr>
    </w:div>
    <w:div w:id="144124277">
      <w:bodyDiv w:val="1"/>
      <w:marLeft w:val="0"/>
      <w:marRight w:val="0"/>
      <w:marTop w:val="0"/>
      <w:marBottom w:val="0"/>
      <w:divBdr>
        <w:top w:val="none" w:sz="0" w:space="0" w:color="auto"/>
        <w:left w:val="none" w:sz="0" w:space="0" w:color="auto"/>
        <w:bottom w:val="none" w:sz="0" w:space="0" w:color="auto"/>
        <w:right w:val="none" w:sz="0" w:space="0" w:color="auto"/>
      </w:divBdr>
    </w:div>
    <w:div w:id="174196420">
      <w:bodyDiv w:val="1"/>
      <w:marLeft w:val="0"/>
      <w:marRight w:val="0"/>
      <w:marTop w:val="0"/>
      <w:marBottom w:val="0"/>
      <w:divBdr>
        <w:top w:val="none" w:sz="0" w:space="0" w:color="auto"/>
        <w:left w:val="none" w:sz="0" w:space="0" w:color="auto"/>
        <w:bottom w:val="none" w:sz="0" w:space="0" w:color="auto"/>
        <w:right w:val="none" w:sz="0" w:space="0" w:color="auto"/>
      </w:divBdr>
    </w:div>
    <w:div w:id="194850506">
      <w:bodyDiv w:val="1"/>
      <w:marLeft w:val="0"/>
      <w:marRight w:val="0"/>
      <w:marTop w:val="0"/>
      <w:marBottom w:val="0"/>
      <w:divBdr>
        <w:top w:val="none" w:sz="0" w:space="0" w:color="auto"/>
        <w:left w:val="none" w:sz="0" w:space="0" w:color="auto"/>
        <w:bottom w:val="none" w:sz="0" w:space="0" w:color="auto"/>
        <w:right w:val="none" w:sz="0" w:space="0" w:color="auto"/>
      </w:divBdr>
    </w:div>
    <w:div w:id="224218022">
      <w:bodyDiv w:val="1"/>
      <w:marLeft w:val="0"/>
      <w:marRight w:val="0"/>
      <w:marTop w:val="0"/>
      <w:marBottom w:val="0"/>
      <w:divBdr>
        <w:top w:val="none" w:sz="0" w:space="0" w:color="auto"/>
        <w:left w:val="none" w:sz="0" w:space="0" w:color="auto"/>
        <w:bottom w:val="none" w:sz="0" w:space="0" w:color="auto"/>
        <w:right w:val="none" w:sz="0" w:space="0" w:color="auto"/>
      </w:divBdr>
    </w:div>
    <w:div w:id="257370966">
      <w:bodyDiv w:val="1"/>
      <w:marLeft w:val="0"/>
      <w:marRight w:val="0"/>
      <w:marTop w:val="0"/>
      <w:marBottom w:val="0"/>
      <w:divBdr>
        <w:top w:val="none" w:sz="0" w:space="0" w:color="auto"/>
        <w:left w:val="none" w:sz="0" w:space="0" w:color="auto"/>
        <w:bottom w:val="none" w:sz="0" w:space="0" w:color="auto"/>
        <w:right w:val="none" w:sz="0" w:space="0" w:color="auto"/>
      </w:divBdr>
    </w:div>
    <w:div w:id="349142308">
      <w:bodyDiv w:val="1"/>
      <w:marLeft w:val="0"/>
      <w:marRight w:val="0"/>
      <w:marTop w:val="0"/>
      <w:marBottom w:val="0"/>
      <w:divBdr>
        <w:top w:val="none" w:sz="0" w:space="0" w:color="auto"/>
        <w:left w:val="none" w:sz="0" w:space="0" w:color="auto"/>
        <w:bottom w:val="none" w:sz="0" w:space="0" w:color="auto"/>
        <w:right w:val="none" w:sz="0" w:space="0" w:color="auto"/>
      </w:divBdr>
    </w:div>
    <w:div w:id="350495865">
      <w:bodyDiv w:val="1"/>
      <w:marLeft w:val="0"/>
      <w:marRight w:val="0"/>
      <w:marTop w:val="0"/>
      <w:marBottom w:val="0"/>
      <w:divBdr>
        <w:top w:val="none" w:sz="0" w:space="0" w:color="auto"/>
        <w:left w:val="none" w:sz="0" w:space="0" w:color="auto"/>
        <w:bottom w:val="none" w:sz="0" w:space="0" w:color="auto"/>
        <w:right w:val="none" w:sz="0" w:space="0" w:color="auto"/>
      </w:divBdr>
    </w:div>
    <w:div w:id="362705627">
      <w:bodyDiv w:val="1"/>
      <w:marLeft w:val="0"/>
      <w:marRight w:val="0"/>
      <w:marTop w:val="0"/>
      <w:marBottom w:val="0"/>
      <w:divBdr>
        <w:top w:val="none" w:sz="0" w:space="0" w:color="auto"/>
        <w:left w:val="none" w:sz="0" w:space="0" w:color="auto"/>
        <w:bottom w:val="none" w:sz="0" w:space="0" w:color="auto"/>
        <w:right w:val="none" w:sz="0" w:space="0" w:color="auto"/>
      </w:divBdr>
    </w:div>
    <w:div w:id="365955670">
      <w:bodyDiv w:val="1"/>
      <w:marLeft w:val="0"/>
      <w:marRight w:val="0"/>
      <w:marTop w:val="0"/>
      <w:marBottom w:val="0"/>
      <w:divBdr>
        <w:top w:val="none" w:sz="0" w:space="0" w:color="auto"/>
        <w:left w:val="none" w:sz="0" w:space="0" w:color="auto"/>
        <w:bottom w:val="none" w:sz="0" w:space="0" w:color="auto"/>
        <w:right w:val="none" w:sz="0" w:space="0" w:color="auto"/>
      </w:divBdr>
    </w:div>
    <w:div w:id="371614444">
      <w:bodyDiv w:val="1"/>
      <w:marLeft w:val="0"/>
      <w:marRight w:val="0"/>
      <w:marTop w:val="0"/>
      <w:marBottom w:val="0"/>
      <w:divBdr>
        <w:top w:val="none" w:sz="0" w:space="0" w:color="auto"/>
        <w:left w:val="none" w:sz="0" w:space="0" w:color="auto"/>
        <w:bottom w:val="none" w:sz="0" w:space="0" w:color="auto"/>
        <w:right w:val="none" w:sz="0" w:space="0" w:color="auto"/>
      </w:divBdr>
    </w:div>
    <w:div w:id="395511231">
      <w:bodyDiv w:val="1"/>
      <w:marLeft w:val="0"/>
      <w:marRight w:val="0"/>
      <w:marTop w:val="0"/>
      <w:marBottom w:val="0"/>
      <w:divBdr>
        <w:top w:val="none" w:sz="0" w:space="0" w:color="auto"/>
        <w:left w:val="none" w:sz="0" w:space="0" w:color="auto"/>
        <w:bottom w:val="none" w:sz="0" w:space="0" w:color="auto"/>
        <w:right w:val="none" w:sz="0" w:space="0" w:color="auto"/>
      </w:divBdr>
    </w:div>
    <w:div w:id="434329643">
      <w:bodyDiv w:val="1"/>
      <w:marLeft w:val="0"/>
      <w:marRight w:val="0"/>
      <w:marTop w:val="0"/>
      <w:marBottom w:val="0"/>
      <w:divBdr>
        <w:top w:val="none" w:sz="0" w:space="0" w:color="auto"/>
        <w:left w:val="none" w:sz="0" w:space="0" w:color="auto"/>
        <w:bottom w:val="none" w:sz="0" w:space="0" w:color="auto"/>
        <w:right w:val="none" w:sz="0" w:space="0" w:color="auto"/>
      </w:divBdr>
    </w:div>
    <w:div w:id="442774932">
      <w:bodyDiv w:val="1"/>
      <w:marLeft w:val="0"/>
      <w:marRight w:val="0"/>
      <w:marTop w:val="0"/>
      <w:marBottom w:val="0"/>
      <w:divBdr>
        <w:top w:val="none" w:sz="0" w:space="0" w:color="auto"/>
        <w:left w:val="none" w:sz="0" w:space="0" w:color="auto"/>
        <w:bottom w:val="none" w:sz="0" w:space="0" w:color="auto"/>
        <w:right w:val="none" w:sz="0" w:space="0" w:color="auto"/>
      </w:divBdr>
    </w:div>
    <w:div w:id="445468792">
      <w:bodyDiv w:val="1"/>
      <w:marLeft w:val="0"/>
      <w:marRight w:val="0"/>
      <w:marTop w:val="0"/>
      <w:marBottom w:val="0"/>
      <w:divBdr>
        <w:top w:val="none" w:sz="0" w:space="0" w:color="auto"/>
        <w:left w:val="none" w:sz="0" w:space="0" w:color="auto"/>
        <w:bottom w:val="none" w:sz="0" w:space="0" w:color="auto"/>
        <w:right w:val="none" w:sz="0" w:space="0" w:color="auto"/>
      </w:divBdr>
    </w:div>
    <w:div w:id="483162708">
      <w:bodyDiv w:val="1"/>
      <w:marLeft w:val="0"/>
      <w:marRight w:val="0"/>
      <w:marTop w:val="0"/>
      <w:marBottom w:val="0"/>
      <w:divBdr>
        <w:top w:val="none" w:sz="0" w:space="0" w:color="auto"/>
        <w:left w:val="none" w:sz="0" w:space="0" w:color="auto"/>
        <w:bottom w:val="none" w:sz="0" w:space="0" w:color="auto"/>
        <w:right w:val="none" w:sz="0" w:space="0" w:color="auto"/>
      </w:divBdr>
    </w:div>
    <w:div w:id="489445984">
      <w:bodyDiv w:val="1"/>
      <w:marLeft w:val="0"/>
      <w:marRight w:val="0"/>
      <w:marTop w:val="0"/>
      <w:marBottom w:val="0"/>
      <w:divBdr>
        <w:top w:val="none" w:sz="0" w:space="0" w:color="auto"/>
        <w:left w:val="none" w:sz="0" w:space="0" w:color="auto"/>
        <w:bottom w:val="none" w:sz="0" w:space="0" w:color="auto"/>
        <w:right w:val="none" w:sz="0" w:space="0" w:color="auto"/>
      </w:divBdr>
    </w:div>
    <w:div w:id="505285528">
      <w:bodyDiv w:val="1"/>
      <w:marLeft w:val="0"/>
      <w:marRight w:val="0"/>
      <w:marTop w:val="0"/>
      <w:marBottom w:val="0"/>
      <w:divBdr>
        <w:top w:val="none" w:sz="0" w:space="0" w:color="auto"/>
        <w:left w:val="none" w:sz="0" w:space="0" w:color="auto"/>
        <w:bottom w:val="none" w:sz="0" w:space="0" w:color="auto"/>
        <w:right w:val="none" w:sz="0" w:space="0" w:color="auto"/>
      </w:divBdr>
    </w:div>
    <w:div w:id="520045303">
      <w:bodyDiv w:val="1"/>
      <w:marLeft w:val="0"/>
      <w:marRight w:val="0"/>
      <w:marTop w:val="0"/>
      <w:marBottom w:val="0"/>
      <w:divBdr>
        <w:top w:val="none" w:sz="0" w:space="0" w:color="auto"/>
        <w:left w:val="none" w:sz="0" w:space="0" w:color="auto"/>
        <w:bottom w:val="none" w:sz="0" w:space="0" w:color="auto"/>
        <w:right w:val="none" w:sz="0" w:space="0" w:color="auto"/>
      </w:divBdr>
    </w:div>
    <w:div w:id="521743901">
      <w:bodyDiv w:val="1"/>
      <w:marLeft w:val="0"/>
      <w:marRight w:val="0"/>
      <w:marTop w:val="0"/>
      <w:marBottom w:val="0"/>
      <w:divBdr>
        <w:top w:val="none" w:sz="0" w:space="0" w:color="auto"/>
        <w:left w:val="none" w:sz="0" w:space="0" w:color="auto"/>
        <w:bottom w:val="none" w:sz="0" w:space="0" w:color="auto"/>
        <w:right w:val="none" w:sz="0" w:space="0" w:color="auto"/>
      </w:divBdr>
    </w:div>
    <w:div w:id="539439400">
      <w:bodyDiv w:val="1"/>
      <w:marLeft w:val="0"/>
      <w:marRight w:val="0"/>
      <w:marTop w:val="0"/>
      <w:marBottom w:val="0"/>
      <w:divBdr>
        <w:top w:val="none" w:sz="0" w:space="0" w:color="auto"/>
        <w:left w:val="none" w:sz="0" w:space="0" w:color="auto"/>
        <w:bottom w:val="none" w:sz="0" w:space="0" w:color="auto"/>
        <w:right w:val="none" w:sz="0" w:space="0" w:color="auto"/>
      </w:divBdr>
    </w:div>
    <w:div w:id="591939442">
      <w:bodyDiv w:val="1"/>
      <w:marLeft w:val="0"/>
      <w:marRight w:val="0"/>
      <w:marTop w:val="0"/>
      <w:marBottom w:val="0"/>
      <w:divBdr>
        <w:top w:val="none" w:sz="0" w:space="0" w:color="auto"/>
        <w:left w:val="none" w:sz="0" w:space="0" w:color="auto"/>
        <w:bottom w:val="none" w:sz="0" w:space="0" w:color="auto"/>
        <w:right w:val="none" w:sz="0" w:space="0" w:color="auto"/>
      </w:divBdr>
    </w:div>
    <w:div w:id="592514963">
      <w:bodyDiv w:val="1"/>
      <w:marLeft w:val="0"/>
      <w:marRight w:val="0"/>
      <w:marTop w:val="0"/>
      <w:marBottom w:val="0"/>
      <w:divBdr>
        <w:top w:val="none" w:sz="0" w:space="0" w:color="auto"/>
        <w:left w:val="none" w:sz="0" w:space="0" w:color="auto"/>
        <w:bottom w:val="none" w:sz="0" w:space="0" w:color="auto"/>
        <w:right w:val="none" w:sz="0" w:space="0" w:color="auto"/>
      </w:divBdr>
    </w:div>
    <w:div w:id="598415648">
      <w:bodyDiv w:val="1"/>
      <w:marLeft w:val="0"/>
      <w:marRight w:val="0"/>
      <w:marTop w:val="0"/>
      <w:marBottom w:val="0"/>
      <w:divBdr>
        <w:top w:val="none" w:sz="0" w:space="0" w:color="auto"/>
        <w:left w:val="none" w:sz="0" w:space="0" w:color="auto"/>
        <w:bottom w:val="none" w:sz="0" w:space="0" w:color="auto"/>
        <w:right w:val="none" w:sz="0" w:space="0" w:color="auto"/>
      </w:divBdr>
    </w:div>
    <w:div w:id="625936575">
      <w:bodyDiv w:val="1"/>
      <w:marLeft w:val="0"/>
      <w:marRight w:val="0"/>
      <w:marTop w:val="0"/>
      <w:marBottom w:val="0"/>
      <w:divBdr>
        <w:top w:val="none" w:sz="0" w:space="0" w:color="auto"/>
        <w:left w:val="none" w:sz="0" w:space="0" w:color="auto"/>
        <w:bottom w:val="none" w:sz="0" w:space="0" w:color="auto"/>
        <w:right w:val="none" w:sz="0" w:space="0" w:color="auto"/>
      </w:divBdr>
    </w:div>
    <w:div w:id="664014979">
      <w:bodyDiv w:val="1"/>
      <w:marLeft w:val="0"/>
      <w:marRight w:val="0"/>
      <w:marTop w:val="0"/>
      <w:marBottom w:val="0"/>
      <w:divBdr>
        <w:top w:val="none" w:sz="0" w:space="0" w:color="auto"/>
        <w:left w:val="none" w:sz="0" w:space="0" w:color="auto"/>
        <w:bottom w:val="none" w:sz="0" w:space="0" w:color="auto"/>
        <w:right w:val="none" w:sz="0" w:space="0" w:color="auto"/>
      </w:divBdr>
    </w:div>
    <w:div w:id="667443649">
      <w:bodyDiv w:val="1"/>
      <w:marLeft w:val="0"/>
      <w:marRight w:val="0"/>
      <w:marTop w:val="0"/>
      <w:marBottom w:val="0"/>
      <w:divBdr>
        <w:top w:val="none" w:sz="0" w:space="0" w:color="auto"/>
        <w:left w:val="none" w:sz="0" w:space="0" w:color="auto"/>
        <w:bottom w:val="none" w:sz="0" w:space="0" w:color="auto"/>
        <w:right w:val="none" w:sz="0" w:space="0" w:color="auto"/>
      </w:divBdr>
    </w:div>
    <w:div w:id="693921432">
      <w:bodyDiv w:val="1"/>
      <w:marLeft w:val="0"/>
      <w:marRight w:val="0"/>
      <w:marTop w:val="0"/>
      <w:marBottom w:val="0"/>
      <w:divBdr>
        <w:top w:val="none" w:sz="0" w:space="0" w:color="auto"/>
        <w:left w:val="none" w:sz="0" w:space="0" w:color="auto"/>
        <w:bottom w:val="none" w:sz="0" w:space="0" w:color="auto"/>
        <w:right w:val="none" w:sz="0" w:space="0" w:color="auto"/>
      </w:divBdr>
    </w:div>
    <w:div w:id="704794200">
      <w:bodyDiv w:val="1"/>
      <w:marLeft w:val="0"/>
      <w:marRight w:val="0"/>
      <w:marTop w:val="0"/>
      <w:marBottom w:val="0"/>
      <w:divBdr>
        <w:top w:val="none" w:sz="0" w:space="0" w:color="auto"/>
        <w:left w:val="none" w:sz="0" w:space="0" w:color="auto"/>
        <w:bottom w:val="none" w:sz="0" w:space="0" w:color="auto"/>
        <w:right w:val="none" w:sz="0" w:space="0" w:color="auto"/>
      </w:divBdr>
    </w:div>
    <w:div w:id="718937127">
      <w:bodyDiv w:val="1"/>
      <w:marLeft w:val="0"/>
      <w:marRight w:val="0"/>
      <w:marTop w:val="0"/>
      <w:marBottom w:val="0"/>
      <w:divBdr>
        <w:top w:val="none" w:sz="0" w:space="0" w:color="auto"/>
        <w:left w:val="none" w:sz="0" w:space="0" w:color="auto"/>
        <w:bottom w:val="none" w:sz="0" w:space="0" w:color="auto"/>
        <w:right w:val="none" w:sz="0" w:space="0" w:color="auto"/>
      </w:divBdr>
    </w:div>
    <w:div w:id="773209862">
      <w:bodyDiv w:val="1"/>
      <w:marLeft w:val="0"/>
      <w:marRight w:val="0"/>
      <w:marTop w:val="0"/>
      <w:marBottom w:val="0"/>
      <w:divBdr>
        <w:top w:val="none" w:sz="0" w:space="0" w:color="auto"/>
        <w:left w:val="none" w:sz="0" w:space="0" w:color="auto"/>
        <w:bottom w:val="none" w:sz="0" w:space="0" w:color="auto"/>
        <w:right w:val="none" w:sz="0" w:space="0" w:color="auto"/>
      </w:divBdr>
    </w:div>
    <w:div w:id="846600443">
      <w:bodyDiv w:val="1"/>
      <w:marLeft w:val="0"/>
      <w:marRight w:val="0"/>
      <w:marTop w:val="0"/>
      <w:marBottom w:val="0"/>
      <w:divBdr>
        <w:top w:val="none" w:sz="0" w:space="0" w:color="auto"/>
        <w:left w:val="none" w:sz="0" w:space="0" w:color="auto"/>
        <w:bottom w:val="none" w:sz="0" w:space="0" w:color="auto"/>
        <w:right w:val="none" w:sz="0" w:space="0" w:color="auto"/>
      </w:divBdr>
    </w:div>
    <w:div w:id="880094947">
      <w:bodyDiv w:val="1"/>
      <w:marLeft w:val="0"/>
      <w:marRight w:val="0"/>
      <w:marTop w:val="0"/>
      <w:marBottom w:val="0"/>
      <w:divBdr>
        <w:top w:val="none" w:sz="0" w:space="0" w:color="auto"/>
        <w:left w:val="none" w:sz="0" w:space="0" w:color="auto"/>
        <w:bottom w:val="none" w:sz="0" w:space="0" w:color="auto"/>
        <w:right w:val="none" w:sz="0" w:space="0" w:color="auto"/>
      </w:divBdr>
    </w:div>
    <w:div w:id="896087023">
      <w:bodyDiv w:val="1"/>
      <w:marLeft w:val="0"/>
      <w:marRight w:val="0"/>
      <w:marTop w:val="0"/>
      <w:marBottom w:val="0"/>
      <w:divBdr>
        <w:top w:val="none" w:sz="0" w:space="0" w:color="auto"/>
        <w:left w:val="none" w:sz="0" w:space="0" w:color="auto"/>
        <w:bottom w:val="none" w:sz="0" w:space="0" w:color="auto"/>
        <w:right w:val="none" w:sz="0" w:space="0" w:color="auto"/>
      </w:divBdr>
    </w:div>
    <w:div w:id="966817920">
      <w:bodyDiv w:val="1"/>
      <w:marLeft w:val="0"/>
      <w:marRight w:val="0"/>
      <w:marTop w:val="0"/>
      <w:marBottom w:val="0"/>
      <w:divBdr>
        <w:top w:val="none" w:sz="0" w:space="0" w:color="auto"/>
        <w:left w:val="none" w:sz="0" w:space="0" w:color="auto"/>
        <w:bottom w:val="none" w:sz="0" w:space="0" w:color="auto"/>
        <w:right w:val="none" w:sz="0" w:space="0" w:color="auto"/>
      </w:divBdr>
    </w:div>
    <w:div w:id="980110776">
      <w:bodyDiv w:val="1"/>
      <w:marLeft w:val="0"/>
      <w:marRight w:val="0"/>
      <w:marTop w:val="0"/>
      <w:marBottom w:val="0"/>
      <w:divBdr>
        <w:top w:val="none" w:sz="0" w:space="0" w:color="auto"/>
        <w:left w:val="none" w:sz="0" w:space="0" w:color="auto"/>
        <w:bottom w:val="none" w:sz="0" w:space="0" w:color="auto"/>
        <w:right w:val="none" w:sz="0" w:space="0" w:color="auto"/>
      </w:divBdr>
    </w:div>
    <w:div w:id="990983236">
      <w:bodyDiv w:val="1"/>
      <w:marLeft w:val="0"/>
      <w:marRight w:val="0"/>
      <w:marTop w:val="0"/>
      <w:marBottom w:val="0"/>
      <w:divBdr>
        <w:top w:val="none" w:sz="0" w:space="0" w:color="auto"/>
        <w:left w:val="none" w:sz="0" w:space="0" w:color="auto"/>
        <w:bottom w:val="none" w:sz="0" w:space="0" w:color="auto"/>
        <w:right w:val="none" w:sz="0" w:space="0" w:color="auto"/>
      </w:divBdr>
    </w:div>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108695467">
      <w:bodyDiv w:val="1"/>
      <w:marLeft w:val="0"/>
      <w:marRight w:val="0"/>
      <w:marTop w:val="0"/>
      <w:marBottom w:val="0"/>
      <w:divBdr>
        <w:top w:val="none" w:sz="0" w:space="0" w:color="auto"/>
        <w:left w:val="none" w:sz="0" w:space="0" w:color="auto"/>
        <w:bottom w:val="none" w:sz="0" w:space="0" w:color="auto"/>
        <w:right w:val="none" w:sz="0" w:space="0" w:color="auto"/>
      </w:divBdr>
    </w:div>
    <w:div w:id="1127353292">
      <w:bodyDiv w:val="1"/>
      <w:marLeft w:val="0"/>
      <w:marRight w:val="0"/>
      <w:marTop w:val="0"/>
      <w:marBottom w:val="0"/>
      <w:divBdr>
        <w:top w:val="none" w:sz="0" w:space="0" w:color="auto"/>
        <w:left w:val="none" w:sz="0" w:space="0" w:color="auto"/>
        <w:bottom w:val="none" w:sz="0" w:space="0" w:color="auto"/>
        <w:right w:val="none" w:sz="0" w:space="0" w:color="auto"/>
      </w:divBdr>
    </w:div>
    <w:div w:id="1208034611">
      <w:bodyDiv w:val="1"/>
      <w:marLeft w:val="0"/>
      <w:marRight w:val="0"/>
      <w:marTop w:val="0"/>
      <w:marBottom w:val="0"/>
      <w:divBdr>
        <w:top w:val="none" w:sz="0" w:space="0" w:color="auto"/>
        <w:left w:val="none" w:sz="0" w:space="0" w:color="auto"/>
        <w:bottom w:val="none" w:sz="0" w:space="0" w:color="auto"/>
        <w:right w:val="none" w:sz="0" w:space="0" w:color="auto"/>
      </w:divBdr>
    </w:div>
    <w:div w:id="1210796935">
      <w:bodyDiv w:val="1"/>
      <w:marLeft w:val="0"/>
      <w:marRight w:val="0"/>
      <w:marTop w:val="0"/>
      <w:marBottom w:val="0"/>
      <w:divBdr>
        <w:top w:val="none" w:sz="0" w:space="0" w:color="auto"/>
        <w:left w:val="none" w:sz="0" w:space="0" w:color="auto"/>
        <w:bottom w:val="none" w:sz="0" w:space="0" w:color="auto"/>
        <w:right w:val="none" w:sz="0" w:space="0" w:color="auto"/>
      </w:divBdr>
    </w:div>
    <w:div w:id="1212616684">
      <w:bodyDiv w:val="1"/>
      <w:marLeft w:val="0"/>
      <w:marRight w:val="0"/>
      <w:marTop w:val="0"/>
      <w:marBottom w:val="0"/>
      <w:divBdr>
        <w:top w:val="none" w:sz="0" w:space="0" w:color="auto"/>
        <w:left w:val="none" w:sz="0" w:space="0" w:color="auto"/>
        <w:bottom w:val="none" w:sz="0" w:space="0" w:color="auto"/>
        <w:right w:val="none" w:sz="0" w:space="0" w:color="auto"/>
      </w:divBdr>
    </w:div>
    <w:div w:id="1214274217">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55115464">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07723428">
      <w:bodyDiv w:val="1"/>
      <w:marLeft w:val="0"/>
      <w:marRight w:val="0"/>
      <w:marTop w:val="0"/>
      <w:marBottom w:val="0"/>
      <w:divBdr>
        <w:top w:val="none" w:sz="0" w:space="0" w:color="auto"/>
        <w:left w:val="none" w:sz="0" w:space="0" w:color="auto"/>
        <w:bottom w:val="none" w:sz="0" w:space="0" w:color="auto"/>
        <w:right w:val="none" w:sz="0" w:space="0" w:color="auto"/>
      </w:divBdr>
    </w:div>
    <w:div w:id="1418359034">
      <w:bodyDiv w:val="1"/>
      <w:marLeft w:val="0"/>
      <w:marRight w:val="0"/>
      <w:marTop w:val="0"/>
      <w:marBottom w:val="0"/>
      <w:divBdr>
        <w:top w:val="none" w:sz="0" w:space="0" w:color="auto"/>
        <w:left w:val="none" w:sz="0" w:space="0" w:color="auto"/>
        <w:bottom w:val="none" w:sz="0" w:space="0" w:color="auto"/>
        <w:right w:val="none" w:sz="0" w:space="0" w:color="auto"/>
      </w:divBdr>
    </w:div>
    <w:div w:id="1458717713">
      <w:bodyDiv w:val="1"/>
      <w:marLeft w:val="0"/>
      <w:marRight w:val="0"/>
      <w:marTop w:val="0"/>
      <w:marBottom w:val="0"/>
      <w:divBdr>
        <w:top w:val="none" w:sz="0" w:space="0" w:color="auto"/>
        <w:left w:val="none" w:sz="0" w:space="0" w:color="auto"/>
        <w:bottom w:val="none" w:sz="0" w:space="0" w:color="auto"/>
        <w:right w:val="none" w:sz="0" w:space="0" w:color="auto"/>
      </w:divBdr>
    </w:div>
    <w:div w:id="1495488871">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518696272">
      <w:bodyDiv w:val="1"/>
      <w:marLeft w:val="0"/>
      <w:marRight w:val="0"/>
      <w:marTop w:val="0"/>
      <w:marBottom w:val="0"/>
      <w:divBdr>
        <w:top w:val="none" w:sz="0" w:space="0" w:color="auto"/>
        <w:left w:val="none" w:sz="0" w:space="0" w:color="auto"/>
        <w:bottom w:val="none" w:sz="0" w:space="0" w:color="auto"/>
        <w:right w:val="none" w:sz="0" w:space="0" w:color="auto"/>
      </w:divBdr>
    </w:div>
    <w:div w:id="1524634510">
      <w:bodyDiv w:val="1"/>
      <w:marLeft w:val="0"/>
      <w:marRight w:val="0"/>
      <w:marTop w:val="0"/>
      <w:marBottom w:val="0"/>
      <w:divBdr>
        <w:top w:val="none" w:sz="0" w:space="0" w:color="auto"/>
        <w:left w:val="none" w:sz="0" w:space="0" w:color="auto"/>
        <w:bottom w:val="none" w:sz="0" w:space="0" w:color="auto"/>
        <w:right w:val="none" w:sz="0" w:space="0" w:color="auto"/>
      </w:divBdr>
    </w:div>
    <w:div w:id="1544050346">
      <w:bodyDiv w:val="1"/>
      <w:marLeft w:val="0"/>
      <w:marRight w:val="0"/>
      <w:marTop w:val="0"/>
      <w:marBottom w:val="0"/>
      <w:divBdr>
        <w:top w:val="none" w:sz="0" w:space="0" w:color="auto"/>
        <w:left w:val="none" w:sz="0" w:space="0" w:color="auto"/>
        <w:bottom w:val="none" w:sz="0" w:space="0" w:color="auto"/>
        <w:right w:val="none" w:sz="0" w:space="0" w:color="auto"/>
      </w:divBdr>
    </w:div>
    <w:div w:id="1578174594">
      <w:bodyDiv w:val="1"/>
      <w:marLeft w:val="0"/>
      <w:marRight w:val="0"/>
      <w:marTop w:val="0"/>
      <w:marBottom w:val="0"/>
      <w:divBdr>
        <w:top w:val="none" w:sz="0" w:space="0" w:color="auto"/>
        <w:left w:val="none" w:sz="0" w:space="0" w:color="auto"/>
        <w:bottom w:val="none" w:sz="0" w:space="0" w:color="auto"/>
        <w:right w:val="none" w:sz="0" w:space="0" w:color="auto"/>
      </w:divBdr>
    </w:div>
    <w:div w:id="1626884544">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 w:id="1663698556">
      <w:bodyDiv w:val="1"/>
      <w:marLeft w:val="0"/>
      <w:marRight w:val="0"/>
      <w:marTop w:val="0"/>
      <w:marBottom w:val="0"/>
      <w:divBdr>
        <w:top w:val="none" w:sz="0" w:space="0" w:color="auto"/>
        <w:left w:val="none" w:sz="0" w:space="0" w:color="auto"/>
        <w:bottom w:val="none" w:sz="0" w:space="0" w:color="auto"/>
        <w:right w:val="none" w:sz="0" w:space="0" w:color="auto"/>
      </w:divBdr>
    </w:div>
    <w:div w:id="1665275649">
      <w:bodyDiv w:val="1"/>
      <w:marLeft w:val="0"/>
      <w:marRight w:val="0"/>
      <w:marTop w:val="0"/>
      <w:marBottom w:val="0"/>
      <w:divBdr>
        <w:top w:val="none" w:sz="0" w:space="0" w:color="auto"/>
        <w:left w:val="none" w:sz="0" w:space="0" w:color="auto"/>
        <w:bottom w:val="none" w:sz="0" w:space="0" w:color="auto"/>
        <w:right w:val="none" w:sz="0" w:space="0" w:color="auto"/>
      </w:divBdr>
    </w:div>
    <w:div w:id="1667248478">
      <w:bodyDiv w:val="1"/>
      <w:marLeft w:val="0"/>
      <w:marRight w:val="0"/>
      <w:marTop w:val="0"/>
      <w:marBottom w:val="0"/>
      <w:divBdr>
        <w:top w:val="none" w:sz="0" w:space="0" w:color="auto"/>
        <w:left w:val="none" w:sz="0" w:space="0" w:color="auto"/>
        <w:bottom w:val="none" w:sz="0" w:space="0" w:color="auto"/>
        <w:right w:val="none" w:sz="0" w:space="0" w:color="auto"/>
      </w:divBdr>
    </w:div>
    <w:div w:id="1695227018">
      <w:bodyDiv w:val="1"/>
      <w:marLeft w:val="0"/>
      <w:marRight w:val="0"/>
      <w:marTop w:val="0"/>
      <w:marBottom w:val="0"/>
      <w:divBdr>
        <w:top w:val="none" w:sz="0" w:space="0" w:color="auto"/>
        <w:left w:val="none" w:sz="0" w:space="0" w:color="auto"/>
        <w:bottom w:val="none" w:sz="0" w:space="0" w:color="auto"/>
        <w:right w:val="none" w:sz="0" w:space="0" w:color="auto"/>
      </w:divBdr>
    </w:div>
    <w:div w:id="1711147204">
      <w:bodyDiv w:val="1"/>
      <w:marLeft w:val="0"/>
      <w:marRight w:val="0"/>
      <w:marTop w:val="0"/>
      <w:marBottom w:val="0"/>
      <w:divBdr>
        <w:top w:val="none" w:sz="0" w:space="0" w:color="auto"/>
        <w:left w:val="none" w:sz="0" w:space="0" w:color="auto"/>
        <w:bottom w:val="none" w:sz="0" w:space="0" w:color="auto"/>
        <w:right w:val="none" w:sz="0" w:space="0" w:color="auto"/>
      </w:divBdr>
    </w:div>
    <w:div w:id="1716807636">
      <w:bodyDiv w:val="1"/>
      <w:marLeft w:val="0"/>
      <w:marRight w:val="0"/>
      <w:marTop w:val="0"/>
      <w:marBottom w:val="0"/>
      <w:divBdr>
        <w:top w:val="none" w:sz="0" w:space="0" w:color="auto"/>
        <w:left w:val="none" w:sz="0" w:space="0" w:color="auto"/>
        <w:bottom w:val="none" w:sz="0" w:space="0" w:color="auto"/>
        <w:right w:val="none" w:sz="0" w:space="0" w:color="auto"/>
      </w:divBdr>
    </w:div>
    <w:div w:id="1719427139">
      <w:bodyDiv w:val="1"/>
      <w:marLeft w:val="0"/>
      <w:marRight w:val="0"/>
      <w:marTop w:val="0"/>
      <w:marBottom w:val="0"/>
      <w:divBdr>
        <w:top w:val="none" w:sz="0" w:space="0" w:color="auto"/>
        <w:left w:val="none" w:sz="0" w:space="0" w:color="auto"/>
        <w:bottom w:val="none" w:sz="0" w:space="0" w:color="auto"/>
        <w:right w:val="none" w:sz="0" w:space="0" w:color="auto"/>
      </w:divBdr>
    </w:div>
    <w:div w:id="1861117271">
      <w:bodyDiv w:val="1"/>
      <w:marLeft w:val="0"/>
      <w:marRight w:val="0"/>
      <w:marTop w:val="0"/>
      <w:marBottom w:val="0"/>
      <w:divBdr>
        <w:top w:val="none" w:sz="0" w:space="0" w:color="auto"/>
        <w:left w:val="none" w:sz="0" w:space="0" w:color="auto"/>
        <w:bottom w:val="none" w:sz="0" w:space="0" w:color="auto"/>
        <w:right w:val="none" w:sz="0" w:space="0" w:color="auto"/>
      </w:divBdr>
    </w:div>
    <w:div w:id="1862546227">
      <w:bodyDiv w:val="1"/>
      <w:marLeft w:val="0"/>
      <w:marRight w:val="0"/>
      <w:marTop w:val="0"/>
      <w:marBottom w:val="0"/>
      <w:divBdr>
        <w:top w:val="none" w:sz="0" w:space="0" w:color="auto"/>
        <w:left w:val="none" w:sz="0" w:space="0" w:color="auto"/>
        <w:bottom w:val="none" w:sz="0" w:space="0" w:color="auto"/>
        <w:right w:val="none" w:sz="0" w:space="0" w:color="auto"/>
      </w:divBdr>
    </w:div>
    <w:div w:id="1888683391">
      <w:bodyDiv w:val="1"/>
      <w:marLeft w:val="0"/>
      <w:marRight w:val="0"/>
      <w:marTop w:val="0"/>
      <w:marBottom w:val="0"/>
      <w:divBdr>
        <w:top w:val="none" w:sz="0" w:space="0" w:color="auto"/>
        <w:left w:val="none" w:sz="0" w:space="0" w:color="auto"/>
        <w:bottom w:val="none" w:sz="0" w:space="0" w:color="auto"/>
        <w:right w:val="none" w:sz="0" w:space="0" w:color="auto"/>
      </w:divBdr>
    </w:div>
    <w:div w:id="1932616108">
      <w:bodyDiv w:val="1"/>
      <w:marLeft w:val="0"/>
      <w:marRight w:val="0"/>
      <w:marTop w:val="0"/>
      <w:marBottom w:val="0"/>
      <w:divBdr>
        <w:top w:val="none" w:sz="0" w:space="0" w:color="auto"/>
        <w:left w:val="none" w:sz="0" w:space="0" w:color="auto"/>
        <w:bottom w:val="none" w:sz="0" w:space="0" w:color="auto"/>
        <w:right w:val="none" w:sz="0" w:space="0" w:color="auto"/>
      </w:divBdr>
    </w:div>
    <w:div w:id="1948809947">
      <w:bodyDiv w:val="1"/>
      <w:marLeft w:val="0"/>
      <w:marRight w:val="0"/>
      <w:marTop w:val="0"/>
      <w:marBottom w:val="0"/>
      <w:divBdr>
        <w:top w:val="none" w:sz="0" w:space="0" w:color="auto"/>
        <w:left w:val="none" w:sz="0" w:space="0" w:color="auto"/>
        <w:bottom w:val="none" w:sz="0" w:space="0" w:color="auto"/>
        <w:right w:val="none" w:sz="0" w:space="0" w:color="auto"/>
      </w:divBdr>
    </w:div>
    <w:div w:id="1950351653">
      <w:bodyDiv w:val="1"/>
      <w:marLeft w:val="0"/>
      <w:marRight w:val="0"/>
      <w:marTop w:val="0"/>
      <w:marBottom w:val="0"/>
      <w:divBdr>
        <w:top w:val="none" w:sz="0" w:space="0" w:color="auto"/>
        <w:left w:val="none" w:sz="0" w:space="0" w:color="auto"/>
        <w:bottom w:val="none" w:sz="0" w:space="0" w:color="auto"/>
        <w:right w:val="none" w:sz="0" w:space="0" w:color="auto"/>
      </w:divBdr>
    </w:div>
    <w:div w:id="1950427641">
      <w:bodyDiv w:val="1"/>
      <w:marLeft w:val="0"/>
      <w:marRight w:val="0"/>
      <w:marTop w:val="0"/>
      <w:marBottom w:val="0"/>
      <w:divBdr>
        <w:top w:val="none" w:sz="0" w:space="0" w:color="auto"/>
        <w:left w:val="none" w:sz="0" w:space="0" w:color="auto"/>
        <w:bottom w:val="none" w:sz="0" w:space="0" w:color="auto"/>
        <w:right w:val="none" w:sz="0" w:space="0" w:color="auto"/>
      </w:divBdr>
    </w:div>
    <w:div w:id="1963418149">
      <w:bodyDiv w:val="1"/>
      <w:marLeft w:val="0"/>
      <w:marRight w:val="0"/>
      <w:marTop w:val="0"/>
      <w:marBottom w:val="0"/>
      <w:divBdr>
        <w:top w:val="none" w:sz="0" w:space="0" w:color="auto"/>
        <w:left w:val="none" w:sz="0" w:space="0" w:color="auto"/>
        <w:bottom w:val="none" w:sz="0" w:space="0" w:color="auto"/>
        <w:right w:val="none" w:sz="0" w:space="0" w:color="auto"/>
      </w:divBdr>
    </w:div>
    <w:div w:id="2016833546">
      <w:bodyDiv w:val="1"/>
      <w:marLeft w:val="0"/>
      <w:marRight w:val="0"/>
      <w:marTop w:val="0"/>
      <w:marBottom w:val="0"/>
      <w:divBdr>
        <w:top w:val="none" w:sz="0" w:space="0" w:color="auto"/>
        <w:left w:val="none" w:sz="0" w:space="0" w:color="auto"/>
        <w:bottom w:val="none" w:sz="0" w:space="0" w:color="auto"/>
        <w:right w:val="none" w:sz="0" w:space="0" w:color="auto"/>
      </w:divBdr>
    </w:div>
    <w:div w:id="2038309327">
      <w:bodyDiv w:val="1"/>
      <w:marLeft w:val="0"/>
      <w:marRight w:val="0"/>
      <w:marTop w:val="0"/>
      <w:marBottom w:val="0"/>
      <w:divBdr>
        <w:top w:val="none" w:sz="0" w:space="0" w:color="auto"/>
        <w:left w:val="none" w:sz="0" w:space="0" w:color="auto"/>
        <w:bottom w:val="none" w:sz="0" w:space="0" w:color="auto"/>
        <w:right w:val="none" w:sz="0" w:space="0" w:color="auto"/>
      </w:divBdr>
    </w:div>
    <w:div w:id="2038700049">
      <w:bodyDiv w:val="1"/>
      <w:marLeft w:val="0"/>
      <w:marRight w:val="0"/>
      <w:marTop w:val="0"/>
      <w:marBottom w:val="0"/>
      <w:divBdr>
        <w:top w:val="none" w:sz="0" w:space="0" w:color="auto"/>
        <w:left w:val="none" w:sz="0" w:space="0" w:color="auto"/>
        <w:bottom w:val="none" w:sz="0" w:space="0" w:color="auto"/>
        <w:right w:val="none" w:sz="0" w:space="0" w:color="auto"/>
      </w:divBdr>
    </w:div>
    <w:div w:id="2040811406">
      <w:bodyDiv w:val="1"/>
      <w:marLeft w:val="0"/>
      <w:marRight w:val="0"/>
      <w:marTop w:val="0"/>
      <w:marBottom w:val="0"/>
      <w:divBdr>
        <w:top w:val="none" w:sz="0" w:space="0" w:color="auto"/>
        <w:left w:val="none" w:sz="0" w:space="0" w:color="auto"/>
        <w:bottom w:val="none" w:sz="0" w:space="0" w:color="auto"/>
        <w:right w:val="none" w:sz="0" w:space="0" w:color="auto"/>
      </w:divBdr>
    </w:div>
    <w:div w:id="2062898815">
      <w:bodyDiv w:val="1"/>
      <w:marLeft w:val="0"/>
      <w:marRight w:val="0"/>
      <w:marTop w:val="0"/>
      <w:marBottom w:val="0"/>
      <w:divBdr>
        <w:top w:val="none" w:sz="0" w:space="0" w:color="auto"/>
        <w:left w:val="none" w:sz="0" w:space="0" w:color="auto"/>
        <w:bottom w:val="none" w:sz="0" w:space="0" w:color="auto"/>
        <w:right w:val="none" w:sz="0" w:space="0" w:color="auto"/>
      </w:divBdr>
    </w:div>
    <w:div w:id="211663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cielo.org.co/scielo.php?script=sci_arttext&amp;pid=S0121-182X20210001001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Vil24</b:Tag>
    <b:SourceType>Book</b:SourceType>
    <b:Guid>{5C4162D7-2574-432D-A5C2-D3740DE6E670}</b:Guid>
    <b:Title>Derecho Societario LA SAS</b:Title>
    <b:Year>2024</b:Year>
    <b:Author>
      <b:Author>
        <b:NameList>
          <b:Person>
            <b:Last>Reyes Villamizar</b:Last>
            <b:First>Francisco</b:First>
          </b:Person>
        </b:NameList>
      </b:Author>
    </b:Author>
    <b:City>Bogotá</b:City>
    <b:Publisher>Editorial Temis S.A.</b:Publisher>
    <b:RefOrder>1</b:RefOrder>
  </b:Source>
  <b:Source>
    <b:Tag>Ley20</b:Tag>
    <b:SourceType>Misc</b:SourceType>
    <b:Guid>{2C1616B1-8A59-470C-ADED-9A6D0942408E}</b:Guid>
    <b:Author>
      <b:Author>
        <b:Corporate>Ecuador, Ley Orgánica de Emprendimiento e Innovación</b:Corporate>
      </b:Author>
    </b:Author>
    <b:Title>Ley Orgánica de Emprendimiento e Innovación</b:Title>
    <b:Year>2020</b:Year>
    <b:Month>Febrero</b:Month>
    <b:Day>28</b:Day>
    <b:City>Quito</b:City>
    <b:StateProvince>Pichincha</b:StateProvince>
    <b:CountryRegion>Ecuador</b:CountryRegion>
    <b:RefOrder>2</b:RefOrder>
  </b:Source>
  <b:Source>
    <b:Tag>DrC24</b:Tag>
    <b:SourceType>Misc</b:SourceType>
    <b:Guid>{7F1F4D2A-46C2-4CF4-A033-7FEDC579AA45}</b:Guid>
    <b:Author>
      <b:Author>
        <b:NameList>
          <b:Person>
            <b:Last>Bustamante Fuentes</b:Last>
            <b:First>Colón</b:First>
          </b:Person>
        </b:NameList>
      </b:Author>
    </b:Author>
    <b:Title>Derecho societario potenciado por la nueva figura jurídica: SAS para emprendedores</b:Title>
    <b:Year>2024</b:Year>
    <b:City>Quito</b:City>
    <b:StateProvince>Pichincha</b:StateProvince>
    <b:CountryRegion>Ecuador</b:CountryRegion>
    <b:Publisher>Murillo Editores</b:Publisher>
    <b:RefOrder>3</b:RefOrder>
  </b:Source>
  <b:Source>
    <b:Tag>Col08</b:Tag>
    <b:SourceType>Misc</b:SourceType>
    <b:Guid>{9AB8C855-0212-4011-9942-314FDBD41C3E}</b:Guid>
    <b:Author>
      <b:Author>
        <b:Corporate>Colombia, Ley 1258 de 2008</b:Corporate>
      </b:Author>
    </b:Author>
    <b:Title>Colombia, Ley 1258 de 2008</b:Title>
    <b:Year>2008</b:Year>
    <b:Month>Diciembre</b:Month>
    <b:Day>5</b:Day>
    <b:City>Bogotá</b:City>
    <b:StateProvince>Bogotá</b:StateProvince>
    <b:CountryRegion>Colombia</b:CountryRegion>
    <b:RefOrder>4</b:RefOrder>
  </b:Source>
  <b:Source>
    <b:Tag>Pre18</b:Tag>
    <b:SourceType>Misc</b:SourceType>
    <b:Guid>{30C653EE-C12B-4896-AB94-F54A8953A999}</b:Guid>
    <b:Title>Decreto Legislativo 1409 que promociona la formalización y dinamización de micro, pequeña y mediana empresa mediante el régimen societario alternativo denominado Sociedad por Acciones Cerrada Simplificada</b:Title>
    <b:Year>2018</b:Year>
    <b:City>Lima</b:City>
    <b:Month>Septiembre</b:Month>
    <b:Day>12</b:Day>
    <b:CountryRegion>Perú</b:CountryRegion>
    <b:Author>
      <b:Author>
        <b:Corporate>Perú, Decreto Legislativo 1409</b:Corporate>
      </b:Author>
    </b:Author>
    <b:RefOrder>5</b:RefOrder>
  </b:Source>
  <b:Source>
    <b:Tag>Alv21</b:Tag>
    <b:SourceType>InternetSite</b:SourceType>
    <b:Guid>{6805A7EC-EAFA-42E8-A456-4F2E946173AB}</b:Guid>
    <b:Author>
      <b:Author>
        <b:NameList>
          <b:Person>
            <b:Last>Alvarado Blanco</b:Last>
            <b:First>Carolina</b:First>
          </b:Person>
        </b:NameList>
      </b:Author>
    </b:Author>
    <b:Title>scielo.org.co</b:Title>
    <b:Year>2021</b:Year>
    <b:Month>Agosto</b:Month>
    <b:Day>6</b:Day>
    <b:URL>http://scielo.org.co/scielo.php?script=sci_arttext&amp;pid=S0121-182X2021000100133</b:URL>
    <b:RefOrder>6</b:RefOrder>
  </b:Source>
  <b:Source>
    <b:Tag>Sal21</b:Tag>
    <b:SourceType>Misc</b:SourceType>
    <b:Guid>{EA599B18-43A2-41B7-ABE7-39ED33243036}</b:Guid>
    <b:Author>
      <b:Author>
        <b:NameList>
          <b:Person>
            <b:Last>Salgado Valdez</b:Last>
            <b:First>Roberto</b:First>
          </b:Person>
        </b:NameList>
      </b:Author>
    </b:Author>
    <b:Title>Emprendimiento e Innovación Sociedad por Acciones Simplificadas (SAS)</b:Title>
    <b:Year>2021</b:Year>
    <b:Month>Septiembre</b:Month>
    <b:City>Quito</b:City>
    <b:StateProvince>Pichincha</b:StateProvince>
    <b:CountryRegion>Ecuador</b:CountryRegion>
    <b:Publisher>Editorial Jurídica del Ecuador</b:Publisher>
    <b:RefOrder>7</b:RefOrder>
  </b:Source>
  <b:Source>
    <b:Tag>Gue18</b:Tag>
    <b:SourceType>Misc</b:SourceType>
    <b:Guid>{5FB901EA-C4C0-4AB6-987E-DEF6507474E7}</b:Guid>
    <b:Author>
      <b:Author>
        <b:NameList>
          <b:Person>
            <b:Last>Guevara Cadena</b:Last>
            <b:First>José</b:First>
          </b:Person>
        </b:NameList>
      </b:Author>
    </b:Author>
    <b:Title>La Sociedad por Acciones Simplificada SAS una sociedad de éxito</b:Title>
    <b:Year>2018</b:Year>
    <b:City>Bogotá</b:City>
    <b:StateProvince>Bogotá</b:StateProvince>
    <b:CountryRegion>Colombia</b:CountryRegion>
    <b:Publisher>Universidad Católica Colombiana</b:Publisher>
    <b:RefOrder>8</b:RefOrder>
  </b:Source>
</b:Sources>
</file>

<file path=customXml/itemProps1.xml><?xml version="1.0" encoding="utf-8"?>
<ds:datastoreItem xmlns:ds="http://schemas.openxmlformats.org/officeDocument/2006/customXml" ds:itemID="{C1CB1A72-0650-4588-BFF6-BD1ACBB04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2</TotalTime>
  <Pages>15</Pages>
  <Words>4718</Words>
  <Characters>25953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ROLANDO  SALVADOR</cp:lastModifiedBy>
  <cp:revision>4</cp:revision>
  <dcterms:created xsi:type="dcterms:W3CDTF">2026-08-03T04:16:00Z</dcterms:created>
  <dcterms:modified xsi:type="dcterms:W3CDTF">2026-08-03T04:19:00Z</dcterms:modified>
  <cp:category>Categoria</cp:category>
  <cp:contentStatus>Estado</cp:contentStatus>
</cp:coreProperties>
</file>