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084B5" w14:textId="6A307BBB" w:rsidR="001348A0" w:rsidRDefault="001348A0" w:rsidP="001348A0">
      <w:pPr>
        <w:pStyle w:val="Captulo"/>
      </w:pPr>
      <w:r>
        <w:t>Capítulo XXX</w:t>
      </w:r>
    </w:p>
    <w:p w14:paraId="5A2DEA9D" w14:textId="77777777" w:rsidR="00ED53A4" w:rsidRPr="00350221" w:rsidRDefault="00ED53A4" w:rsidP="00ED53A4">
      <w:pPr>
        <w:pStyle w:val="TtCap"/>
        <w:rPr>
          <w:smallCaps/>
        </w:rPr>
      </w:pPr>
      <w:r>
        <w:t>el compliance laboral como MECANISMO de prevención de conflictos en entornos de trabajo</w:t>
      </w:r>
    </w:p>
    <w:p w14:paraId="4645F320" w14:textId="1C005DA2" w:rsidR="0015066B" w:rsidRPr="00C152A0" w:rsidRDefault="00ED53A4" w:rsidP="00ED53A4">
      <w:pPr>
        <w:pStyle w:val="Autor"/>
      </w:pPr>
      <w:r w:rsidRPr="00C152A0">
        <w:t>ANDREA LISETTE GUADALUPE OVIEDO</w:t>
      </w:r>
    </w:p>
    <w:p w14:paraId="69FA3E26" w14:textId="420B907A" w:rsidR="0015066B" w:rsidRPr="00ED53A4" w:rsidRDefault="00ED53A4" w:rsidP="00ED53A4">
      <w:pPr>
        <w:pStyle w:val="Autor"/>
        <w:rPr>
          <w:lang w:val="es-EC"/>
        </w:rPr>
      </w:pPr>
      <w:r w:rsidRPr="00ED53A4">
        <w:rPr>
          <w:lang w:val="es-EC"/>
        </w:rPr>
        <w:t>Universidad Católica Santi</w:t>
      </w:r>
      <w:r>
        <w:rPr>
          <w:lang w:val="es-EC"/>
        </w:rPr>
        <w:t>ago de Guayaquil</w:t>
      </w:r>
    </w:p>
    <w:p w14:paraId="402F2AE6" w14:textId="4920E428" w:rsidR="0015066B" w:rsidRDefault="00F1108D" w:rsidP="00F1108D">
      <w:pPr>
        <w:pStyle w:val="Autor"/>
      </w:pPr>
      <w:r>
        <w:t>Ba</w:t>
      </w:r>
      <w:r w:rsidR="00ED53A4">
        <w:t xml:space="preserve">rbara </w:t>
      </w:r>
      <w:proofErr w:type="spellStart"/>
      <w:r w:rsidR="00ED53A4">
        <w:t>nicole</w:t>
      </w:r>
      <w:proofErr w:type="spellEnd"/>
      <w:r w:rsidR="00ED53A4">
        <w:t xml:space="preserve"> </w:t>
      </w:r>
      <w:proofErr w:type="spellStart"/>
      <w:r w:rsidR="00ED53A4">
        <w:t>aguirre</w:t>
      </w:r>
      <w:proofErr w:type="spellEnd"/>
      <w:r w:rsidR="00ED53A4">
        <w:t xml:space="preserve"> </w:t>
      </w:r>
      <w:proofErr w:type="spellStart"/>
      <w:r w:rsidR="00ED53A4">
        <w:t>tene</w:t>
      </w:r>
      <w:proofErr w:type="spellEnd"/>
    </w:p>
    <w:p w14:paraId="25D363C3" w14:textId="39A6F599" w:rsidR="00ED53A4" w:rsidRDefault="00ED53A4" w:rsidP="00F1108D">
      <w:pPr>
        <w:pStyle w:val="Adscripcin"/>
      </w:pPr>
      <w:r>
        <w:t>Universidad Católica Santiago de Guayaquil</w:t>
      </w:r>
    </w:p>
    <w:p w14:paraId="6B5DAB1F" w14:textId="21473378" w:rsidR="00ED53A4" w:rsidRDefault="00ED53A4" w:rsidP="00F1108D">
      <w:pPr>
        <w:pStyle w:val="Autor"/>
      </w:pPr>
      <w:proofErr w:type="spellStart"/>
      <w:r>
        <w:t>nuria</w:t>
      </w:r>
      <w:proofErr w:type="spellEnd"/>
      <w:r>
        <w:t xml:space="preserve"> </w:t>
      </w:r>
      <w:proofErr w:type="spellStart"/>
      <w:r>
        <w:t>perez</w:t>
      </w:r>
      <w:proofErr w:type="spellEnd"/>
      <w:r>
        <w:t xml:space="preserve"> </w:t>
      </w:r>
      <w:proofErr w:type="spellStart"/>
      <w:r>
        <w:t>puig</w:t>
      </w:r>
      <w:proofErr w:type="spellEnd"/>
      <w:r>
        <w:t>-mir</w:t>
      </w:r>
    </w:p>
    <w:p w14:paraId="37101FA0" w14:textId="77777777" w:rsidR="00ED53A4" w:rsidRDefault="00ED53A4" w:rsidP="00F1108D">
      <w:pPr>
        <w:pStyle w:val="Adscripcin"/>
      </w:pPr>
      <w:r>
        <w:t>Universidad Católica Santiago de Guayaquil</w:t>
      </w:r>
    </w:p>
    <w:p w14:paraId="62C6EB1C" w14:textId="77777777" w:rsidR="00ED53A4" w:rsidRPr="00ED53A4" w:rsidRDefault="00ED53A4" w:rsidP="00ED53A4"/>
    <w:p w14:paraId="6A02D415" w14:textId="49E3DF0D" w:rsidR="0015066B" w:rsidRDefault="0015066B" w:rsidP="0015066B">
      <w:pPr>
        <w:pStyle w:val="Adscripcin"/>
      </w:pPr>
      <w:r>
        <w:t xml:space="preserve"> </w:t>
      </w:r>
    </w:p>
    <w:p w14:paraId="7FB42A6F" w14:textId="27A59EDB" w:rsidR="009C0DFA" w:rsidRPr="00C45F7D" w:rsidRDefault="00721EBE" w:rsidP="00C45F7D">
      <w:pPr>
        <w:pStyle w:val="Ttulo1"/>
        <w:rPr>
          <w:color w:val="FF0000"/>
        </w:rPr>
      </w:pPr>
      <w:r w:rsidRPr="00F1108D">
        <w:t xml:space="preserve">1. </w:t>
      </w:r>
      <w:r w:rsidR="0015066B" w:rsidRPr="00F1108D">
        <w:t>Introducción</w:t>
      </w:r>
      <w:r w:rsidR="009C0DFA" w:rsidRPr="00C45F7D">
        <w:rPr>
          <w:color w:val="FF0000"/>
        </w:rPr>
        <w:t xml:space="preserve"> </w:t>
      </w:r>
    </w:p>
    <w:p w14:paraId="0F3DD664" w14:textId="6AD3A881" w:rsidR="00F1108D" w:rsidRPr="00CC7767" w:rsidRDefault="00F1108D" w:rsidP="00F1108D">
      <w:r w:rsidRPr="00CC7767">
        <w:t>La dignidad en el ámbito del trabajo se constituye como la base para reconocer, garantizar y proteger los derechos de los trabajadores</w:t>
      </w:r>
      <w:r w:rsidR="003C098C">
        <w:t>;</w:t>
      </w:r>
      <w:r w:rsidRPr="00CC7767">
        <w:t xml:space="preserve"> esta concepción se instaura como un valor inherente del ser humano</w:t>
      </w:r>
      <w:r w:rsidR="003C098C">
        <w:t>, ligada a una</w:t>
      </w:r>
      <w:r>
        <w:t xml:space="preserve"> protección </w:t>
      </w:r>
      <w:r w:rsidR="003C098C">
        <w:t xml:space="preserve">que </w:t>
      </w:r>
      <w:r>
        <w:t xml:space="preserve">se </w:t>
      </w:r>
      <w:r w:rsidRPr="00CC7767">
        <w:t>enc</w:t>
      </w:r>
      <w:r>
        <w:t>uentra</w:t>
      </w:r>
      <w:r w:rsidRPr="00CC7767">
        <w:t xml:space="preserve"> enmarcada en el marco jurídico-normativo y </w:t>
      </w:r>
      <w:r>
        <w:t xml:space="preserve">debe ser </w:t>
      </w:r>
      <w:r w:rsidRPr="00CC7767">
        <w:t xml:space="preserve">aplicada </w:t>
      </w:r>
      <w:r>
        <w:t>por los</w:t>
      </w:r>
      <w:r w:rsidRPr="00CC7767">
        <w:t xml:space="preserve"> empleadores en los entornos laborales. Constitucionalmente la dignidad se encuentra reconocida como valor y principio, la normativa y la jurisprudencia por su parte la establecen como un derecho, </w:t>
      </w:r>
      <w:r w:rsidR="003C098C">
        <w:t>incluso transgredirla</w:t>
      </w:r>
      <w:r w:rsidRPr="00CC7767">
        <w:t xml:space="preserve"> puede acarrear</w:t>
      </w:r>
      <w:r>
        <w:t xml:space="preserve"> una causal de terminación del contrato de trabajo</w:t>
      </w:r>
      <w:r w:rsidR="003C098C">
        <w:t xml:space="preserve">, </w:t>
      </w:r>
      <w:r>
        <w:t>configur</w:t>
      </w:r>
      <w:r w:rsidR="003C098C">
        <w:t>ándose conductas relacionadas con</w:t>
      </w:r>
      <w:r>
        <w:t xml:space="preserve"> actos discriminatorios o</w:t>
      </w:r>
      <w:r w:rsidRPr="00CC7767">
        <w:t xml:space="preserve"> acoso laboral.</w:t>
      </w:r>
    </w:p>
    <w:p w14:paraId="52567AB1" w14:textId="61F4F465" w:rsidR="00F1108D" w:rsidRPr="00CC7767" w:rsidRDefault="00F1108D" w:rsidP="00F1108D">
      <w:r w:rsidRPr="00CC7767">
        <w:t xml:space="preserve">Como se mencionó en líneas anteriores, en el Ecuador el Derecho al Trabajo ha sido reconocido Constitucionalmente a través de postulados </w:t>
      </w:r>
      <w:r w:rsidR="00FD7D7D">
        <w:t>que lo evocan</w:t>
      </w:r>
      <w:r w:rsidRPr="00CC7767">
        <w:t xml:space="preserve"> como un derecho y un deber social, es el Estado quien adquiere el rol de garante desde el reconocimiento y la protección, con el fin de que al trabajador</w:t>
      </w:r>
      <w:r>
        <w:t xml:space="preserve"> se le asegure su desarrollo profesional bajo un esquema  que precautele su e</w:t>
      </w:r>
      <w:r w:rsidRPr="00CC7767">
        <w:t xml:space="preserve">xistencia decorosa, libre de situaciones </w:t>
      </w:r>
      <w:r w:rsidRPr="00CC7767">
        <w:lastRenderedPageBreak/>
        <w:t xml:space="preserve">que puedan causarle perjuicio o menoscabo a su integridad física y psicológica; </w:t>
      </w:r>
      <w:r>
        <w:t xml:space="preserve">impidiendo de manera total </w:t>
      </w:r>
      <w:r w:rsidRPr="00CC7767">
        <w:t>la alteración o impedimento del ejercicio de los derechos individuales o colectivos durante se encuentre ejecutándose la relación laboral. (</w:t>
      </w:r>
      <w:proofErr w:type="spellStart"/>
      <w:r w:rsidRPr="00CC7767">
        <w:t>Monesterolo</w:t>
      </w:r>
      <w:proofErr w:type="spellEnd"/>
      <w:r w:rsidRPr="00CC7767">
        <w:t>, 2020), es decir bajo la protección establecida en el esquema constitucional no solo se configura una prohibición expresa de afectar la salud mental o física del trabajador, sino la responsabilidad del Estado de precautelar entornos de trabajo digno y seguros.</w:t>
      </w:r>
    </w:p>
    <w:p w14:paraId="5AADB343" w14:textId="63FCB78F" w:rsidR="00F1108D" w:rsidRPr="00CC7767" w:rsidRDefault="00F1108D" w:rsidP="00F1108D">
      <w:r w:rsidRPr="00CC7767">
        <w:t xml:space="preserve">Principios como la dignidad humana, la igualdad y la no discriminación obligan a empleadores a garantizar entornos de trabajo libres de violencia, acoso y cualquier forma de vulneración de derechos. Precautelar espacios de trabajo libres de riesgos psicosociales, implica ejecutar medidas de evaluación y control de factores que puedan afectar a la integridad del trabajador. El estrés laboral, la sobrecarga de trabajo o el acoso laboral, no solamente afectan al </w:t>
      </w:r>
      <w:r w:rsidR="00B011C1" w:rsidRPr="00CC7767">
        <w:t>trabajador,</w:t>
      </w:r>
      <w:r w:rsidRPr="00CC7767">
        <w:t xml:space="preserve"> sino que implican retroceso en materia de protección laboral y generan a su vez un perjuicio para la empresa, de hecho, involucra que las actividades de producción no generen los beneficios esperados o que el perjuicio económico pueda ser sumamente costoso cuando hablamos de pago de indemnizaciones por este tipo de afectaciones</w:t>
      </w:r>
      <w:r>
        <w:t>, causando así un perjuicio operativo también para la empresa</w:t>
      </w:r>
      <w:r w:rsidRPr="00CC7767">
        <w:t xml:space="preserve">. </w:t>
      </w:r>
    </w:p>
    <w:p w14:paraId="54C2FECF" w14:textId="27E872E6" w:rsidR="00F1108D" w:rsidRPr="00CC7767" w:rsidRDefault="00E40DEF" w:rsidP="00F1108D">
      <w:r>
        <w:t>Con lo brevemente citado, e</w:t>
      </w:r>
      <w:r w:rsidR="00F1108D" w:rsidRPr="00CC7767">
        <w:t xml:space="preserve">l objetivo de esta investigación es analizar cómo puede generarse un beneficio tanto para empleadores como para trabajadores al incorporar el </w:t>
      </w:r>
      <w:proofErr w:type="spellStart"/>
      <w:r w:rsidR="00F1108D" w:rsidRPr="00CC7767">
        <w:t>compliance</w:t>
      </w:r>
      <w:proofErr w:type="spellEnd"/>
      <w:r w:rsidR="00F1108D">
        <w:t xml:space="preserve"> corporativo-</w:t>
      </w:r>
      <w:r w:rsidR="00F1108D" w:rsidRPr="00CC7767">
        <w:t>laboral como un sistema de cumplimiento y de garantía de entornos de trabajo seguros, así como ofrecer un primer vistazo de como el marco normativo ha dado lineamientos de prevención y protección frente a herramientas actuales que  nos permiten redimensionar teóricamente los presupuestos históricos y jurídicos que conllevan a establecer si  estos sistemas contribuyen a la prevención, ataque y erradica</w:t>
      </w:r>
      <w:r w:rsidR="00F1108D">
        <w:t>ción</w:t>
      </w:r>
      <w:r w:rsidR="00F1108D" w:rsidRPr="00CC7767">
        <w:t xml:space="preserve"> de riesgos psicosociales en especial</w:t>
      </w:r>
      <w:r w:rsidR="00F1108D">
        <w:t xml:space="preserve"> frente a la discriminación y a</w:t>
      </w:r>
      <w:r w:rsidR="00F1108D" w:rsidRPr="00CC7767">
        <w:t>l acoso laboral</w:t>
      </w:r>
      <w:r>
        <w:t>.</w:t>
      </w:r>
    </w:p>
    <w:p w14:paraId="5D8DC444" w14:textId="73CC29D6" w:rsidR="00607EE3" w:rsidRDefault="00607EE3" w:rsidP="00607EE3">
      <w:pPr>
        <w:pStyle w:val="Ttulo1"/>
      </w:pPr>
      <w:r>
        <w:t>2. Objetivos</w:t>
      </w:r>
    </w:p>
    <w:p w14:paraId="7A6DDB25" w14:textId="61C56A8A" w:rsidR="00607EE3" w:rsidRPr="00607EE3" w:rsidRDefault="00607EE3" w:rsidP="00607EE3">
      <w:pPr>
        <w:pStyle w:val="Ttulo2"/>
      </w:pPr>
      <w:r>
        <w:t xml:space="preserve">2.1. </w:t>
      </w:r>
      <w:r w:rsidR="00F1108D" w:rsidRPr="00F1108D">
        <w:rPr>
          <w:rStyle w:val="Ttulo3Car"/>
        </w:rPr>
        <w:t>OBJETIVO GENERAL</w:t>
      </w:r>
    </w:p>
    <w:p w14:paraId="1B9A110B" w14:textId="77777777" w:rsidR="00F1108D" w:rsidRPr="00CC7767" w:rsidRDefault="00F1108D" w:rsidP="00F1108D">
      <w:r w:rsidRPr="00CC7767">
        <w:lastRenderedPageBreak/>
        <w:t xml:space="preserve">Analizar el </w:t>
      </w:r>
      <w:proofErr w:type="spellStart"/>
      <w:r w:rsidRPr="00CC7767">
        <w:t>compliance</w:t>
      </w:r>
      <w:proofErr w:type="spellEnd"/>
      <w:r w:rsidRPr="00CC7767">
        <w:t xml:space="preserve"> laboral como herramienta de prevención de conflictos en entornos de trabajo</w:t>
      </w:r>
    </w:p>
    <w:p w14:paraId="54B3FF41" w14:textId="2B58B26D" w:rsidR="00607EE3" w:rsidRDefault="00607EE3" w:rsidP="00182667">
      <w:pPr>
        <w:pStyle w:val="Ttulo2"/>
      </w:pPr>
      <w:r>
        <w:t xml:space="preserve">2.2. </w:t>
      </w:r>
      <w:r w:rsidR="00F1108D" w:rsidRPr="00F1108D">
        <w:t>OBJETIVOS ESPECÍFICOS</w:t>
      </w:r>
    </w:p>
    <w:p w14:paraId="459E9E3A" w14:textId="77777777" w:rsidR="00F1108D" w:rsidRPr="00CC7767" w:rsidRDefault="00F1108D" w:rsidP="00F1108D">
      <w:pPr>
        <w:pStyle w:val="Prrafodelista"/>
        <w:numPr>
          <w:ilvl w:val="0"/>
          <w:numId w:val="45"/>
        </w:numPr>
      </w:pPr>
      <w:r w:rsidRPr="00CC7767">
        <w:t>Establecer el fundamento teórico y jurídico de los principios que regulan el derecho al trabajo a partir de la doctrina y la revisión normativa.</w:t>
      </w:r>
    </w:p>
    <w:p w14:paraId="7128ED29" w14:textId="77777777" w:rsidR="00F1108D" w:rsidRPr="00CC7767" w:rsidRDefault="00F1108D" w:rsidP="00F1108D">
      <w:pPr>
        <w:pStyle w:val="Prrafodelista"/>
        <w:numPr>
          <w:ilvl w:val="0"/>
          <w:numId w:val="45"/>
        </w:numPr>
      </w:pPr>
      <w:r w:rsidRPr="00CC7767">
        <w:t>Examinar el reconocimiento constitucional del derecho al trabajo digno en el Ecuador, particularmente a partir de las disposiciones contenidas en la Constitución de la República de 2008.</w:t>
      </w:r>
    </w:p>
    <w:p w14:paraId="4A1F32C8" w14:textId="77777777" w:rsidR="00F1108D" w:rsidRPr="00CC7767" w:rsidRDefault="00F1108D" w:rsidP="00F1108D">
      <w:pPr>
        <w:pStyle w:val="Prrafodelista"/>
        <w:numPr>
          <w:ilvl w:val="0"/>
          <w:numId w:val="45"/>
        </w:numPr>
      </w:pPr>
      <w:r w:rsidRPr="00CC7767">
        <w:t xml:space="preserve">Identificar el rol del </w:t>
      </w:r>
      <w:proofErr w:type="spellStart"/>
      <w:r w:rsidRPr="00CC7767">
        <w:t>compliance</w:t>
      </w:r>
      <w:proofErr w:type="spellEnd"/>
      <w:r w:rsidRPr="00CC7767">
        <w:t xml:space="preserve"> laboral como herramienta preventiva para mitigar el acoso laboral </w:t>
      </w:r>
      <w:proofErr w:type="gramStart"/>
      <w:r w:rsidRPr="00CC7767">
        <w:t>de acuerdo a</w:t>
      </w:r>
      <w:proofErr w:type="gramEnd"/>
      <w:r w:rsidRPr="00CC7767">
        <w:t xml:space="preserve"> los estándares internacionales</w:t>
      </w:r>
    </w:p>
    <w:p w14:paraId="2708A763" w14:textId="4D768474" w:rsidR="005A43E3" w:rsidRPr="005A43E3" w:rsidRDefault="005A43E3" w:rsidP="005A43E3">
      <w:pPr>
        <w:pStyle w:val="Ttulo1"/>
      </w:pPr>
      <w:r>
        <w:t>3. Metodología</w:t>
      </w:r>
    </w:p>
    <w:p w14:paraId="4A509089" w14:textId="77777777" w:rsidR="00F1108D" w:rsidRPr="00CC7767" w:rsidRDefault="00F1108D" w:rsidP="00F1108D">
      <w:r w:rsidRPr="00CC7767">
        <w:t xml:space="preserve">El presente trabajo de investigación es de tipo cualitativo y centrará su análisis sobre el rol del </w:t>
      </w:r>
      <w:proofErr w:type="spellStart"/>
      <w:r w:rsidRPr="00CC7767">
        <w:t>compliance</w:t>
      </w:r>
      <w:proofErr w:type="spellEnd"/>
      <w:r w:rsidRPr="00CC7767">
        <w:t xml:space="preserve"> corporativo como herramienta preventiva, determinando sus elementos y su relación con el marco normativo ecuatoriano como mecanismo de acción para evitar riesgos psicosociales en entornos de trabajo.</w:t>
      </w:r>
    </w:p>
    <w:p w14:paraId="5055174B" w14:textId="0D0B02DC" w:rsidR="00F1108D" w:rsidRPr="00E40DEF" w:rsidRDefault="00F1108D" w:rsidP="00F1108D">
      <w:pPr>
        <w:rPr>
          <w:rStyle w:val="s10"/>
          <w:rFonts w:cs="Times New Roman"/>
          <w:szCs w:val="23"/>
        </w:rPr>
      </w:pPr>
      <w:r w:rsidRPr="00CC7767">
        <w:t>​</w:t>
      </w:r>
      <w:r w:rsidR="00E40DEF" w:rsidRPr="00E40DEF">
        <w:rPr>
          <w:rStyle w:val="s10"/>
          <w:rFonts w:cs="Times New Roman"/>
          <w:color w:val="000000"/>
          <w:szCs w:val="23"/>
        </w:rPr>
        <w:t xml:space="preserve">La </w:t>
      </w:r>
      <w:r w:rsidR="00E40DEF" w:rsidRPr="00E40DEF">
        <w:rPr>
          <w:szCs w:val="23"/>
        </w:rPr>
        <w:t>investigación se enfoca en la naturaleza jurídica y dogmática</w:t>
      </w:r>
      <w:r w:rsidRPr="00E40DEF">
        <w:rPr>
          <w:szCs w:val="23"/>
        </w:rPr>
        <w:t xml:space="preserve"> </w:t>
      </w:r>
      <w:r w:rsidR="00E40DEF" w:rsidRPr="00E40DEF">
        <w:rPr>
          <w:szCs w:val="23"/>
        </w:rPr>
        <w:t xml:space="preserve">de la </w:t>
      </w:r>
      <w:r w:rsidRPr="00E40DEF">
        <w:rPr>
          <w:szCs w:val="23"/>
        </w:rPr>
        <w:t xml:space="preserve">protección constitucional y normativa de los derechos laborales y su vinculación con el </w:t>
      </w:r>
      <w:proofErr w:type="spellStart"/>
      <w:r w:rsidRPr="00E40DEF">
        <w:rPr>
          <w:szCs w:val="23"/>
        </w:rPr>
        <w:t>compliance</w:t>
      </w:r>
      <w:proofErr w:type="spellEnd"/>
      <w:r w:rsidRPr="00E40DEF">
        <w:rPr>
          <w:szCs w:val="23"/>
        </w:rPr>
        <w:t xml:space="preserve"> laboral como herramienta de prevención de conflictos en entornos de trabajo</w:t>
      </w:r>
      <w:r w:rsidRPr="00E40DEF">
        <w:rPr>
          <w:rStyle w:val="s10"/>
          <w:rFonts w:cs="Times New Roman"/>
          <w:color w:val="000000"/>
          <w:szCs w:val="23"/>
        </w:rPr>
        <w:t>. Esto implica un análisis exhaustivo de información disponible en textos físicos y digitales, como libros, artículos, legislación e instrumentos internacionales, que abordan el derecho al trabajo y el alcance de la protección y prevención de riesgos, así como las herramientas que pueden aplicarse dentro de las empresas para lograr espacios de trabajo dignos y seguros.</w:t>
      </w:r>
    </w:p>
    <w:p w14:paraId="6B6B724F" w14:textId="77777777" w:rsidR="00F1108D" w:rsidRPr="00E40DEF" w:rsidRDefault="00F1108D" w:rsidP="00F1108D">
      <w:pPr>
        <w:rPr>
          <w:szCs w:val="23"/>
        </w:rPr>
      </w:pPr>
      <w:r w:rsidRPr="00E40DEF">
        <w:rPr>
          <w:szCs w:val="23"/>
        </w:rPr>
        <w:t>​</w:t>
      </w:r>
      <w:r w:rsidRPr="00E40DEF">
        <w:rPr>
          <w:rStyle w:val="s10"/>
          <w:color w:val="000000"/>
          <w:szCs w:val="23"/>
        </w:rPr>
        <w:t>Este estudio emplea un enfoque cualitativo, siguiendo la metodología propuesta por</w:t>
      </w:r>
      <w:sdt>
        <w:sdtPr>
          <w:rPr>
            <w:rStyle w:val="s10"/>
            <w:color w:val="000000"/>
            <w:szCs w:val="23"/>
          </w:rPr>
          <w:id w:val="1110938710"/>
          <w:citation/>
        </w:sdtPr>
        <w:sdtEndPr>
          <w:rPr>
            <w:rStyle w:val="s10"/>
          </w:rPr>
        </w:sdtEndPr>
        <w:sdtContent>
          <w:r w:rsidRPr="00E40DEF">
            <w:rPr>
              <w:rStyle w:val="s10"/>
              <w:color w:val="000000"/>
              <w:szCs w:val="23"/>
            </w:rPr>
            <w:fldChar w:fldCharType="begin"/>
          </w:r>
          <w:r w:rsidRPr="00E40DEF">
            <w:rPr>
              <w:rStyle w:val="s10"/>
              <w:color w:val="000000"/>
              <w:szCs w:val="23"/>
            </w:rPr>
            <w:instrText xml:space="preserve"> CITATION Her14 \l 12298 </w:instrText>
          </w:r>
          <w:r w:rsidRPr="00E40DEF">
            <w:rPr>
              <w:rStyle w:val="s10"/>
              <w:color w:val="000000"/>
              <w:szCs w:val="23"/>
            </w:rPr>
            <w:fldChar w:fldCharType="separate"/>
          </w:r>
          <w:r w:rsidRPr="00E40DEF">
            <w:rPr>
              <w:rStyle w:val="s10"/>
              <w:noProof/>
              <w:color w:val="000000"/>
              <w:szCs w:val="23"/>
            </w:rPr>
            <w:t xml:space="preserve"> </w:t>
          </w:r>
          <w:r w:rsidRPr="00E40DEF">
            <w:rPr>
              <w:noProof/>
              <w:szCs w:val="23"/>
            </w:rPr>
            <w:t>(Hernández, Fernández, &amp; Baptista, 2014)</w:t>
          </w:r>
          <w:r w:rsidRPr="00E40DEF">
            <w:rPr>
              <w:rStyle w:val="s10"/>
              <w:color w:val="000000"/>
              <w:szCs w:val="23"/>
            </w:rPr>
            <w:fldChar w:fldCharType="end"/>
          </w:r>
        </w:sdtContent>
      </w:sdt>
      <w:r w:rsidRPr="00E40DEF">
        <w:rPr>
          <w:rStyle w:val="s10"/>
          <w:color w:val="000000"/>
          <w:szCs w:val="23"/>
        </w:rPr>
        <w:t xml:space="preserve">, que implica la recolección y análisis de datos para ajustar las preguntas de investigación o descubrir nuevas preguntas durante el proceso de interpretación. La revisión de normativa, doctrina y jurisprudencia busca cumplir con </w:t>
      </w:r>
      <w:r w:rsidRPr="00E40DEF">
        <w:rPr>
          <w:rStyle w:val="s10"/>
          <w:color w:val="000000"/>
          <w:szCs w:val="23"/>
        </w:rPr>
        <w:lastRenderedPageBreak/>
        <w:t>los objetivos del estudio y recabar información relevante para la investigación.</w:t>
      </w:r>
    </w:p>
    <w:p w14:paraId="140D2747" w14:textId="35FDA506" w:rsidR="00F1108D" w:rsidRPr="00E40DEF" w:rsidRDefault="00F1108D" w:rsidP="00F1108D">
      <w:pPr>
        <w:rPr>
          <w:szCs w:val="23"/>
        </w:rPr>
      </w:pPr>
      <w:r w:rsidRPr="00E40DEF">
        <w:rPr>
          <w:szCs w:val="23"/>
        </w:rPr>
        <w:t>​</w:t>
      </w:r>
      <w:r w:rsidRPr="00E40DEF">
        <w:rPr>
          <w:rStyle w:val="s10"/>
          <w:color w:val="000000"/>
          <w:szCs w:val="23"/>
        </w:rPr>
        <w:t>El trabajo investigativo se basa en el diseño hermenéutico. Según Quintana y Herminda</w:t>
      </w:r>
      <w:sdt>
        <w:sdtPr>
          <w:rPr>
            <w:rStyle w:val="s10"/>
            <w:color w:val="000000"/>
            <w:szCs w:val="23"/>
          </w:rPr>
          <w:id w:val="317235637"/>
          <w:citation/>
        </w:sdtPr>
        <w:sdtEndPr>
          <w:rPr>
            <w:rStyle w:val="s10"/>
          </w:rPr>
        </w:sdtEndPr>
        <w:sdtContent>
          <w:r w:rsidRPr="00E40DEF">
            <w:rPr>
              <w:rStyle w:val="s10"/>
              <w:color w:val="000000"/>
              <w:szCs w:val="23"/>
            </w:rPr>
            <w:fldChar w:fldCharType="begin"/>
          </w:r>
          <w:r w:rsidRPr="00E40DEF">
            <w:rPr>
              <w:rStyle w:val="s10"/>
              <w:color w:val="000000"/>
              <w:szCs w:val="23"/>
            </w:rPr>
            <w:instrText xml:space="preserve">CITATION Her19 \n  \t  \l 12298 </w:instrText>
          </w:r>
          <w:r w:rsidRPr="00E40DEF">
            <w:rPr>
              <w:rStyle w:val="s10"/>
              <w:color w:val="000000"/>
              <w:szCs w:val="23"/>
            </w:rPr>
            <w:fldChar w:fldCharType="separate"/>
          </w:r>
          <w:r w:rsidRPr="00E40DEF">
            <w:rPr>
              <w:rStyle w:val="s10"/>
              <w:noProof/>
              <w:color w:val="000000"/>
              <w:szCs w:val="23"/>
            </w:rPr>
            <w:t xml:space="preserve"> </w:t>
          </w:r>
          <w:r w:rsidRPr="00E40DEF">
            <w:rPr>
              <w:noProof/>
              <w:szCs w:val="23"/>
            </w:rPr>
            <w:t>(2019)</w:t>
          </w:r>
          <w:r w:rsidRPr="00E40DEF">
            <w:rPr>
              <w:rStyle w:val="s10"/>
              <w:color w:val="000000"/>
              <w:szCs w:val="23"/>
            </w:rPr>
            <w:fldChar w:fldCharType="end"/>
          </w:r>
        </w:sdtContent>
      </w:sdt>
      <w:r w:rsidRPr="00E40DEF">
        <w:rPr>
          <w:rStyle w:val="s10"/>
          <w:color w:val="000000"/>
          <w:szCs w:val="23"/>
        </w:rPr>
        <w:t>, “La hermenéutica proporciona una alternativa específica para la interpretación de los textos.” (pág. 75). La aplicación del diseño hermenéutico en esta investigación es fundamental para la interpretación de normativa, instrumentos internacionales y doctrina, asegurando así el cumplimiento de los objetivos propuestos.</w:t>
      </w:r>
    </w:p>
    <w:p w14:paraId="1760C026" w14:textId="32871763" w:rsidR="004307D4" w:rsidRDefault="00CE0F4B" w:rsidP="00721EBE">
      <w:pPr>
        <w:pStyle w:val="Ttulo1"/>
      </w:pPr>
      <w:r>
        <w:rPr>
          <w:caps w:val="0"/>
        </w:rPr>
        <w:t>4</w:t>
      </w:r>
      <w:r w:rsidR="00721EBE" w:rsidRPr="00721EBE">
        <w:rPr>
          <w:caps w:val="0"/>
        </w:rPr>
        <w:t>.</w:t>
      </w:r>
      <w:r w:rsidR="00721EBE">
        <w:t xml:space="preserve"> </w:t>
      </w:r>
      <w:r w:rsidR="004307D4">
        <w:t>resultados</w:t>
      </w:r>
    </w:p>
    <w:p w14:paraId="2B1AD747" w14:textId="77777777" w:rsidR="00F1108D" w:rsidRPr="00CC7767" w:rsidRDefault="00F1108D" w:rsidP="00F1108D">
      <w:r w:rsidRPr="00CC7767">
        <w:t>El trabajo constituye uno de los pilares fundamentales del desarrollo humano y de la organización social. A lo largo de la historia, las relaciones laborales han evolucionado desde modelos basados en la explotación y la desigualdad hacia esquemas jurídicos que buscan equilibrar la relación entre empleadores y trabajadores. En este proceso, el Estado ha asumido un papel central como garante de condiciones laborales justas y dignas.</w:t>
      </w:r>
    </w:p>
    <w:p w14:paraId="73FE57D6" w14:textId="77777777" w:rsidR="008A4135" w:rsidRDefault="00E40DEF" w:rsidP="00F1108D">
      <w:r>
        <w:t>Sin embargo, e</w:t>
      </w:r>
      <w:r w:rsidR="00F1108D" w:rsidRPr="00CC7767">
        <w:t xml:space="preserve">n el ámbito contemporáneo el concepto de trabajo digno o trabajo decente ha adquirido especial relevancia dentro del derecho laboral y del derecho internacional de los derechos humanos. Este concepto se vincula con la idea de que el trabajo no debe ser únicamente un medio de subsistencia, sino una actividad que permita el desarrollo personal, la integración social y el ejercicio pleno de la dignidad humana. </w:t>
      </w:r>
    </w:p>
    <w:p w14:paraId="7FCD1EBF" w14:textId="0174B414" w:rsidR="00F1108D" w:rsidRPr="00CC7767" w:rsidRDefault="00F1108D" w:rsidP="00F1108D">
      <w:r w:rsidRPr="00CC7767">
        <w:t>Según la Organización Internacional del Trabajo (OIT), el trabajo decente implica el acceso a empleos productivos, con ingresos justos, seguridad en el lugar de trabajo, protección social y oportunidades de desarrollo personal</w:t>
      </w:r>
      <w:r w:rsidRPr="00CC7767">
        <w:rPr>
          <w:noProof/>
          <w:lang w:val="es-EC"/>
        </w:rPr>
        <w:t xml:space="preserve"> (Organización Internacional del Trabajo, 1999)</w:t>
      </w:r>
      <w:r w:rsidR="00B47559">
        <w:rPr>
          <w:noProof/>
          <w:lang w:val="es-EC"/>
        </w:rPr>
        <w:t xml:space="preserve">. </w:t>
      </w:r>
      <w:r w:rsidRPr="00CC7767">
        <w:t>El Estado de hecho juega el papel de protagonista y regulador, imponiendo derechos y la obligación expresa de hacerlos eficaces, en pro de alcanzar un debido equilibrio entre la idea de capital y trabajo</w:t>
      </w:r>
      <w:sdt>
        <w:sdtPr>
          <w:id w:val="-2080978208"/>
          <w:citation/>
        </w:sdtPr>
        <w:sdtEndPr/>
        <w:sdtContent>
          <w:r w:rsidRPr="00CC7767">
            <w:fldChar w:fldCharType="begin"/>
          </w:r>
          <w:r w:rsidRPr="00CC7767">
            <w:rPr>
              <w:lang w:val="es-EC"/>
            </w:rPr>
            <w:instrText xml:space="preserve">CITATION Oba19 \l 12298 </w:instrText>
          </w:r>
          <w:r w:rsidRPr="00CC7767">
            <w:fldChar w:fldCharType="separate"/>
          </w:r>
          <w:r w:rsidRPr="00CC7767">
            <w:rPr>
              <w:noProof/>
              <w:lang w:val="es-EC"/>
            </w:rPr>
            <w:t xml:space="preserve"> (Obando, 2019)</w:t>
          </w:r>
          <w:r w:rsidRPr="00CC7767">
            <w:fldChar w:fldCharType="end"/>
          </w:r>
        </w:sdtContent>
      </w:sdt>
      <w:r w:rsidRPr="00CC7767">
        <w:t xml:space="preserve"> . </w:t>
      </w:r>
    </w:p>
    <w:p w14:paraId="7B217E18" w14:textId="721EA9CF" w:rsidR="00F1108D" w:rsidRPr="00CC7767" w:rsidRDefault="007B463F" w:rsidP="00F1108D">
      <w:r>
        <w:lastRenderedPageBreak/>
        <w:t>Así también además de la normativa, encontramos a l</w:t>
      </w:r>
      <w:r w:rsidR="00F1108D" w:rsidRPr="00CC7767">
        <w:t>os principios jurídicos</w:t>
      </w:r>
      <w:r>
        <w:t>,</w:t>
      </w:r>
      <w:r w:rsidR="00F1108D" w:rsidRPr="00CC7767">
        <w:t xml:space="preserve"> reglas inalterables y esenciales que alimentan las bases sobre las cuales todo el ordenamiento jurídico-laboral obtiene su sustento</w:t>
      </w:r>
      <w:sdt>
        <w:sdtPr>
          <w:id w:val="-789978501"/>
          <w:citation/>
        </w:sdtPr>
        <w:sdtEndPr/>
        <w:sdtContent>
          <w:r w:rsidR="00F1108D" w:rsidRPr="00CC7767">
            <w:fldChar w:fldCharType="begin"/>
          </w:r>
          <w:r w:rsidR="00F1108D" w:rsidRPr="00CC7767">
            <w:rPr>
              <w:lang w:val="es-EC"/>
            </w:rPr>
            <w:instrText xml:space="preserve"> CITATION Gri13 \l 12298 </w:instrText>
          </w:r>
          <w:r w:rsidR="00F1108D" w:rsidRPr="00CC7767">
            <w:fldChar w:fldCharType="separate"/>
          </w:r>
          <w:r w:rsidR="00F1108D" w:rsidRPr="00CC7767">
            <w:rPr>
              <w:noProof/>
              <w:lang w:val="es-EC"/>
            </w:rPr>
            <w:t xml:space="preserve"> (Grisolia, 2013)</w:t>
          </w:r>
          <w:r w:rsidR="00F1108D" w:rsidRPr="00CC7767">
            <w:fldChar w:fldCharType="end"/>
          </w:r>
        </w:sdtContent>
      </w:sdt>
      <w:r w:rsidR="00F1108D" w:rsidRPr="00CC7767">
        <w:t xml:space="preserve">, es así </w:t>
      </w:r>
      <w:proofErr w:type="gramStart"/>
      <w:r w:rsidR="00F1108D" w:rsidRPr="00CC7767">
        <w:t>que</w:t>
      </w:r>
      <w:proofErr w:type="gramEnd"/>
      <w:r w:rsidR="00F1108D" w:rsidRPr="00CC7767">
        <w:t xml:space="preserve"> han permitido el nacimiento de un marco jurídico que propende a garantizar de manera efectiva una protección adecuada al trabajador por considerarlo una parte vulnerable dentro de la relación laboral.</w:t>
      </w:r>
    </w:p>
    <w:p w14:paraId="4EEF5089" w14:textId="3B5901DE" w:rsidR="00F1108D" w:rsidRPr="00CC7767" w:rsidRDefault="00F1108D" w:rsidP="00F1108D">
      <w:r w:rsidRPr="00CC7767">
        <w:t xml:space="preserve">El ordenamiento jurídico incorpora no solo lineamientos de conducta, sino mecanismos de protección destinados a equilibrar la asimetría que pueda surgir entre empleador y trabajador, otorgando a este último un tratamiento diferenciado que compense su situación de fragilidad frente al poder económico empresarial. </w:t>
      </w:r>
    </w:p>
    <w:p w14:paraId="4DF16E50" w14:textId="06639A46" w:rsidR="00F1108D" w:rsidRDefault="00F1108D" w:rsidP="00F1108D">
      <w:pPr>
        <w:rPr>
          <w:lang w:val="es-EC"/>
        </w:rPr>
      </w:pPr>
      <w:r>
        <w:rPr>
          <w:lang w:val="es-EC"/>
        </w:rPr>
        <w:t>Desde la Organización Internacional del Trabajo</w:t>
      </w:r>
      <w:r w:rsidR="00403AF3">
        <w:rPr>
          <w:lang w:val="es-EC"/>
        </w:rPr>
        <w:t xml:space="preserve"> también</w:t>
      </w:r>
      <w:r>
        <w:rPr>
          <w:lang w:val="es-EC"/>
        </w:rPr>
        <w:t xml:space="preserve"> se ha establecido que </w:t>
      </w:r>
      <w:r w:rsidR="00403AF3">
        <w:rPr>
          <w:lang w:val="es-EC"/>
        </w:rPr>
        <w:t>las actividades laborales</w:t>
      </w:r>
      <w:r>
        <w:rPr>
          <w:lang w:val="es-EC"/>
        </w:rPr>
        <w:t xml:space="preserve"> debe</w:t>
      </w:r>
      <w:r w:rsidR="00403AF3">
        <w:rPr>
          <w:lang w:val="es-EC"/>
        </w:rPr>
        <w:t>n</w:t>
      </w:r>
      <w:r>
        <w:rPr>
          <w:lang w:val="es-EC"/>
        </w:rPr>
        <w:t xml:space="preserve"> realizarse en condiciones de “libertad, equidad, seguridad y dignidad”, en el cual los derechos gozan de protección especial, liberándolo incluso de que solo se lo pueda considerar desde el punto de vista económico y liberarlo de que sea considerado como solo una mercancía </w:t>
      </w:r>
      <w:sdt>
        <w:sdtPr>
          <w:rPr>
            <w:lang w:val="es-EC"/>
          </w:rPr>
          <w:id w:val="-256898251"/>
          <w:citation/>
        </w:sdtPr>
        <w:sdtEndPr/>
        <w:sdtContent>
          <w:r>
            <w:rPr>
              <w:lang w:val="es-EC"/>
            </w:rPr>
            <w:fldChar w:fldCharType="begin"/>
          </w:r>
          <w:r>
            <w:rPr>
              <w:lang w:val="es-EC"/>
            </w:rPr>
            <w:instrText xml:space="preserve"> CITATION Gri13 \l 12298 </w:instrText>
          </w:r>
          <w:r>
            <w:rPr>
              <w:lang w:val="es-EC"/>
            </w:rPr>
            <w:fldChar w:fldCharType="separate"/>
          </w:r>
          <w:r w:rsidRPr="006F7F67">
            <w:rPr>
              <w:noProof/>
              <w:lang w:val="es-EC"/>
            </w:rPr>
            <w:t>(Grisolia, 2013)</w:t>
          </w:r>
          <w:r>
            <w:rPr>
              <w:lang w:val="es-EC"/>
            </w:rPr>
            <w:fldChar w:fldCharType="end"/>
          </w:r>
        </w:sdtContent>
      </w:sdt>
      <w:r>
        <w:rPr>
          <w:lang w:val="es-EC"/>
        </w:rPr>
        <w:t>. La Constitución y el Código de Trabajo han desarrollado estos postulados, estableciendo obligaciones concretas para los empleadores en materia de seguridad y salud laboral, tanto el aspecto físico como mental.</w:t>
      </w:r>
    </w:p>
    <w:p w14:paraId="2490B92C" w14:textId="77777777" w:rsidR="00F1108D" w:rsidRPr="00CC7767" w:rsidRDefault="00F1108D" w:rsidP="00F1108D">
      <w:pPr>
        <w:rPr>
          <w:lang w:val="es-EC"/>
        </w:rPr>
      </w:pPr>
      <w:r w:rsidRPr="00CC7767">
        <w:rPr>
          <w:lang w:val="es-EC"/>
        </w:rPr>
        <w:t>4.1 RECONOCIMIENTO CONSTITUCIO</w:t>
      </w:r>
      <w:r>
        <w:rPr>
          <w:lang w:val="es-EC"/>
        </w:rPr>
        <w:t>N</w:t>
      </w:r>
      <w:r w:rsidRPr="00CC7767">
        <w:rPr>
          <w:lang w:val="es-EC"/>
        </w:rPr>
        <w:t xml:space="preserve">AL DEL DERECHO DEL TRABAJO </w:t>
      </w:r>
    </w:p>
    <w:p w14:paraId="5F1C8AB9" w14:textId="5C5EFD6B" w:rsidR="00F1108D" w:rsidRPr="00CC7767" w:rsidRDefault="00D5151C" w:rsidP="00F1108D">
      <w:pPr>
        <w:rPr>
          <w:lang w:val="es-EC"/>
        </w:rPr>
      </w:pPr>
      <w:r>
        <w:rPr>
          <w:lang w:val="es-EC"/>
        </w:rPr>
        <w:t>Como se ha mencionado previamente, e</w:t>
      </w:r>
      <w:r w:rsidR="00F1108D" w:rsidRPr="00CC7767">
        <w:rPr>
          <w:lang w:val="es-EC"/>
        </w:rPr>
        <w:t>l derecho del trabajo surge históricamente como una respuesta jurídica frente a las profundas desigualdades existentes entre trabajadores y empleadores dentro del sistema productivo. A diferencia de otras ramas del derecho privado, donde predomina la igualdad formal entre las partes, el derecho laboral se fundamenta en un conjunto de principios orientados a equilibrar una relación jurídica caracterizada por la desigualdad económica y social.</w:t>
      </w:r>
    </w:p>
    <w:p w14:paraId="6502CED2" w14:textId="77777777" w:rsidR="00F1108D" w:rsidRPr="00CC7767" w:rsidRDefault="00F1108D" w:rsidP="00F1108D">
      <w:pPr>
        <w:rPr>
          <w:lang w:val="es-EC"/>
        </w:rPr>
      </w:pPr>
      <w:r w:rsidRPr="00CC7767">
        <w:rPr>
          <w:lang w:val="es-EC"/>
        </w:rPr>
        <w:t>En este contexto, los principios del derecho del trabajo cumplen una función estructural dentro del ordenamiento jurídico laboral, ya que orientan la creación de normas, guían la interpretación de las disposi</w:t>
      </w:r>
      <w:r w:rsidRPr="00CC7767">
        <w:rPr>
          <w:lang w:val="es-EC"/>
        </w:rPr>
        <w:lastRenderedPageBreak/>
        <w:t>ciones existentes y permiten resolver situaciones no previstas por la legislación. Según el jurista uruguayo Américo Plá Rodríguez, los principios laborales constituyen “líneas directrices que informan algunas normas e inspiran directa o indirectamente una serie de soluciones, por lo que pueden servir para promover y encauzar la aprobación de nuevas normas, orientar la interpretación de las existentes y resolver los casos no previstos”</w:t>
      </w:r>
      <w:sdt>
        <w:sdtPr>
          <w:rPr>
            <w:lang w:val="es-EC"/>
          </w:rPr>
          <w:id w:val="738445063"/>
          <w:citation/>
        </w:sdtPr>
        <w:sdtEndPr/>
        <w:sdtContent>
          <w:r w:rsidRPr="00CC7767">
            <w:rPr>
              <w:lang w:val="es-EC"/>
            </w:rPr>
            <w:fldChar w:fldCharType="begin"/>
          </w:r>
          <w:r w:rsidRPr="00CC7767">
            <w:rPr>
              <w:lang w:val="es-EC"/>
            </w:rPr>
            <w:instrText xml:space="preserve"> CITATION Plá12 \l 12298 </w:instrText>
          </w:r>
          <w:r w:rsidRPr="00CC7767">
            <w:rPr>
              <w:lang w:val="es-EC"/>
            </w:rPr>
            <w:fldChar w:fldCharType="separate"/>
          </w:r>
          <w:r w:rsidRPr="00CC7767">
            <w:rPr>
              <w:noProof/>
              <w:lang w:val="es-EC"/>
            </w:rPr>
            <w:t xml:space="preserve"> (Plá Rodríguez, 2012)</w:t>
          </w:r>
          <w:r w:rsidRPr="00CC7767">
            <w:rPr>
              <w:lang w:val="es-EC"/>
            </w:rPr>
            <w:fldChar w:fldCharType="end"/>
          </w:r>
        </w:sdtContent>
      </w:sdt>
      <w:r w:rsidRPr="00CC7767">
        <w:rPr>
          <w:lang w:val="es-EC"/>
        </w:rPr>
        <w:t xml:space="preserve"> .</w:t>
      </w:r>
    </w:p>
    <w:p w14:paraId="37C5328B" w14:textId="77777777" w:rsidR="00F1108D" w:rsidRPr="00CC7767" w:rsidRDefault="00F1108D" w:rsidP="00F1108D">
      <w:pPr>
        <w:rPr>
          <w:lang w:val="es-EC"/>
        </w:rPr>
      </w:pPr>
      <w:r w:rsidRPr="00CC7767">
        <w:rPr>
          <w:lang w:val="es-EC"/>
        </w:rPr>
        <w:t>Estos principios adquieren especial relevancia dentro del modelo de Estado constitucional de derechos, en el cual el trabajo es concebido no solo como una actividad económica, sino como un derecho fundamental vinculado con la dignidad humana. En el caso ecuatoriano, la Constitución de la República reconoce expresamente el derecho al trabajo y establece que el Estado debe garantizar condiciones laborales dignas y justas.</w:t>
      </w:r>
    </w:p>
    <w:p w14:paraId="2330D9B0" w14:textId="77777777" w:rsidR="00F1108D" w:rsidRPr="00CC7767" w:rsidRDefault="00F1108D" w:rsidP="00F1108D">
      <w:pPr>
        <w:rPr>
          <w:lang w:val="es-EC"/>
        </w:rPr>
      </w:pPr>
      <w:r w:rsidRPr="00CC7767">
        <w:rPr>
          <w:lang w:val="es-EC"/>
        </w:rPr>
        <w:t>El artículo 33 de la Constitución ecuatoriana dispone que el trabajo es un derecho y un deber social, además de constituir una fuente de realización personal y la base de la economía. Asimismo, señala que el Estado garantizará a las personas trabajadoras el respeto a su dignidad, una vida decorosa y remuneraciones justas.</w:t>
      </w:r>
    </w:p>
    <w:p w14:paraId="5F73517D" w14:textId="77777777" w:rsidR="00F1108D" w:rsidRPr="0056526E" w:rsidRDefault="00F1108D" w:rsidP="00F1108D">
      <w:r w:rsidRPr="00CC7767">
        <w:t>En tal sentido se entiende que las relaciones laborales deben estar enmarcadas en el resguardo que a la luz del Principio Protectorio debe brindar el Estado y la normativa con la finalidad de que el trabajador ejerza sus actividades laborales, libre de cualquier tipo de violencia o situaciones que provoquen un menoscabo en su integridad física o emocional; sin embargo es necesario resaltar que no solo corresponde al engranaje estatal y normativo custodiar la integridad del trabajador, sino que con el objetivo de que las relaciones laborales no se vean afectadas, es necesario que empleadores empleen estrategias de prevención o cese de conductas que puedan implicar que sus dependientes sientan algún tipo de agravio en el ejercicio de labores.</w:t>
      </w:r>
    </w:p>
    <w:p w14:paraId="660A1EDF" w14:textId="77777777" w:rsidR="00F1108D" w:rsidRPr="00CC7767" w:rsidRDefault="00F1108D" w:rsidP="00F1108D">
      <w:r w:rsidRPr="00CC7767">
        <w:t xml:space="preserve">​El proteger al trabajador del acoso laboral responde a precautelar el principio de la no discriminación, por cuanto, la legislación debe responder a legitimar el trabajo en igualdad de condiciones, que proteja la integridad física y psíquica y en general promueva el disfrute pleno de </w:t>
      </w:r>
      <w:r w:rsidRPr="00CC7767">
        <w:lastRenderedPageBreak/>
        <w:t>una vida sin violencia, por cuanto el acoso laboral se constituye una amenaza incluso para alcanzar la igualdad de oportunidades. El amparo a la dignidad del trabajador constituye un concepto universal,</w:t>
      </w:r>
      <w:r>
        <w:t xml:space="preserve"> </w:t>
      </w:r>
      <w:r w:rsidRPr="00CC7767">
        <w:t xml:space="preserve">transversal e idóneo que asegure la plena vigencia de derechos, buscando una limitación a acciones que provoquen acciones perjudiciales para los titulares de </w:t>
      </w:r>
      <w:proofErr w:type="gramStart"/>
      <w:r w:rsidRPr="00CC7767">
        <w:t>los mismos</w:t>
      </w:r>
      <w:proofErr w:type="gramEnd"/>
      <w:r w:rsidRPr="00CC7767">
        <w:t xml:space="preserve"> </w:t>
      </w:r>
      <w:sdt>
        <w:sdtPr>
          <w:id w:val="-1869665455"/>
          <w:citation/>
        </w:sdtPr>
        <w:sdtEndPr/>
        <w:sdtContent>
          <w:r w:rsidRPr="00CC7767">
            <w:fldChar w:fldCharType="begin"/>
          </w:r>
          <w:r w:rsidRPr="00CC7767">
            <w:rPr>
              <w:lang w:val="es-EC"/>
            </w:rPr>
            <w:instrText xml:space="preserve"> CITATION Váz22 \l 12298 </w:instrText>
          </w:r>
          <w:r w:rsidRPr="00CC7767">
            <w:fldChar w:fldCharType="separate"/>
          </w:r>
          <w:r w:rsidRPr="00CC7767">
            <w:rPr>
              <w:noProof/>
              <w:lang w:val="es-EC"/>
            </w:rPr>
            <w:t>(Vázquez Calle, 2022)</w:t>
          </w:r>
          <w:r w:rsidRPr="00CC7767">
            <w:fldChar w:fldCharType="end"/>
          </w:r>
        </w:sdtContent>
      </w:sdt>
      <w:r w:rsidRPr="00CC7767">
        <w:t>.</w:t>
      </w:r>
    </w:p>
    <w:p w14:paraId="2D4F3185" w14:textId="6FE92A50" w:rsidR="00F1108D" w:rsidRPr="00CC7767" w:rsidRDefault="00F1108D" w:rsidP="00F1108D">
      <w:r w:rsidRPr="00CC7767">
        <w:t xml:space="preserve">En pro de incorporar políticas públicas que promuevan eficientemente el respeto a la dignidad de los trabajadores el Estado ha promovido la inclusión de nuevas instituciones jurídicos en el contexto laboral, con el fin de que el trabajo se realice sin acciones que puedan causar perjuicio al trabajador, no sólo por parte de su empleador, sino incluso de sus propios compañeros o subalternos. La Sentencia 968-19-JP/ 21 de 21 de diciembre de 2021 </w:t>
      </w:r>
      <w:r w:rsidR="008D4DC0">
        <w:t xml:space="preserve">de la </w:t>
      </w:r>
      <w:r w:rsidRPr="00CC7767">
        <w:t>Corte Constitucional del Ecuador establece que: “El acoso laboral es una forma de violencia que estructura una relación social y acarrea daños a bienes constitucionales como la salud y la integridad, sobre todo, de las personas trabajadoras, en cuyo caso, el acoso laboral deviene una forma de vulneración del derecho al trabajo en condiciones dignas”.</w:t>
      </w:r>
    </w:p>
    <w:p w14:paraId="522B935B" w14:textId="0DCF17A2" w:rsidR="00F1108D" w:rsidRDefault="00F1108D" w:rsidP="00F1108D">
      <w:r w:rsidRPr="00CC7767">
        <w:t xml:space="preserve"> Con base en lo expuesto no solamente el armaje de políticas públicas, la normativa y </w:t>
      </w:r>
      <w:r w:rsidR="008D4DC0">
        <w:t>la Jurisprudencia de la</w:t>
      </w:r>
      <w:r w:rsidRPr="00CC7767">
        <w:t xml:space="preserve"> Corte Constitucional ha</w:t>
      </w:r>
      <w:r>
        <w:t>n</w:t>
      </w:r>
      <w:r w:rsidRPr="00CC7767">
        <w:t xml:space="preserve"> pretendido blindar al trabajador de cualquier tipo de violencia en el ámbito laboral, si bien el acoso laboral es una de las más novedosas figuras incorporadas en nuestro Código de Trabajo y en la LOSEP, debe darse constante vigilancia, prevención y garantizar la debida sanción cuando un trabajador este siendo víctima de actos reiterados y potencialmente lesivos, cometido en el lugar de trabajo o en cualquier momento en contra de una de las partes de la relación laboral o entre trabajadores, puesto que estás acciones sin duda, traen como resultado el menoscabo, maltrato o humillación que de alguna manera se constituye como una amenaza o perjudicando su situación laboral.</w:t>
      </w:r>
    </w:p>
    <w:p w14:paraId="6CC0F44E" w14:textId="4692105D" w:rsidR="00F1108D" w:rsidRPr="00CC7767" w:rsidRDefault="00F1108D" w:rsidP="00F1108D">
      <w:r w:rsidRPr="00CC7767">
        <w:t>Sí bien el acoso laboral es una de las más novedosas figuras incorporadas en nuestro Código de Trabajo</w:t>
      </w:r>
      <w:r w:rsidR="009766B6">
        <w:t xml:space="preserve"> o en la LOSEP</w:t>
      </w:r>
      <w:r w:rsidRPr="00CC7767">
        <w:t xml:space="preserve">, podemos entender a esta conducta como “un acto atentatorio a la dignidad de la persona ejercido de forma reiterada y potencialmente lesivo, cometido en el lugar de trabajo o en cualquier momento en contra de una de las partes de </w:t>
      </w:r>
      <w:r w:rsidRPr="00CC7767">
        <w:lastRenderedPageBreak/>
        <w:t>la relación laboral o entre trabajadores, la acción descrita trae como resultado el menoscabo, maltrato o humillación que de alguna manera se constituya una amenaza o perjudique su situación laboral, incluso cuando estas acciones sean ejercidas por la filiación sindical y gremial.</w:t>
      </w:r>
    </w:p>
    <w:p w14:paraId="18DADB5F" w14:textId="218C028A" w:rsidR="00F1108D" w:rsidRPr="00483FFF" w:rsidRDefault="00F1108D" w:rsidP="00F1108D">
      <w:pPr>
        <w:rPr>
          <w:lang w:val="es-EC"/>
        </w:rPr>
      </w:pPr>
      <w:r w:rsidRPr="00CC7767">
        <w:rPr>
          <w:lang w:val="es-EC"/>
        </w:rPr>
        <w:t>Desde esta perspectiva, el Estado no se limita a adoptar una posición neutral frente a las relaciones laborales, sino que asume un rol activo en la promoción, regulación y protección de las condiciones laborales de las personas trabajadoras. Este papel encuentra su fundamento en el carácter protector del Derecho del Trabajo, el cual, como ha señalado la doctrina clásica, surge precisamente para corregir las desigualdades estructurales existentes entre empleadores y trabajadores dentro del mercado laboral</w:t>
      </w:r>
      <w:sdt>
        <w:sdtPr>
          <w:rPr>
            <w:lang w:val="es-EC"/>
          </w:rPr>
          <w:id w:val="-18096142"/>
          <w:citation/>
        </w:sdtPr>
        <w:sdtEndPr/>
        <w:sdtContent>
          <w:r w:rsidRPr="00CC7767">
            <w:rPr>
              <w:lang w:val="es-EC"/>
            </w:rPr>
            <w:fldChar w:fldCharType="begin"/>
          </w:r>
          <w:r w:rsidRPr="00CC7767">
            <w:rPr>
              <w:lang w:val="es-EC"/>
            </w:rPr>
            <w:instrText xml:space="preserve"> CITATION Plá12 \l 12298 </w:instrText>
          </w:r>
          <w:r w:rsidRPr="00CC7767">
            <w:rPr>
              <w:lang w:val="es-EC"/>
            </w:rPr>
            <w:fldChar w:fldCharType="separate"/>
          </w:r>
          <w:r w:rsidRPr="00CC7767">
            <w:rPr>
              <w:noProof/>
              <w:lang w:val="es-EC"/>
            </w:rPr>
            <w:t xml:space="preserve"> (Plá Rodríguez, 2012)</w:t>
          </w:r>
          <w:r w:rsidRPr="00CC7767">
            <w:rPr>
              <w:lang w:val="es-EC"/>
            </w:rPr>
            <w:fldChar w:fldCharType="end"/>
          </w:r>
        </w:sdtContent>
      </w:sdt>
      <w:r w:rsidRPr="00CC7767">
        <w:rPr>
          <w:lang w:val="es-EC"/>
        </w:rPr>
        <w:t>.</w:t>
      </w:r>
    </w:p>
    <w:p w14:paraId="1F1E8F2D" w14:textId="77777777" w:rsidR="00F1108D" w:rsidRPr="00CC7767" w:rsidRDefault="00F1108D" w:rsidP="00F1108D">
      <w:r w:rsidRPr="00CC7767">
        <w:t>4.2 EL COMPLIANCE CORPORATIVO</w:t>
      </w:r>
    </w:p>
    <w:p w14:paraId="726765A5" w14:textId="3D3FF5A6" w:rsidR="00F1108D" w:rsidRPr="00CC7767" w:rsidRDefault="00F1108D" w:rsidP="00F1108D">
      <w:r w:rsidRPr="00CC7767">
        <w:t xml:space="preserve">El </w:t>
      </w:r>
      <w:proofErr w:type="spellStart"/>
      <w:r w:rsidRPr="00CC7767">
        <w:t>compliance</w:t>
      </w:r>
      <w:proofErr w:type="spellEnd"/>
      <w:r w:rsidRPr="00CC7767">
        <w:t xml:space="preserve"> es un programa que reúne políticas, procedimientos y acciones que puedan adoptarse dentro de una empresa u organización con la finalidad establecer mecanismos de prevención, detección y respuesta a conductas que pongan en juego la ética empresarial.</w:t>
      </w:r>
      <w:sdt>
        <w:sdtPr>
          <w:id w:val="789627668"/>
          <w:citation/>
        </w:sdtPr>
        <w:sdtEndPr/>
        <w:sdtContent>
          <w:r w:rsidRPr="00CC7767">
            <w:fldChar w:fldCharType="begin"/>
          </w:r>
          <w:r w:rsidRPr="00CC7767">
            <w:rPr>
              <w:lang w:val="es-EC"/>
            </w:rPr>
            <w:instrText xml:space="preserve"> CITATION Ros25 \l 12298 </w:instrText>
          </w:r>
          <w:r w:rsidRPr="00CC7767">
            <w:fldChar w:fldCharType="separate"/>
          </w:r>
          <w:r w:rsidRPr="00CC7767">
            <w:rPr>
              <w:noProof/>
              <w:lang w:val="es-EC"/>
            </w:rPr>
            <w:t xml:space="preserve"> (Rosas Lanas, 2025)</w:t>
          </w:r>
          <w:r w:rsidRPr="00CC7767">
            <w:fldChar w:fldCharType="end"/>
          </w:r>
        </w:sdtContent>
      </w:sdt>
      <w:r w:rsidRPr="00CC7767">
        <w:t>. Precisamente actividad</w:t>
      </w:r>
      <w:r>
        <w:t>es i</w:t>
      </w:r>
      <w:r w:rsidRPr="00CC7767">
        <w:t>l</w:t>
      </w:r>
      <w:r>
        <w:t>í</w:t>
      </w:r>
      <w:r w:rsidRPr="00CC7767">
        <w:t xml:space="preserve">citas o actos que contravengan al ordenamiento jurídico han colocado a los sistemas de cumplimiento como un aliado en la lucha contra la corrupción en el sector privado, esto debido a la responsabilidad penal que puede recaer sobre las personas jurídicas. </w:t>
      </w:r>
    </w:p>
    <w:p w14:paraId="03B362E8" w14:textId="0BFBEC4C" w:rsidR="00F1108D" w:rsidRPr="00CC7767" w:rsidRDefault="00F1108D" w:rsidP="00F1108D">
      <w:r w:rsidRPr="00CC7767">
        <w:t xml:space="preserve">Por mucho tiempo se relacionó al </w:t>
      </w:r>
      <w:proofErr w:type="spellStart"/>
      <w:r w:rsidRPr="00CC7767">
        <w:t>compliance</w:t>
      </w:r>
      <w:proofErr w:type="spellEnd"/>
      <w:r w:rsidRPr="00CC7767">
        <w:t xml:space="preserve"> como una herramienta que únicamente p</w:t>
      </w:r>
      <w:r w:rsidR="00770717">
        <w:t>odía</w:t>
      </w:r>
      <w:r w:rsidRPr="00CC7767">
        <w:t xml:space="preserve"> contribuir a la prevención de riesgos en el ámbito penal económico y empresarial, incluso abordando los conflictos que se generen por el manejo financiero o tributario que puedan acarrear responsabilidad. Sin embargo, estos no son los únicos nudos en donde las empresas necesitan tomar medidas, todo lo concerniente al manejo patronal puede unirse a uno de los estamentos en donde los sistemas de cumplimiento entren en acción como una acción de mejora.</w:t>
      </w:r>
    </w:p>
    <w:p w14:paraId="13E60A6B" w14:textId="77777777" w:rsidR="00F1108D" w:rsidRPr="00CC7767" w:rsidRDefault="00F1108D" w:rsidP="00F1108D">
      <w:r w:rsidRPr="00CC7767">
        <w:t xml:space="preserve">El </w:t>
      </w:r>
      <w:proofErr w:type="spellStart"/>
      <w:r w:rsidRPr="00CC7767">
        <w:t>compliance</w:t>
      </w:r>
      <w:proofErr w:type="spellEnd"/>
      <w:r w:rsidRPr="00CC7767">
        <w:t xml:space="preserve"> es una figura que proviene del derecho anglosajón y hacía referencia al cumplimiento, la obediencia y el respeto de la ley; traduciéndose en la “organización de las empresas para el desarrollo de la </w:t>
      </w:r>
      <w:r w:rsidRPr="00CC7767">
        <w:lastRenderedPageBreak/>
        <w:t xml:space="preserve">actividad empresarial conforme a derecho” </w:t>
      </w:r>
      <w:sdt>
        <w:sdtPr>
          <w:id w:val="1730500420"/>
          <w:citation/>
        </w:sdtPr>
        <w:sdtEndPr/>
        <w:sdtContent>
          <w:r w:rsidRPr="00CC7767">
            <w:fldChar w:fldCharType="begin"/>
          </w:r>
          <w:r w:rsidRPr="00CC7767">
            <w:rPr>
              <w:lang w:val="es-EC"/>
            </w:rPr>
            <w:instrText xml:space="preserve"> CITATION Acc17 \l 12298 </w:instrText>
          </w:r>
          <w:r w:rsidRPr="00CC7767">
            <w:fldChar w:fldCharType="separate"/>
          </w:r>
          <w:r w:rsidRPr="00CC7767">
            <w:rPr>
              <w:noProof/>
              <w:lang w:val="es-EC"/>
            </w:rPr>
            <w:t>(Accifonte, 2017)</w:t>
          </w:r>
          <w:r w:rsidRPr="00CC7767">
            <w:fldChar w:fldCharType="end"/>
          </w:r>
        </w:sdtContent>
      </w:sdt>
      <w:r w:rsidRPr="00CC7767">
        <w:t>. La aplicación de buenas prácticas, de cumplimiento de la normativa y la aplicación de políticas internas tienen por objetivo evitar riesgos y generar confianza y seguridad, la transparencia es otro de los beneficios que trae consigo esta figura puesto que para todos quienes intervienen en procesos productivos, visibilizan que es una organización fiable.</w:t>
      </w:r>
    </w:p>
    <w:p w14:paraId="235E2EE9" w14:textId="67571941" w:rsidR="00F1108D" w:rsidRPr="00CC7767" w:rsidRDefault="00F1108D" w:rsidP="00F1108D">
      <w:r w:rsidRPr="00CC7767">
        <w:t xml:space="preserve">Los programas relacionados al </w:t>
      </w:r>
      <w:proofErr w:type="spellStart"/>
      <w:r w:rsidRPr="00CC7767">
        <w:t>compliance</w:t>
      </w:r>
      <w:proofErr w:type="spellEnd"/>
      <w:r w:rsidRPr="00CC7767">
        <w:t xml:space="preserve"> se encuentran concebidos como “el conjunto de políticas y estrategias previstas por cada empresa para prevenir, detectar y evitar prácticas de corrupción dentro de su estructura”</w:t>
      </w:r>
      <w:sdt>
        <w:sdtPr>
          <w:id w:val="-1498651461"/>
          <w:citation/>
        </w:sdtPr>
        <w:sdtEndPr/>
        <w:sdtContent>
          <w:r w:rsidRPr="00CC7767">
            <w:fldChar w:fldCharType="begin"/>
          </w:r>
          <w:r w:rsidRPr="00CC7767">
            <w:rPr>
              <w:lang w:val="es-EC"/>
            </w:rPr>
            <w:instrText xml:space="preserve"> CITATION Cor05 \l 12298 </w:instrText>
          </w:r>
          <w:r w:rsidRPr="00CC7767">
            <w:fldChar w:fldCharType="separate"/>
          </w:r>
          <w:r w:rsidRPr="00CC7767">
            <w:rPr>
              <w:noProof/>
              <w:lang w:val="es-EC"/>
            </w:rPr>
            <w:t xml:space="preserve"> (Corporate Compliance, 2005)</w:t>
          </w:r>
          <w:r w:rsidRPr="00CC7767">
            <w:fldChar w:fldCharType="end"/>
          </w:r>
        </w:sdtContent>
      </w:sdt>
      <w:r w:rsidRPr="00CC7767">
        <w:t>.</w:t>
      </w:r>
      <w:r w:rsidR="00770717">
        <w:t xml:space="preserve"> E</w:t>
      </w:r>
      <w:r w:rsidRPr="00CC7767">
        <w:t>sto impide que exista corrupción o actividades de enriquecimiento injustificado, así como cualquier tipo de delito relacionado al entorno empresarial.</w:t>
      </w:r>
      <w:sdt>
        <w:sdtPr>
          <w:id w:val="149423569"/>
          <w:citation/>
        </w:sdtPr>
        <w:sdtEndPr/>
        <w:sdtContent>
          <w:r w:rsidRPr="00CC7767">
            <w:fldChar w:fldCharType="begin"/>
          </w:r>
          <w:r w:rsidRPr="00CC7767">
            <w:rPr>
              <w:lang w:val="es-EC"/>
            </w:rPr>
            <w:instrText xml:space="preserve"> CITATION Nuñ16 \l 12298 </w:instrText>
          </w:r>
          <w:r w:rsidRPr="00CC7767">
            <w:fldChar w:fldCharType="separate"/>
          </w:r>
          <w:r w:rsidRPr="00CC7767">
            <w:rPr>
              <w:noProof/>
              <w:lang w:val="es-EC"/>
            </w:rPr>
            <w:t xml:space="preserve"> (Nuñez &amp; Alberdi, 2016)</w:t>
          </w:r>
          <w:r w:rsidRPr="00CC7767">
            <w:fldChar w:fldCharType="end"/>
          </w:r>
        </w:sdtContent>
      </w:sdt>
      <w:r w:rsidRPr="00CC7767">
        <w:t xml:space="preserve">. </w:t>
      </w:r>
    </w:p>
    <w:p w14:paraId="6F3A7097" w14:textId="77777777" w:rsidR="00F1108D" w:rsidRPr="00CC7767" w:rsidRDefault="00F1108D" w:rsidP="00F1108D">
      <w:r w:rsidRPr="00CC7767">
        <w:t xml:space="preserve">Tal ha sido la aceptación del </w:t>
      </w:r>
      <w:proofErr w:type="spellStart"/>
      <w:r w:rsidRPr="00CC7767">
        <w:t>compliance</w:t>
      </w:r>
      <w:proofErr w:type="spellEnd"/>
      <w:r w:rsidRPr="00CC7767">
        <w:t xml:space="preserve"> que actualmente se encuentran no solamente desarrollando prácticas anticorrupción, sino que se van empleando frente a prevención de monopolios o actividades que restrinjan o falseen el mercado, actividades que promuevan el respeto a la confidencialidad y a la protección de datos, el lavado de dinero y la responsabilidad empresarial a través de códigos de ética y conducta que marcan la vida diaria de las empresas.</w:t>
      </w:r>
      <w:sdt>
        <w:sdtPr>
          <w:id w:val="-1928806179"/>
          <w:citation/>
        </w:sdtPr>
        <w:sdtEndPr/>
        <w:sdtContent>
          <w:r w:rsidRPr="00CC7767">
            <w:fldChar w:fldCharType="begin"/>
          </w:r>
          <w:r w:rsidRPr="00CC7767">
            <w:rPr>
              <w:lang w:val="es-EC"/>
            </w:rPr>
            <w:instrText xml:space="preserve"> CITATION Ros25 \l 12298 </w:instrText>
          </w:r>
          <w:r w:rsidRPr="00CC7767">
            <w:fldChar w:fldCharType="separate"/>
          </w:r>
          <w:r w:rsidRPr="00CC7767">
            <w:rPr>
              <w:noProof/>
              <w:lang w:val="es-EC"/>
            </w:rPr>
            <w:t xml:space="preserve"> (Rosas Lanas, 2025)</w:t>
          </w:r>
          <w:r w:rsidRPr="00CC7767">
            <w:fldChar w:fldCharType="end"/>
          </w:r>
        </w:sdtContent>
      </w:sdt>
    </w:p>
    <w:p w14:paraId="2FFE49CB" w14:textId="78E7C139" w:rsidR="00F1108D" w:rsidRPr="00CC7767" w:rsidRDefault="00F1108D" w:rsidP="00F1108D">
      <w:r w:rsidRPr="00CC7767">
        <w:t xml:space="preserve">España por citar un ejemplo ha emitido un estándar técnico bajo la norma UNE 19604 bajo el sistema de gestión de </w:t>
      </w:r>
      <w:proofErr w:type="spellStart"/>
      <w:r w:rsidRPr="00CC7767">
        <w:t>compliance</w:t>
      </w:r>
      <w:proofErr w:type="spellEnd"/>
      <w:r w:rsidRPr="00CC7767">
        <w:t xml:space="preserve"> sociolaboral, en el cual se desarrolla como objetivo principal prevenir, detectar y gestionar riesgos que se encuentren relacionados con el incumplimiento de normativa en el ámbito del trabajo, de esta manera se garantizan entornos laborales éticos, seguros y justos. Dentro de este esquema se aplican de manera directa los presupuestos necesarios para cumplir con un principio del derecho del trabajo fundamental: la igualdad y no discriminación. La protección social y condiciones de trabajo dignas son aspectos ligados directamente con el derecho fundamental al trabajo desde la perspectiva de consolidarlo como un derecho y un deber social.</w:t>
      </w:r>
    </w:p>
    <w:p w14:paraId="4961AAD1" w14:textId="77777777" w:rsidR="00F1108D" w:rsidRPr="00CC7767" w:rsidRDefault="00F1108D" w:rsidP="00F1108D">
      <w:r w:rsidRPr="00CC7767">
        <w:lastRenderedPageBreak/>
        <w:t xml:space="preserve">El </w:t>
      </w:r>
      <w:proofErr w:type="spellStart"/>
      <w:r w:rsidRPr="00CC7767">
        <w:t>compliance</w:t>
      </w:r>
      <w:proofErr w:type="spellEnd"/>
      <w:r w:rsidRPr="00CC7767">
        <w:t xml:space="preserve"> sociolaboral establece requisitos y directrices que permiten “establecer, desarrollar, implementar, evaluar, mantener y mejorar un sistema de gestión”</w:t>
      </w:r>
      <w:sdt>
        <w:sdtPr>
          <w:id w:val="-1324343296"/>
          <w:citation/>
        </w:sdtPr>
        <w:sdtEndPr/>
        <w:sdtContent>
          <w:r w:rsidRPr="00CC7767">
            <w:fldChar w:fldCharType="begin"/>
          </w:r>
          <w:r w:rsidRPr="00CC7767">
            <w:rPr>
              <w:lang w:val="es-EC"/>
            </w:rPr>
            <w:instrText xml:space="preserve">CITATION 19623 \l 12298 </w:instrText>
          </w:r>
          <w:r w:rsidRPr="00CC7767">
            <w:fldChar w:fldCharType="separate"/>
          </w:r>
          <w:r w:rsidRPr="00CC7767">
            <w:rPr>
              <w:noProof/>
              <w:lang w:val="es-EC"/>
            </w:rPr>
            <w:t xml:space="preserve"> (UNE19604, 2023)</w:t>
          </w:r>
          <w:r w:rsidRPr="00CC7767">
            <w:fldChar w:fldCharType="end"/>
          </w:r>
        </w:sdtContent>
      </w:sdt>
      <w:r w:rsidRPr="00CC7767">
        <w:t>. Su concordancia con el sistema normativo ecuatoriano está ligado a su armaje con relación a:</w:t>
      </w:r>
    </w:p>
    <w:p w14:paraId="36988A8F" w14:textId="38B324B2" w:rsidR="00F1108D" w:rsidRPr="00CC7767" w:rsidRDefault="00F1108D" w:rsidP="00F1108D">
      <w:pPr>
        <w:rPr>
          <w:lang w:val="es-EC"/>
        </w:rPr>
      </w:pPr>
      <w:r w:rsidRPr="00CC7767">
        <w:t xml:space="preserve">Ejercicio de derechos laborales, entre los cuales destaca la igualdad y no discriminación. </w:t>
      </w:r>
      <w:r w:rsidRPr="00CC7767">
        <w:rPr>
          <w:lang w:val="es-EC"/>
        </w:rPr>
        <w:t>Políticas internas dirigidas a promover el acceso al empleo, a modalidades contractuales justas, beneficios laborales y mejoras continuas.</w:t>
      </w:r>
      <w:r w:rsidR="00770717">
        <w:rPr>
          <w:lang w:val="es-EC"/>
        </w:rPr>
        <w:t xml:space="preserve"> </w:t>
      </w:r>
      <w:r w:rsidRPr="00CC7767">
        <w:rPr>
          <w:lang w:val="es-EC"/>
        </w:rPr>
        <w:t>Ejecución de procesos de sistemas de previsión dirigidos a la capacitación e implementación de canales de denuncia que permitan ratificar la protección frente a riesgos psicosociales en el entorno laboral.</w:t>
      </w:r>
    </w:p>
    <w:p w14:paraId="150858B5" w14:textId="74CB9676" w:rsidR="00F1108D" w:rsidRPr="00CC7767" w:rsidRDefault="00770717" w:rsidP="00F1108D">
      <w:pPr>
        <w:rPr>
          <w:lang w:val="es-EC"/>
        </w:rPr>
      </w:pPr>
      <w:r>
        <w:rPr>
          <w:lang w:val="es-EC"/>
        </w:rPr>
        <w:t xml:space="preserve">De manera ampliada, podríamos verlo como </w:t>
      </w:r>
      <w:r w:rsidR="00F1108D" w:rsidRPr="00CC7767">
        <w:rPr>
          <w:lang w:val="es-EC"/>
        </w:rPr>
        <w:t>un elemento probatorio frente a la responsabilidad patronal bajo el esquema de la debida diligencia,</w:t>
      </w:r>
      <w:r>
        <w:rPr>
          <w:lang w:val="es-EC"/>
        </w:rPr>
        <w:t xml:space="preserve"> situación que</w:t>
      </w:r>
      <w:r w:rsidR="00F1108D" w:rsidRPr="00CC7767">
        <w:rPr>
          <w:lang w:val="es-EC"/>
        </w:rPr>
        <w:t xml:space="preserve"> propicia no solamente la minimización de costos sino evitar daños a la reputación de las empresas.</w:t>
      </w:r>
    </w:p>
    <w:p w14:paraId="7C3FD98A" w14:textId="77777777" w:rsidR="00F1108D" w:rsidRPr="00CC7767" w:rsidRDefault="00F1108D" w:rsidP="00F1108D">
      <w:pPr>
        <w:rPr>
          <w:lang w:val="es-EC"/>
        </w:rPr>
      </w:pPr>
      <w:r w:rsidRPr="00CC7767">
        <w:rPr>
          <w:lang w:val="es-EC"/>
        </w:rPr>
        <w:t xml:space="preserve">Gracias al </w:t>
      </w:r>
      <w:proofErr w:type="spellStart"/>
      <w:r w:rsidRPr="00CC7767">
        <w:rPr>
          <w:lang w:val="es-EC"/>
        </w:rPr>
        <w:t>compliance</w:t>
      </w:r>
      <w:proofErr w:type="spellEnd"/>
      <w:r w:rsidRPr="00CC7767">
        <w:rPr>
          <w:lang w:val="es-EC"/>
        </w:rPr>
        <w:t xml:space="preserve"> corporativo enfocado en el ámbito laboral se consolida como una cultura que refuerza la buena fe de empleadores, la intangibilidad de derechos laborales, la progresividad y sobre todo relaciones de trabajo en donde se apliquen de manera efectiva la aplicabilidad de directrices dirigidos a precautelar entornos empresariales en donde la dignidad y bienestar física y emocional del trabajador prevalezca. La adopción de procesos, códigos de conducta, canales de denuncia y desarrollo de protocolos de prevención y erradicación son solo algunos de los beneficios que de manera superficial podemos resaltar cuando hablamos de nuevos mecanismos de aplicación en las relaciones patronales.</w:t>
      </w:r>
    </w:p>
    <w:p w14:paraId="740C7DA7" w14:textId="45BFE6AC" w:rsidR="00CE0F4B" w:rsidRDefault="002A43CD" w:rsidP="002A43CD">
      <w:pPr>
        <w:pStyle w:val="Ttulo1"/>
      </w:pPr>
      <w:r w:rsidRPr="002A43CD">
        <w:t>5.</w:t>
      </w:r>
      <w:r>
        <w:t xml:space="preserve"> </w:t>
      </w:r>
      <w:r w:rsidR="00CE0F4B">
        <w:t>discusión</w:t>
      </w:r>
    </w:p>
    <w:p w14:paraId="5B6EE658" w14:textId="77777777" w:rsidR="00F1108D" w:rsidRPr="00CC7767" w:rsidRDefault="00F1108D" w:rsidP="00F1108D">
      <w:r w:rsidRPr="00CC7767">
        <w:t xml:space="preserve">De la revisión de la normativa, los instrumentos internacionales y la doctrina, se puede evidenciar que el ordenamiento jurídico ecuatoriano cuenta con una base constitucional sólida para la protección de la dignidad, de la integridad y de la salud física y mental de los trabajadores; lo prescrito en el marco jurídico incluye la prevención de cualquier tipo </w:t>
      </w:r>
      <w:r w:rsidRPr="00CC7767">
        <w:lastRenderedPageBreak/>
        <w:t>de riesgo que pueda alterar la convivencia pacífica en los entornos laborales.</w:t>
      </w:r>
    </w:p>
    <w:p w14:paraId="4887A4FF" w14:textId="77777777" w:rsidR="00F1108D" w:rsidRPr="00CC7767" w:rsidRDefault="00F1108D" w:rsidP="00F1108D">
      <w:r w:rsidRPr="00CC7767">
        <w:t xml:space="preserve">En tal virtud, el enfoque aplicado no solamente es de tipo sancionador sino preventivo. La debida diligencia con la que empleadores deben actuar no queda únicamente en aplicar la buena fe sobre la cual deben cimentarse las relaciones de trabajo, sino en promover prácticas organizacionales estructuradas </w:t>
      </w:r>
      <w:proofErr w:type="gramStart"/>
      <w:r w:rsidRPr="00CC7767">
        <w:t>en razón de</w:t>
      </w:r>
      <w:proofErr w:type="gramEnd"/>
      <w:r w:rsidRPr="00CC7767">
        <w:t xml:space="preserve"> establecer mecanismos de acción que beneficien a la relación capital-recurso humano.</w:t>
      </w:r>
    </w:p>
    <w:p w14:paraId="16D19B1D" w14:textId="77777777" w:rsidR="00F1108D" w:rsidRPr="00CC7767" w:rsidRDefault="00F1108D" w:rsidP="00F1108D">
      <w:r w:rsidRPr="00CC7767">
        <w:t xml:space="preserve">Si bien el </w:t>
      </w:r>
      <w:proofErr w:type="spellStart"/>
      <w:r w:rsidRPr="00CC7767">
        <w:t>compliance</w:t>
      </w:r>
      <w:proofErr w:type="spellEnd"/>
      <w:r w:rsidRPr="00CC7767">
        <w:t xml:space="preserve"> o sistemas de cumplimiento no se encuentran normados no debe verse como un limitante o como una exclusión tácita de aplicación, sino como una oportunidad de aplicar buenas prácticas ejecutadas a nivel internacional y que traen consigo la posibilidad de empezar a seguir esas buenas prácticas en el país; precisamente porque los riesgos psicosociales y el acoso laboral, se presentan como atentados directos a evitar que se cumpla con el mandato de promover el trabajo digno y la realización personal de los trabajadores.</w:t>
      </w:r>
    </w:p>
    <w:p w14:paraId="02385E29" w14:textId="77777777" w:rsidR="00F1108D" w:rsidRPr="00CC7767" w:rsidRDefault="00F1108D" w:rsidP="00F1108D">
      <w:r w:rsidRPr="00CC7767">
        <w:t xml:space="preserve">Es importante resaltar que la falta de protocolos específicos, políticas públicas desactualizadas o lineamientos normativos vetustos, no solo implican una amenaza, sino que coartan la progresividad con la que debe pensarse en el derecho del trabajo. Establecer puertas adentros directrices claras sobre </w:t>
      </w:r>
      <w:proofErr w:type="spellStart"/>
      <w:r w:rsidRPr="00CC7767">
        <w:t>como</w:t>
      </w:r>
      <w:proofErr w:type="spellEnd"/>
      <w:r w:rsidRPr="00CC7767">
        <w:t xml:space="preserve"> prevenir y actuar frente a riesgos psicosociales permitirá la detección temprana de estas conductas, evitando dejar en un estado de vulnerabilidad al trabajador y a su vez permitir a empleadores que las actividades de producción traigan consigo un beneficio compartido.</w:t>
      </w:r>
    </w:p>
    <w:p w14:paraId="47810E54" w14:textId="77777777" w:rsidR="00F1108D" w:rsidRPr="00CC7767" w:rsidRDefault="00F1108D" w:rsidP="00F1108D">
      <w:r w:rsidRPr="00CC7767">
        <w:t xml:space="preserve">La UNE 19604 por citar un ejemplo pone en evidencia la necesidad de avanzar hacia modelos más estructurados de cumplimiento, destacando la importancia de la gestión de riesgos, la formación continua en prevención y una activa participación de todos quienes componen los espacios de trabajo. La adopción del </w:t>
      </w:r>
      <w:proofErr w:type="spellStart"/>
      <w:r w:rsidRPr="00CC7767">
        <w:t>compliance</w:t>
      </w:r>
      <w:proofErr w:type="spellEnd"/>
      <w:r w:rsidRPr="00CC7767">
        <w:t xml:space="preserve"> corporativo o laboral nos ponen en perspectiva la posibilidad de eliminar las brechas existentes entre el escenario utópico que muchas veces nos presenta la normativa, frente a la aplicación práctica. </w:t>
      </w:r>
    </w:p>
    <w:p w14:paraId="568F694A" w14:textId="337BD443" w:rsidR="004307D4" w:rsidRDefault="00721EBE" w:rsidP="00721EBE">
      <w:pPr>
        <w:pStyle w:val="Ttulo1"/>
      </w:pPr>
      <w:r w:rsidRPr="00721EBE">
        <w:rPr>
          <w:caps w:val="0"/>
        </w:rPr>
        <w:lastRenderedPageBreak/>
        <w:t>6.</w:t>
      </w:r>
      <w:r>
        <w:t xml:space="preserve"> </w:t>
      </w:r>
      <w:r w:rsidR="004307D4">
        <w:t xml:space="preserve">conclusiones </w:t>
      </w:r>
    </w:p>
    <w:p w14:paraId="5302B4AA" w14:textId="77777777" w:rsidR="00F1108D" w:rsidRPr="00CC7767" w:rsidRDefault="00F1108D" w:rsidP="00F1108D">
      <w:r w:rsidRPr="00CC7767">
        <w:t xml:space="preserve">La presente investigación nos permite reconfirmar que desde la Constitución así como el ordenamiento jurídico en materia laboral, establece una base sólida para la protección de la dignidad, la salud y la integridad de los trabajadores; en consecuencia, no solo la normativa y las políticas públicas deben trabajar de manera conjunta en le prevención de riesgos que alteren la protección que se consolida, sino que nos permiten girar la mirada a herramientas que puedan aplicarse dentro de los espacios de trabajo, quizás el mejor ejemplo sea el </w:t>
      </w:r>
      <w:proofErr w:type="spellStart"/>
      <w:r w:rsidRPr="00CC7767">
        <w:t>compliance</w:t>
      </w:r>
      <w:proofErr w:type="spellEnd"/>
      <w:r w:rsidRPr="00CC7767">
        <w:t xml:space="preserve"> en el ámbito corporativo-laboral.</w:t>
      </w:r>
    </w:p>
    <w:p w14:paraId="29D9D259" w14:textId="77777777" w:rsidR="00F1108D" w:rsidRPr="00CC7767" w:rsidRDefault="00F1108D" w:rsidP="00F1108D">
      <w:r w:rsidRPr="00CC7767">
        <w:t>Si bien el marco normativo contiene directrices para la debida protección de trabajadores nos limita a cumplir con obligaciones y resguardar derechos, a realizar reglamentos internos de trabajo o a cumplir con los lineamientos que la autoridad laboral disponga, sin embargo, los sistemas de cumplimiento aún son desconocidos en la sociedad jurídica ecuatoriana o erradamente no comprendemos cual puede ser su vinculación y beneficio para la relación empleador-trabajador.</w:t>
      </w:r>
    </w:p>
    <w:p w14:paraId="24676C16" w14:textId="75035EA1" w:rsidR="00F1108D" w:rsidRPr="00CC7767" w:rsidRDefault="00F1108D" w:rsidP="00F1108D">
      <w:r w:rsidRPr="00CC7767">
        <w:t xml:space="preserve">Precisamente porque los riesgos psicosociales o el acoso laboral representan dos problemas persistentes que no solo requieren el establecimiento de sanciones, sino una respuesta preventiva más sólida por parte de las empresas. Probablemente la falta de políticas internas, de protocolos claros y canales de denuncia que sí funcionen, incrementan la vulnerabilidad del capital humano y debilita desde la misma empresa la capacidad de respuesta o quedándonos a lo </w:t>
      </w:r>
      <w:r w:rsidR="00623C1D" w:rsidRPr="00CC7767">
        <w:t>dispuesto</w:t>
      </w:r>
      <w:r w:rsidRPr="00CC7767">
        <w:t xml:space="preserve"> por la autoridad ministerial para buscar reparar los daños, </w:t>
      </w:r>
      <w:r w:rsidR="00623C1D" w:rsidRPr="00CC7767">
        <w:t>aun</w:t>
      </w:r>
      <w:r w:rsidRPr="00CC7767">
        <w:t xml:space="preserve"> cuando esto pueda significar más perjuicio para el trabajador y para la empresa.</w:t>
      </w:r>
    </w:p>
    <w:p w14:paraId="2EAA53F9" w14:textId="77777777" w:rsidR="00F1108D" w:rsidRPr="00CC7767" w:rsidRDefault="00F1108D" w:rsidP="00F1108D">
      <w:r w:rsidRPr="00CC7767">
        <w:t xml:space="preserve">Esta investigación pretendió generar una comparación entre los estándares internacionales y evidenciar la necesidad que tenemos de implementar modelos más estructurados de cumplimiento y prevención. El </w:t>
      </w:r>
      <w:proofErr w:type="spellStart"/>
      <w:r w:rsidRPr="00CC7767">
        <w:t>compliance</w:t>
      </w:r>
      <w:proofErr w:type="spellEnd"/>
      <w:r w:rsidRPr="00CC7767">
        <w:t xml:space="preserve"> corporativo en el ámbito laboral nos permite la adopción de buenas prácticas, tal como la gestión de riesgos, la capacitación continua y la participación de todos quienes componen el aparataje empresarial; con miras a romper las brechas entre los actores de la relación laboral.</w:t>
      </w:r>
    </w:p>
    <w:p w14:paraId="576431FA" w14:textId="77777777" w:rsidR="00F1108D" w:rsidRDefault="00F1108D" w:rsidP="00F1108D">
      <w:r w:rsidRPr="00CC7767">
        <w:lastRenderedPageBreak/>
        <w:t xml:space="preserve">Fortalecer y promocionar la implementación del </w:t>
      </w:r>
      <w:proofErr w:type="spellStart"/>
      <w:r w:rsidRPr="00CC7767">
        <w:t>compliance</w:t>
      </w:r>
      <w:proofErr w:type="spellEnd"/>
      <w:r w:rsidRPr="00CC7767">
        <w:t xml:space="preserve"> laboral no solo responde a seguir con una tendencia internacional, sino analizar los beneficios que trae consigo seguir ejemplos que están dando resultados que beneficien a toda la sociedad, garantizando la efectiva aplicación de derechos laborales. Promover reformas normativas y fomentar una cultura empresarial que tenga como cimiento la prevención, la ética y el respeto al trabajador es el objetivo de cumplimiento más importante.</w:t>
      </w:r>
    </w:p>
    <w:p w14:paraId="703B2935" w14:textId="021AFC3D" w:rsidR="004307D4" w:rsidRPr="008B6A98" w:rsidRDefault="00721EBE" w:rsidP="00721EBE">
      <w:pPr>
        <w:pStyle w:val="Ttulo1"/>
      </w:pPr>
      <w:r w:rsidRPr="008B6A98">
        <w:rPr>
          <w:caps w:val="0"/>
        </w:rPr>
        <w:t>8.</w:t>
      </w:r>
      <w:r w:rsidRPr="008B6A98">
        <w:t xml:space="preserve"> </w:t>
      </w:r>
      <w:r w:rsidR="002F3733" w:rsidRPr="008B6A98">
        <w:t>Referencias</w:t>
      </w:r>
      <w:r w:rsidR="005417EB">
        <w:t xml:space="preserve"> </w:t>
      </w:r>
    </w:p>
    <w:sdt>
      <w:sdtPr>
        <w:id w:val="-573587230"/>
        <w:bibliography/>
      </w:sdtPr>
      <w:sdtEndPr/>
      <w:sdtContent>
        <w:p w14:paraId="42A06BDB" w14:textId="77777777" w:rsidR="00F1108D" w:rsidRDefault="00F1108D" w:rsidP="00F1108D">
          <w:pPr>
            <w:rPr>
              <w:noProof/>
            </w:rPr>
          </w:pPr>
          <w:r>
            <w:rPr>
              <w:rFonts w:eastAsia="Calibri" w:cs="Arial"/>
              <w:spacing w:val="0"/>
              <w:sz w:val="20"/>
              <w14:numSpacing w14:val="proportional"/>
            </w:rPr>
            <w:fldChar w:fldCharType="begin"/>
          </w:r>
          <w:r>
            <w:instrText>BIBLIOGRAPHY</w:instrText>
          </w:r>
          <w:r>
            <w:rPr>
              <w:rFonts w:eastAsia="Calibri" w:cs="Arial"/>
              <w:spacing w:val="0"/>
              <w:sz w:val="20"/>
              <w14:numSpacing w14:val="proportional"/>
            </w:rPr>
            <w:fldChar w:fldCharType="separate"/>
          </w:r>
          <w:r>
            <w:rPr>
              <w:noProof/>
            </w:rPr>
            <w:t xml:space="preserve">Accifonte, L. (2017). </w:t>
          </w:r>
          <w:r>
            <w:rPr>
              <w:i/>
              <w:iCs/>
              <w:noProof/>
            </w:rPr>
            <w:t>Compliance en América Latina</w:t>
          </w:r>
          <w:r>
            <w:rPr>
              <w:noProof/>
            </w:rPr>
            <w:t>. Obtenido de Programa de Contaduría Pública. Revista Aula Contable.: https://es.scribd.com/document/750962954/Compliance-en-America-Latina</w:t>
          </w:r>
        </w:p>
        <w:p w14:paraId="1F567678" w14:textId="77777777" w:rsidR="00F1108D" w:rsidRPr="00B35DD1" w:rsidRDefault="00F1108D" w:rsidP="00F1108D">
          <w:pPr>
            <w:rPr>
              <w:sz w:val="20"/>
              <w:szCs w:val="20"/>
            </w:rPr>
          </w:pPr>
          <w:r w:rsidRPr="00B35DD1">
            <w:rPr>
              <w:sz w:val="20"/>
              <w:szCs w:val="20"/>
            </w:rPr>
            <w:t>Código de Trabajo. (2023). Corporación de Estudios y Publicaciones.</w:t>
          </w:r>
        </w:p>
        <w:p w14:paraId="530B9F20" w14:textId="77777777" w:rsidR="00F1108D" w:rsidRPr="00A56794" w:rsidRDefault="00F1108D" w:rsidP="00F1108D">
          <w:pPr>
            <w:rPr>
              <w:sz w:val="20"/>
              <w:szCs w:val="20"/>
              <w:lang w:val="en-US"/>
            </w:rPr>
          </w:pPr>
          <w:r w:rsidRPr="00B35DD1">
            <w:rPr>
              <w:sz w:val="20"/>
              <w:szCs w:val="20"/>
            </w:rPr>
            <w:t xml:space="preserve">Constitución de la República del Ecuador. </w:t>
          </w:r>
          <w:r w:rsidRPr="00A56794">
            <w:rPr>
              <w:sz w:val="20"/>
              <w:szCs w:val="20"/>
              <w:lang w:val="en-US"/>
            </w:rPr>
            <w:t>(2008).</w:t>
          </w:r>
        </w:p>
        <w:p w14:paraId="7FE47E0A" w14:textId="77777777" w:rsidR="00F1108D" w:rsidRPr="000C40BF" w:rsidRDefault="00F1108D" w:rsidP="00F1108D">
          <w:pPr>
            <w:rPr>
              <w:noProof/>
              <w:lang w:val="en-US"/>
            </w:rPr>
          </w:pPr>
          <w:r w:rsidRPr="00B14AF3">
            <w:rPr>
              <w:noProof/>
              <w:lang w:val="en-US"/>
            </w:rPr>
            <w:t xml:space="preserve">Corporate Compliance. </w:t>
          </w:r>
          <w:r w:rsidRPr="000C40BF">
            <w:rPr>
              <w:noProof/>
              <w:lang w:val="en-US"/>
            </w:rPr>
            <w:t xml:space="preserve">(2005). ABA Section of Bus. </w:t>
          </w:r>
          <w:r w:rsidRPr="000C40BF">
            <w:rPr>
              <w:i/>
              <w:iCs/>
              <w:noProof/>
              <w:lang w:val="en-US"/>
            </w:rPr>
            <w:t>Law, Corporate Compliance Survey</w:t>
          </w:r>
          <w:r w:rsidRPr="000C40BF">
            <w:rPr>
              <w:noProof/>
              <w:lang w:val="en-US"/>
            </w:rPr>
            <w:t>.</w:t>
          </w:r>
        </w:p>
        <w:p w14:paraId="7BC449A7" w14:textId="77777777" w:rsidR="00F1108D" w:rsidRDefault="00F1108D" w:rsidP="00F1108D">
          <w:pPr>
            <w:rPr>
              <w:noProof/>
            </w:rPr>
          </w:pPr>
          <w:r w:rsidRPr="00B14AF3">
            <w:rPr>
              <w:noProof/>
              <w:lang w:val="en-US"/>
            </w:rPr>
            <w:t xml:space="preserve">Grisolia, J. (2013). </w:t>
          </w:r>
          <w:r>
            <w:rPr>
              <w:i/>
              <w:iCs/>
              <w:noProof/>
            </w:rPr>
            <w:t>Tratado de derecho del trabajo y de la seguridad social.</w:t>
          </w:r>
          <w:r>
            <w:rPr>
              <w:noProof/>
            </w:rPr>
            <w:t xml:space="preserve"> Buenos Aires: Abeledo Perrot.</w:t>
          </w:r>
        </w:p>
        <w:p w14:paraId="344A8DF8" w14:textId="77777777" w:rsidR="00F1108D" w:rsidRDefault="00F1108D" w:rsidP="00F1108D">
          <w:pPr>
            <w:rPr>
              <w:noProof/>
            </w:rPr>
          </w:pPr>
          <w:r>
            <w:rPr>
              <w:noProof/>
            </w:rPr>
            <w:t>Hermida, J., &amp; Quintana , L. (2019). La hermenéutica como método de interpretación de textos en la investigación psicoanalítica. Canadá. Obtenido de https://dialnet.unirioja.es/servlet/articulo?codigo=7217578</w:t>
          </w:r>
        </w:p>
        <w:p w14:paraId="2B353824" w14:textId="77777777" w:rsidR="00F1108D" w:rsidRDefault="00F1108D" w:rsidP="00F1108D">
          <w:pPr>
            <w:rPr>
              <w:noProof/>
            </w:rPr>
          </w:pPr>
          <w:r>
            <w:rPr>
              <w:noProof/>
            </w:rPr>
            <w:t xml:space="preserve">Hernández, R., Fernández, C., &amp; Baptista, P. (2014). </w:t>
          </w:r>
          <w:r>
            <w:rPr>
              <w:i/>
              <w:iCs/>
              <w:noProof/>
            </w:rPr>
            <w:t>Metodología de la investigación.</w:t>
          </w:r>
          <w:r>
            <w:rPr>
              <w:noProof/>
            </w:rPr>
            <w:t xml:space="preserve"> McGraw Hill España. Obtenido de dialnet.uniroja.es/servlet/libro</w:t>
          </w:r>
        </w:p>
        <w:p w14:paraId="33B776C6" w14:textId="77777777" w:rsidR="00F1108D" w:rsidRPr="00B35DD1" w:rsidRDefault="00F1108D" w:rsidP="00F1108D">
          <w:pPr>
            <w:rPr>
              <w:sz w:val="20"/>
              <w:szCs w:val="20"/>
            </w:rPr>
          </w:pPr>
          <w:r w:rsidRPr="00B35DD1">
            <w:rPr>
              <w:sz w:val="20"/>
              <w:szCs w:val="20"/>
            </w:rPr>
            <w:t>Ley Orgánica Reformatoria a la LOSEP y al Código de Trabajo. (2017). LEY ORGÁNICA REFORMATORIA A LA LEY ORGÁNICA DEL SERVICIO</w:t>
          </w:r>
        </w:p>
        <w:p w14:paraId="20545E87" w14:textId="77777777" w:rsidR="00F1108D" w:rsidRDefault="00F1108D" w:rsidP="00F1108D">
          <w:pPr>
            <w:rPr>
              <w:noProof/>
            </w:rPr>
          </w:pPr>
          <w:r>
            <w:rPr>
              <w:noProof/>
            </w:rPr>
            <w:t xml:space="preserve">Monesterolo, G. (2020). </w:t>
          </w:r>
          <w:r>
            <w:rPr>
              <w:i/>
              <w:iCs/>
              <w:noProof/>
            </w:rPr>
            <w:t>Sistema regulatorio de empleados privados y obreros.</w:t>
          </w:r>
          <w:r>
            <w:rPr>
              <w:noProof/>
            </w:rPr>
            <w:t xml:space="preserve"> Quito: Corporación de estudios y publicaciones.</w:t>
          </w:r>
        </w:p>
        <w:p w14:paraId="5FBB174A" w14:textId="77777777" w:rsidR="00F1108D" w:rsidRDefault="00F1108D" w:rsidP="00F1108D">
          <w:pPr>
            <w:rPr>
              <w:noProof/>
            </w:rPr>
          </w:pPr>
          <w:r>
            <w:rPr>
              <w:noProof/>
            </w:rPr>
            <w:t xml:space="preserve">Nuñez, E. V., &amp; Alberdi, B. S. (2016). </w:t>
          </w:r>
          <w:r>
            <w:rPr>
              <w:i/>
              <w:iCs/>
              <w:noProof/>
            </w:rPr>
            <w:t>Aranzadi.</w:t>
          </w:r>
          <w:r>
            <w:rPr>
              <w:noProof/>
            </w:rPr>
            <w:t xml:space="preserve"> Obtenido de https://dialnet.unirioja.es/servlet/libro?codigo=763578</w:t>
          </w:r>
        </w:p>
        <w:p w14:paraId="27795F34" w14:textId="77777777" w:rsidR="00F1108D" w:rsidRDefault="00F1108D" w:rsidP="00F1108D">
          <w:pPr>
            <w:rPr>
              <w:noProof/>
            </w:rPr>
          </w:pPr>
          <w:r>
            <w:rPr>
              <w:noProof/>
            </w:rPr>
            <w:lastRenderedPageBreak/>
            <w:t xml:space="preserve">Obando, J. M. (2019). </w:t>
          </w:r>
          <w:r>
            <w:rPr>
              <w:i/>
              <w:iCs/>
              <w:noProof/>
            </w:rPr>
            <w:t>Derecho Laboral.</w:t>
          </w:r>
          <w:r>
            <w:rPr>
              <w:noProof/>
            </w:rPr>
            <w:t xml:space="preserve"> Bogotá: Temis.</w:t>
          </w:r>
        </w:p>
        <w:p w14:paraId="76462840" w14:textId="77777777" w:rsidR="00F1108D" w:rsidRDefault="00F1108D" w:rsidP="00F1108D">
          <w:pPr>
            <w:rPr>
              <w:noProof/>
            </w:rPr>
          </w:pPr>
          <w:r>
            <w:rPr>
              <w:noProof/>
            </w:rPr>
            <w:t xml:space="preserve">Plá Rodríguez, A. (2012). </w:t>
          </w:r>
          <w:r>
            <w:rPr>
              <w:i/>
              <w:iCs/>
              <w:noProof/>
            </w:rPr>
            <w:t>Los principios del derecho del trabajo.</w:t>
          </w:r>
          <w:r>
            <w:rPr>
              <w:noProof/>
            </w:rPr>
            <w:t xml:space="preserve"> Buenos Aires: Depalma.</w:t>
          </w:r>
        </w:p>
        <w:p w14:paraId="7C8321B2" w14:textId="77777777" w:rsidR="00F1108D" w:rsidRDefault="00F1108D" w:rsidP="00F1108D">
          <w:pPr>
            <w:rPr>
              <w:noProof/>
            </w:rPr>
          </w:pPr>
          <w:r>
            <w:rPr>
              <w:noProof/>
            </w:rPr>
            <w:t xml:space="preserve">Rosas Lanas, G. (2025). </w:t>
          </w:r>
          <w:r>
            <w:rPr>
              <w:i/>
              <w:iCs/>
              <w:noProof/>
            </w:rPr>
            <w:t>ASCE MAGAZINE</w:t>
          </w:r>
          <w:r>
            <w:rPr>
              <w:noProof/>
            </w:rPr>
            <w:t>. Obtenido de https://magazineasce.com/index.php/1/article/view/515/457</w:t>
          </w:r>
        </w:p>
        <w:p w14:paraId="4DB0B302" w14:textId="77777777" w:rsidR="00F1108D" w:rsidRDefault="00F1108D" w:rsidP="00F1108D">
          <w:pPr>
            <w:rPr>
              <w:noProof/>
            </w:rPr>
          </w:pPr>
          <w:r>
            <w:rPr>
              <w:noProof/>
            </w:rPr>
            <w:t xml:space="preserve">Soto, M. J. (2013). </w:t>
          </w:r>
          <w:r>
            <w:rPr>
              <w:i/>
              <w:iCs/>
              <w:noProof/>
            </w:rPr>
            <w:t>El método en la investigación jurídica</w:t>
          </w:r>
          <w:r>
            <w:rPr>
              <w:noProof/>
            </w:rPr>
            <w:t>. Obtenido de Revista jurídica derecho y cambio social: https://www.derechoycambiosocial.com/revisa032/investigacion_juridica.pdf</w:t>
          </w:r>
        </w:p>
        <w:p w14:paraId="0ED02B9F" w14:textId="77777777" w:rsidR="00F1108D" w:rsidRDefault="00F1108D" w:rsidP="00F1108D">
          <w:pPr>
            <w:rPr>
              <w:noProof/>
            </w:rPr>
          </w:pPr>
          <w:r>
            <w:rPr>
              <w:noProof/>
            </w:rPr>
            <w:t>Trabajo, O. I. (1999).</w:t>
          </w:r>
        </w:p>
        <w:p w14:paraId="632628B5" w14:textId="77777777" w:rsidR="00F1108D" w:rsidRDefault="00F1108D" w:rsidP="00F1108D">
          <w:pPr>
            <w:rPr>
              <w:noProof/>
            </w:rPr>
          </w:pPr>
          <w:r>
            <w:rPr>
              <w:noProof/>
            </w:rPr>
            <w:t>UNE19604. (2023). Sistemas de gestión de compliance sociolaboral. Obtenido de file:///C:/Users/anguadalupeov/Downloads/(EX)UNE_19604=2023.pdf</w:t>
          </w:r>
        </w:p>
        <w:p w14:paraId="49F49F90" w14:textId="77777777" w:rsidR="00F1108D" w:rsidRDefault="00F1108D" w:rsidP="00F1108D">
          <w:pPr>
            <w:rPr>
              <w:noProof/>
            </w:rPr>
          </w:pPr>
          <w:r>
            <w:rPr>
              <w:noProof/>
            </w:rPr>
            <w:t xml:space="preserve">Vázquez Calle, J. L. (2022). </w:t>
          </w:r>
          <w:r>
            <w:rPr>
              <w:i/>
              <w:iCs/>
              <w:noProof/>
            </w:rPr>
            <w:t>El acoso laboral en el Estado Constitucional.</w:t>
          </w:r>
          <w:r>
            <w:rPr>
              <w:noProof/>
            </w:rPr>
            <w:t xml:space="preserve"> Quito: Corporación de estudios y publicaciones.</w:t>
          </w:r>
        </w:p>
        <w:p w14:paraId="1CED1DA4" w14:textId="69399A99" w:rsidR="00CE0F4B" w:rsidRPr="00CE0F4B" w:rsidRDefault="00F1108D" w:rsidP="008B6A98">
          <w:r>
            <w:rPr>
              <w:b/>
              <w:bCs/>
            </w:rPr>
            <w:fldChar w:fldCharType="end"/>
          </w:r>
        </w:p>
      </w:sdtContent>
    </w:sdt>
    <w:sectPr w:rsidR="00CE0F4B" w:rsidRPr="00CE0F4B"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FB32D" w14:textId="77777777" w:rsidR="00854B92" w:rsidRDefault="00854B92" w:rsidP="00EB0247">
      <w:pPr>
        <w:spacing w:after="0" w:line="240" w:lineRule="auto"/>
      </w:pPr>
      <w:r>
        <w:separator/>
      </w:r>
    </w:p>
  </w:endnote>
  <w:endnote w:type="continuationSeparator" w:id="0">
    <w:p w14:paraId="2C87A1F5" w14:textId="77777777" w:rsidR="00854B92" w:rsidRDefault="00854B92"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58152" w14:textId="77777777" w:rsidR="00854B92" w:rsidRDefault="00854B92" w:rsidP="00EB0247">
      <w:pPr>
        <w:spacing w:after="0" w:line="240" w:lineRule="auto"/>
      </w:pPr>
      <w:r>
        <w:separator/>
      </w:r>
    </w:p>
  </w:footnote>
  <w:footnote w:type="continuationSeparator" w:id="0">
    <w:p w14:paraId="03ACF363" w14:textId="77777777" w:rsidR="00854B92" w:rsidRDefault="00854B92"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A545D3C"/>
    <w:multiLevelType w:val="hybridMultilevel"/>
    <w:tmpl w:val="CF1ACD0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5" w15:restartNumberingAfterBreak="0">
    <w:nsid w:val="16FD0A54"/>
    <w:multiLevelType w:val="hybridMultilevel"/>
    <w:tmpl w:val="B6902E8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DFB5259"/>
    <w:multiLevelType w:val="multilevel"/>
    <w:tmpl w:val="ACF0E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F62321D"/>
    <w:multiLevelType w:val="hybridMultilevel"/>
    <w:tmpl w:val="920698A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799638477">
    <w:abstractNumId w:val="8"/>
  </w:num>
  <w:num w:numId="2" w16cid:durableId="395319536">
    <w:abstractNumId w:val="3"/>
  </w:num>
  <w:num w:numId="3" w16cid:durableId="226497015">
    <w:abstractNumId w:val="2"/>
  </w:num>
  <w:num w:numId="4" w16cid:durableId="279184504">
    <w:abstractNumId w:val="1"/>
  </w:num>
  <w:num w:numId="5" w16cid:durableId="277836754">
    <w:abstractNumId w:val="0"/>
  </w:num>
  <w:num w:numId="6" w16cid:durableId="1332679414">
    <w:abstractNumId w:val="9"/>
  </w:num>
  <w:num w:numId="7" w16cid:durableId="1467506544">
    <w:abstractNumId w:val="7"/>
  </w:num>
  <w:num w:numId="8" w16cid:durableId="1328558624">
    <w:abstractNumId w:val="6"/>
  </w:num>
  <w:num w:numId="9" w16cid:durableId="1735927699">
    <w:abstractNumId w:val="5"/>
  </w:num>
  <w:num w:numId="10" w16cid:durableId="1507162849">
    <w:abstractNumId w:val="4"/>
  </w:num>
  <w:num w:numId="11" w16cid:durableId="1048410323">
    <w:abstractNumId w:val="11"/>
  </w:num>
  <w:num w:numId="12" w16cid:durableId="1258055564">
    <w:abstractNumId w:val="14"/>
  </w:num>
  <w:num w:numId="13" w16cid:durableId="660811121">
    <w:abstractNumId w:val="18"/>
  </w:num>
  <w:num w:numId="14" w16cid:durableId="1210143500">
    <w:abstractNumId w:val="19"/>
  </w:num>
  <w:num w:numId="15" w16cid:durableId="318115096">
    <w:abstractNumId w:val="20"/>
  </w:num>
  <w:num w:numId="16" w16cid:durableId="1825004959">
    <w:abstractNumId w:val="31"/>
  </w:num>
  <w:num w:numId="17" w16cid:durableId="2006781074">
    <w:abstractNumId w:val="27"/>
  </w:num>
  <w:num w:numId="18" w16cid:durableId="367535750">
    <w:abstractNumId w:val="10"/>
  </w:num>
  <w:num w:numId="19" w16cid:durableId="1815218795">
    <w:abstractNumId w:val="26"/>
  </w:num>
  <w:num w:numId="20" w16cid:durableId="1407610298">
    <w:abstractNumId w:val="32"/>
  </w:num>
  <w:num w:numId="21" w16cid:durableId="1389261098">
    <w:abstractNumId w:val="33"/>
  </w:num>
  <w:num w:numId="22" w16cid:durableId="2057120259">
    <w:abstractNumId w:val="23"/>
  </w:num>
  <w:num w:numId="23" w16cid:durableId="2094281302">
    <w:abstractNumId w:val="33"/>
    <w:lvlOverride w:ilvl="0">
      <w:startOverride w:val="1"/>
    </w:lvlOverride>
  </w:num>
  <w:num w:numId="24" w16cid:durableId="1101535958">
    <w:abstractNumId w:val="33"/>
    <w:lvlOverride w:ilvl="0">
      <w:startOverride w:val="1"/>
    </w:lvlOverride>
  </w:num>
  <w:num w:numId="25" w16cid:durableId="1325545862">
    <w:abstractNumId w:val="13"/>
  </w:num>
  <w:num w:numId="26" w16cid:durableId="577521618">
    <w:abstractNumId w:val="34"/>
  </w:num>
  <w:num w:numId="27" w16cid:durableId="2020505449">
    <w:abstractNumId w:val="21"/>
  </w:num>
  <w:num w:numId="28" w16cid:durableId="1669907">
    <w:abstractNumId w:val="22"/>
  </w:num>
  <w:num w:numId="29" w16cid:durableId="1025332096">
    <w:abstractNumId w:val="24"/>
  </w:num>
  <w:num w:numId="30" w16cid:durableId="1328703471">
    <w:abstractNumId w:val="17"/>
  </w:num>
  <w:num w:numId="31" w16cid:durableId="801968312">
    <w:abstractNumId w:val="25"/>
  </w:num>
  <w:num w:numId="32" w16cid:durableId="638923685">
    <w:abstractNumId w:val="16"/>
  </w:num>
  <w:num w:numId="33" w16cid:durableId="185219344">
    <w:abstractNumId w:val="28"/>
  </w:num>
  <w:num w:numId="34" w16cid:durableId="501512660">
    <w:abstractNumId w:val="30"/>
  </w:num>
  <w:num w:numId="35" w16cid:durableId="1453018132">
    <w:abstractNumId w:val="36"/>
  </w:num>
  <w:num w:numId="36" w16cid:durableId="1414818766">
    <w:abstractNumId w:val="33"/>
    <w:lvlOverride w:ilvl="0">
      <w:startOverride w:val="1"/>
    </w:lvlOverride>
  </w:num>
  <w:num w:numId="37" w16cid:durableId="532958873">
    <w:abstractNumId w:val="33"/>
    <w:lvlOverride w:ilvl="0">
      <w:startOverride w:val="1"/>
    </w:lvlOverride>
  </w:num>
  <w:num w:numId="38" w16cid:durableId="1155561952">
    <w:abstractNumId w:val="33"/>
    <w:lvlOverride w:ilvl="0">
      <w:startOverride w:val="1"/>
    </w:lvlOverride>
  </w:num>
  <w:num w:numId="39" w16cid:durableId="342585045">
    <w:abstractNumId w:val="36"/>
    <w:lvlOverride w:ilvl="0">
      <w:startOverride w:val="1"/>
    </w:lvlOverride>
  </w:num>
  <w:num w:numId="40" w16cid:durableId="346520185">
    <w:abstractNumId w:val="36"/>
    <w:lvlOverride w:ilvl="0">
      <w:startOverride w:val="1"/>
    </w:lvlOverride>
  </w:num>
  <w:num w:numId="41" w16cid:durableId="1703744177">
    <w:abstractNumId w:val="33"/>
    <w:lvlOverride w:ilvl="0">
      <w:startOverride w:val="1"/>
    </w:lvlOverride>
  </w:num>
  <w:num w:numId="42" w16cid:durableId="457184035">
    <w:abstractNumId w:val="36"/>
    <w:lvlOverride w:ilvl="0">
      <w:startOverride w:val="1"/>
    </w:lvlOverride>
  </w:num>
  <w:num w:numId="43" w16cid:durableId="518083198">
    <w:abstractNumId w:val="33"/>
    <w:lvlOverride w:ilvl="0">
      <w:startOverride w:val="1"/>
    </w:lvlOverride>
  </w:num>
  <w:num w:numId="44" w16cid:durableId="150829909">
    <w:abstractNumId w:val="36"/>
    <w:lvlOverride w:ilvl="0">
      <w:startOverride w:val="1"/>
    </w:lvlOverride>
  </w:num>
  <w:num w:numId="45" w16cid:durableId="538859331">
    <w:abstractNumId w:val="35"/>
  </w:num>
  <w:num w:numId="46" w16cid:durableId="997459291">
    <w:abstractNumId w:val="29"/>
  </w:num>
  <w:num w:numId="47" w16cid:durableId="879393622">
    <w:abstractNumId w:val="12"/>
  </w:num>
  <w:num w:numId="48" w16cid:durableId="17606339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63421"/>
    <w:rsid w:val="000900AA"/>
    <w:rsid w:val="00097EEF"/>
    <w:rsid w:val="000C5EDB"/>
    <w:rsid w:val="001348A0"/>
    <w:rsid w:val="00140844"/>
    <w:rsid w:val="001468AC"/>
    <w:rsid w:val="0015066B"/>
    <w:rsid w:val="00156F2B"/>
    <w:rsid w:val="00161873"/>
    <w:rsid w:val="00182667"/>
    <w:rsid w:val="00185A00"/>
    <w:rsid w:val="0018654D"/>
    <w:rsid w:val="001950D8"/>
    <w:rsid w:val="00197D57"/>
    <w:rsid w:val="001A7AD8"/>
    <w:rsid w:val="001E105C"/>
    <w:rsid w:val="00242EFB"/>
    <w:rsid w:val="002433EC"/>
    <w:rsid w:val="00254F0F"/>
    <w:rsid w:val="00280126"/>
    <w:rsid w:val="00281564"/>
    <w:rsid w:val="00285B53"/>
    <w:rsid w:val="002A43CD"/>
    <w:rsid w:val="002C5703"/>
    <w:rsid w:val="002D23FB"/>
    <w:rsid w:val="002D268C"/>
    <w:rsid w:val="002F3733"/>
    <w:rsid w:val="003512A0"/>
    <w:rsid w:val="00375999"/>
    <w:rsid w:val="0039591A"/>
    <w:rsid w:val="003C098C"/>
    <w:rsid w:val="003C4D9F"/>
    <w:rsid w:val="003E66FB"/>
    <w:rsid w:val="00403AF3"/>
    <w:rsid w:val="00422CDA"/>
    <w:rsid w:val="004307D4"/>
    <w:rsid w:val="00437ED3"/>
    <w:rsid w:val="0044345A"/>
    <w:rsid w:val="00477173"/>
    <w:rsid w:val="004819D7"/>
    <w:rsid w:val="00483FFF"/>
    <w:rsid w:val="004842F0"/>
    <w:rsid w:val="00484413"/>
    <w:rsid w:val="00493A17"/>
    <w:rsid w:val="004C0202"/>
    <w:rsid w:val="004D0180"/>
    <w:rsid w:val="005335DF"/>
    <w:rsid w:val="005417EB"/>
    <w:rsid w:val="005430EA"/>
    <w:rsid w:val="00544A12"/>
    <w:rsid w:val="00584BB4"/>
    <w:rsid w:val="005A43E3"/>
    <w:rsid w:val="005A4AFE"/>
    <w:rsid w:val="005A6174"/>
    <w:rsid w:val="005C4F7C"/>
    <w:rsid w:val="00607EE3"/>
    <w:rsid w:val="006131F7"/>
    <w:rsid w:val="00623C1D"/>
    <w:rsid w:val="00625B19"/>
    <w:rsid w:val="00675757"/>
    <w:rsid w:val="00680332"/>
    <w:rsid w:val="00681364"/>
    <w:rsid w:val="0068745E"/>
    <w:rsid w:val="006B7745"/>
    <w:rsid w:val="00714CBD"/>
    <w:rsid w:val="00717F17"/>
    <w:rsid w:val="00721EBE"/>
    <w:rsid w:val="00742AC5"/>
    <w:rsid w:val="00766272"/>
    <w:rsid w:val="007701F1"/>
    <w:rsid w:val="00770717"/>
    <w:rsid w:val="00792960"/>
    <w:rsid w:val="007A0F17"/>
    <w:rsid w:val="007B463F"/>
    <w:rsid w:val="007E4E94"/>
    <w:rsid w:val="007F0944"/>
    <w:rsid w:val="008238DE"/>
    <w:rsid w:val="00854B92"/>
    <w:rsid w:val="00863A4D"/>
    <w:rsid w:val="008A4085"/>
    <w:rsid w:val="008A4135"/>
    <w:rsid w:val="008A483F"/>
    <w:rsid w:val="008B6A98"/>
    <w:rsid w:val="008C1056"/>
    <w:rsid w:val="008C2B2C"/>
    <w:rsid w:val="008D4DC0"/>
    <w:rsid w:val="008F1330"/>
    <w:rsid w:val="008F3F8E"/>
    <w:rsid w:val="0091337D"/>
    <w:rsid w:val="009171C1"/>
    <w:rsid w:val="00920563"/>
    <w:rsid w:val="0093429F"/>
    <w:rsid w:val="009477E3"/>
    <w:rsid w:val="0095035C"/>
    <w:rsid w:val="00962592"/>
    <w:rsid w:val="009766B6"/>
    <w:rsid w:val="009847F6"/>
    <w:rsid w:val="009A336B"/>
    <w:rsid w:val="009C0DFA"/>
    <w:rsid w:val="009C304F"/>
    <w:rsid w:val="009C657C"/>
    <w:rsid w:val="009D0814"/>
    <w:rsid w:val="009D4514"/>
    <w:rsid w:val="009E664A"/>
    <w:rsid w:val="009F5F74"/>
    <w:rsid w:val="00A02F4B"/>
    <w:rsid w:val="00A206F1"/>
    <w:rsid w:val="00A8553F"/>
    <w:rsid w:val="00B011C1"/>
    <w:rsid w:val="00B0717D"/>
    <w:rsid w:val="00B47559"/>
    <w:rsid w:val="00B54985"/>
    <w:rsid w:val="00B57A4E"/>
    <w:rsid w:val="00B60DF4"/>
    <w:rsid w:val="00BA4EA8"/>
    <w:rsid w:val="00BA4FD5"/>
    <w:rsid w:val="00BB38AC"/>
    <w:rsid w:val="00BB4D83"/>
    <w:rsid w:val="00BD7178"/>
    <w:rsid w:val="00BE3D2B"/>
    <w:rsid w:val="00BE5F2C"/>
    <w:rsid w:val="00BF45D1"/>
    <w:rsid w:val="00BF50C0"/>
    <w:rsid w:val="00C152A0"/>
    <w:rsid w:val="00C21F8C"/>
    <w:rsid w:val="00C302E3"/>
    <w:rsid w:val="00C30BA1"/>
    <w:rsid w:val="00C45F7D"/>
    <w:rsid w:val="00C930F7"/>
    <w:rsid w:val="00CA0400"/>
    <w:rsid w:val="00CC152D"/>
    <w:rsid w:val="00CD0091"/>
    <w:rsid w:val="00CE0F4B"/>
    <w:rsid w:val="00D0381D"/>
    <w:rsid w:val="00D05D1F"/>
    <w:rsid w:val="00D36F76"/>
    <w:rsid w:val="00D47BD3"/>
    <w:rsid w:val="00D5151C"/>
    <w:rsid w:val="00D86CAA"/>
    <w:rsid w:val="00DA0BED"/>
    <w:rsid w:val="00DC3839"/>
    <w:rsid w:val="00DC5E7D"/>
    <w:rsid w:val="00DE0B74"/>
    <w:rsid w:val="00DF1B76"/>
    <w:rsid w:val="00E04357"/>
    <w:rsid w:val="00E05E1A"/>
    <w:rsid w:val="00E06000"/>
    <w:rsid w:val="00E40DEF"/>
    <w:rsid w:val="00E649D6"/>
    <w:rsid w:val="00EB0247"/>
    <w:rsid w:val="00EC01A5"/>
    <w:rsid w:val="00ED53A4"/>
    <w:rsid w:val="00F1108D"/>
    <w:rsid w:val="00F60611"/>
    <w:rsid w:val="00F6387D"/>
    <w:rsid w:val="00F63B01"/>
    <w:rsid w:val="00F66726"/>
    <w:rsid w:val="00FA51E8"/>
    <w:rsid w:val="00FA7CDE"/>
    <w:rsid w:val="00FD7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34"/>
    <w:qFormat/>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customStyle="1" w:styleId="s11">
    <w:name w:val="s11"/>
    <w:basedOn w:val="Normal"/>
    <w:rsid w:val="00F1108D"/>
    <w:pPr>
      <w:spacing w:before="100" w:beforeAutospacing="1" w:after="100" w:afterAutospacing="1" w:line="240" w:lineRule="auto"/>
      <w:jc w:val="left"/>
    </w:pPr>
    <w:rPr>
      <w:rFonts w:eastAsiaTheme="minorEastAsia" w:cs="Times New Roman"/>
      <w:spacing w:val="0"/>
      <w:sz w:val="24"/>
      <w:szCs w:val="24"/>
      <w:lang w:val="es-EC" w:eastAsia="es-ES"/>
      <w14:numForm w14:val="default"/>
    </w:rPr>
  </w:style>
  <w:style w:type="character" w:customStyle="1" w:styleId="s10">
    <w:name w:val="s10"/>
    <w:basedOn w:val="Fuentedeprrafopredeter"/>
    <w:rsid w:val="00F1108D"/>
  </w:style>
  <w:style w:type="character" w:customStyle="1" w:styleId="apple-converted-space">
    <w:name w:val="apple-converted-space"/>
    <w:basedOn w:val="Fuentedeprrafopredeter"/>
    <w:rsid w:val="00F1108D"/>
  </w:style>
  <w:style w:type="paragraph" w:customStyle="1" w:styleId="s22">
    <w:name w:val="s22"/>
    <w:basedOn w:val="Normal"/>
    <w:rsid w:val="00F1108D"/>
    <w:pPr>
      <w:spacing w:before="100" w:beforeAutospacing="1" w:after="100" w:afterAutospacing="1" w:line="240" w:lineRule="auto"/>
      <w:jc w:val="left"/>
    </w:pPr>
    <w:rPr>
      <w:rFonts w:eastAsiaTheme="minorEastAsia" w:cs="Times New Roman"/>
      <w:spacing w:val="0"/>
      <w:sz w:val="24"/>
      <w:szCs w:val="24"/>
      <w:lang w:val="es-EC" w:eastAsia="es-ES"/>
      <w14:numForm w14:val="default"/>
    </w:rPr>
  </w:style>
  <w:style w:type="paragraph" w:styleId="NormalWeb">
    <w:name w:val="Normal (Web)"/>
    <w:basedOn w:val="Normal"/>
    <w:uiPriority w:val="99"/>
    <w:unhideWhenUsed/>
    <w:rsid w:val="00F1108D"/>
    <w:pPr>
      <w:spacing w:before="100" w:beforeAutospacing="1" w:after="100" w:afterAutospacing="1" w:line="240" w:lineRule="auto"/>
      <w:jc w:val="left"/>
    </w:pPr>
    <w:rPr>
      <w:rFonts w:eastAsia="Times New Roman" w:cs="Times New Roman"/>
      <w:spacing w:val="0"/>
      <w:sz w:val="24"/>
      <w:szCs w:val="24"/>
      <w:lang w:val="es-EC" w:eastAsia="es-MX"/>
      <w14:numForm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Sot13</b:Tag>
    <b:SourceType>InternetSite</b:SourceType>
    <b:Guid>{F9AE709B-A35A-41F3-8218-6D94D18A6E0D}</b:Guid>
    <b:Author>
      <b:Author>
        <b:NameList>
          <b:Person>
            <b:Last>Soto</b:Last>
            <b:First>M.</b:First>
            <b:Middle>J.</b:Middle>
          </b:Person>
        </b:NameList>
      </b:Author>
    </b:Author>
    <b:Title>El método en la investigación jurídica</b:Title>
    <b:Year>2013</b:Year>
    <b:InternetSiteTitle>Revista jurídica derecho y cambio social</b:InternetSiteTitle>
    <b:URL>https://www.derechoycambiosocial.com/revisa032/investigacion_juridica.pdf</b:URL>
    <b:RefOrder>1</b:RefOrder>
  </b:Source>
  <b:Source>
    <b:Tag>Her14</b:Tag>
    <b:SourceType>Book</b:SourceType>
    <b:Guid>{3B6DB8C0-EAD1-4038-AAF3-820EBFD7B6B0}</b:Guid>
    <b:Title>Metodología de la investigación</b:Title>
    <b:Year>2014</b:Year>
    <b:Publisher>McGraw Hill España</b:Publisher>
    <b:Author>
      <b:Author>
        <b:NameList>
          <b:Person>
            <b:Last>Hernández</b:Last>
            <b:First>Roberto</b:First>
          </b:Person>
          <b:Person>
            <b:Last>Fernández</b:Last>
            <b:First>Carlos</b:First>
          </b:Person>
          <b:Person>
            <b:Last>Baptista</b:Last>
            <b:First>Pilar</b:First>
          </b:Person>
        </b:NameList>
      </b:Author>
    </b:Author>
    <b:URL>dialnet.uniroja.es/servlet/libro</b:URL>
    <b:RefOrder>2</b:RefOrder>
  </b:Source>
  <b:Source>
    <b:Tag>Her19</b:Tag>
    <b:SourceType>Misc</b:SourceType>
    <b:Guid>{3F023ECC-C0C2-4825-B1D8-A9E95D236312}</b:Guid>
    <b:Title>La hermenéutica como método de interpretación de textos en la investigación psicoanalítica</b:Title>
    <b:Year>2019</b:Year>
    <b:CountryRegion>Canadá</b:CountryRegion>
    <b:Author>
      <b:Author>
        <b:NameList>
          <b:Person>
            <b:Last>Hermida</b:Last>
            <b:First>Julian</b:First>
          </b:Person>
          <b:Person>
            <b:Last>Quintana </b:Last>
            <b:First>Laura</b:First>
          </b:Person>
        </b:NameList>
      </b:Author>
    </b:Author>
    <b:URL>https://dialnet.unirioja.es/servlet/articulo?codigo=7217578</b:URL>
    <b:RefOrder>3</b:RefOrder>
  </b:Source>
  <b:Source>
    <b:Tag>Oba19</b:Tag>
    <b:SourceType>Book</b:SourceType>
    <b:Guid>{1BF7FF39-AAC4-43B0-A31A-62567649F997}</b:Guid>
    <b:Author>
      <b:Author>
        <b:NameList>
          <b:Person>
            <b:Last>Obando</b:Last>
            <b:Middle>María</b:Middle>
            <b:First>José</b:First>
          </b:Person>
        </b:NameList>
      </b:Author>
    </b:Author>
    <b:Title>Derecho Laboral</b:Title>
    <b:Year>2019</b:Year>
    <b:City>Bogotá</b:City>
    <b:Publisher>Temis</b:Publisher>
    <b:RefOrder>4</b:RefOrder>
  </b:Source>
  <b:Source>
    <b:Tag>Gri13</b:Tag>
    <b:SourceType>Book</b:SourceType>
    <b:Guid>{9EA9958F-3611-4365-BE0B-CCBADAF73472}</b:Guid>
    <b:Title>Tratado de derecho del trabajo y de la seguridad social</b:Title>
    <b:Year>2013</b:Year>
    <b:City>Buenos Aires</b:City>
    <b:Publisher>Abeledo Perrot</b:Publisher>
    <b:Author>
      <b:Author>
        <b:NameList>
          <b:Person>
            <b:Last>Grisolia</b:Last>
            <b:First>Julio</b:First>
          </b:Person>
        </b:NameList>
      </b:Author>
    </b:Author>
    <b:RefOrder>5</b:RefOrder>
  </b:Source>
  <b:Source>
    <b:Tag>Plá12</b:Tag>
    <b:SourceType>Book</b:SourceType>
    <b:Guid>{0409661F-C89B-49F5-848F-54D7D16D2A6A}</b:Guid>
    <b:Title>Los principios del derecho del trabajo</b:Title>
    <b:Year>2012</b:Year>
    <b:City>Buenos Aires</b:City>
    <b:Publisher>Depalma</b:Publisher>
    <b:Author>
      <b:Author>
        <b:NameList>
          <b:Person>
            <b:Last>Plá Rodríguez</b:Last>
            <b:First>Américo</b:First>
          </b:Person>
        </b:NameList>
      </b:Author>
    </b:Author>
    <b:RefOrder>6</b:RefOrder>
  </b:Source>
  <b:Source>
    <b:Tag>Váz22</b:Tag>
    <b:SourceType>Book</b:SourceType>
    <b:Guid>{B275825D-ACAD-412C-A27B-1DF29E8E766D}</b:Guid>
    <b:Title>El acoso laboral en el Estado Constitucional</b:Title>
    <b:Year>2022</b:Year>
    <b:City>Quito</b:City>
    <b:Publisher>Corporación de estudios y publicaciones</b:Publisher>
    <b:Author>
      <b:Author>
        <b:NameList>
          <b:Person>
            <b:Last>Vázquez Calle</b:Last>
            <b:Middle>Luis</b:Middle>
            <b:First>José </b:First>
          </b:Person>
        </b:NameList>
      </b:Author>
    </b:Author>
    <b:RefOrder>7</b:RefOrder>
  </b:Source>
  <b:Source>
    <b:Tag>Ros25</b:Tag>
    <b:SourceType>InternetSite</b:SourceType>
    <b:Guid>{8FA1D98E-05D7-4621-BA88-C28A74FC0645}</b:Guid>
    <b:Title>ASCE MAGAZINE</b:Title>
    <b:Year>2025</b:Year>
    <b:URL>https://magazineasce.com/index.php/1/article/view/515/457</b:URL>
    <b:Author>
      <b:Author>
        <b:NameList>
          <b:Person>
            <b:Last>Rosas Lanas</b:Last>
            <b:First>Gabriela</b:First>
          </b:Person>
        </b:NameList>
      </b:Author>
    </b:Author>
    <b:RefOrder>8</b:RefOrder>
  </b:Source>
  <b:Source>
    <b:Tag>Acc17</b:Tag>
    <b:SourceType>InternetSite</b:SourceType>
    <b:Guid>{1E9D0028-ED90-497E-9DAB-34E2C0DCE8A2}</b:Guid>
    <b:Title>Compliance en América Latina</b:Title>
    <b:InternetSiteTitle>Programa de Contaduría Pública. Revista Aula Contable.</b:InternetSiteTitle>
    <b:Year>2017</b:Year>
    <b:URL>https://es.scribd.com/document/750962954/Compliance-en-America-Latina</b:URL>
    <b:Author>
      <b:Author>
        <b:NameList>
          <b:Person>
            <b:Last>Accifonte</b:Last>
            <b:First>L</b:First>
          </b:Person>
        </b:NameList>
      </b:Author>
    </b:Author>
    <b:RefOrder>9</b:RefOrder>
  </b:Source>
  <b:Source>
    <b:Tag>Cor05</b:Tag>
    <b:SourceType>Misc</b:SourceType>
    <b:Guid>{D96A0DA2-12D1-457A-AB46-AF4403FC969B}</b:Guid>
    <b:Title>ABA Section of Bus</b:Title>
    <b:Year>2005</b:Year>
    <b:PublicationTitle>Law, Corporate Compliance Survey</b:PublicationTitle>
    <b:Author>
      <b:Author>
        <b:NameList>
          <b:Person>
            <b:Last>Corporate Compliance</b:Last>
          </b:Person>
        </b:NameList>
      </b:Author>
    </b:Author>
    <b:RefOrder>10</b:RefOrder>
  </b:Source>
  <b:Source>
    <b:Tag>Nuñ16</b:Tag>
    <b:SourceType>DocumentFromInternetSite</b:SourceType>
    <b:Guid>{1C1F49ED-8E53-4C84-870A-D9D049CA2134}</b:Guid>
    <b:Title>Aranzadi</b:Title>
    <b:Year>2016</b:Year>
    <b:URL>https://dialnet.unirioja.es/servlet/libro?codigo=763578</b:URL>
    <b:Author>
      <b:Author>
        <b:NameList>
          <b:Person>
            <b:Last>Nuñez</b:Last>
            <b:First>E.</b:First>
            <b:Middle>V.</b:Middle>
          </b:Person>
          <b:Person>
            <b:Last>Alberdi</b:Last>
            <b:Middle>S.</b:Middle>
            <b:First>B.</b:First>
          </b:Person>
        </b:NameList>
      </b:Author>
    </b:Author>
    <b:ShortTitle>Cuestiones prácticas sobre  responsabilidad penal de  la persona jurídica y" compliance": 86 preguntas y respuestas</b:ShortTitle>
    <b:RefOrder>11</b:RefOrder>
  </b:Source>
  <b:Source>
    <b:Tag>19623</b:Tag>
    <b:SourceType>Misc</b:SourceType>
    <b:Guid>{9269572A-F0FD-4C7D-B911-CD4D12802F2A}</b:Guid>
    <b:Title>Sistemas de gestión de compliance sociolaboral</b:Title>
    <b:Year>2023</b:Year>
    <b:URL>file:///C:/Users/anguadalupeov/Downloads/(EX)UNE_19604=2023.pdf</b:URL>
    <b:Author>
      <b:Author>
        <b:NameList>
          <b:Person>
            <b:Last>UNE19604</b:Last>
          </b:Person>
        </b:NameList>
      </b:Author>
    </b:Author>
    <b:RefOrder>12</b:RefOrder>
  </b:Source>
  <b:Source>
    <b:Tag>Mon20</b:Tag>
    <b:SourceType>Book</b:SourceType>
    <b:Guid>{456FD193-250F-4206-A11E-B6E568C2DAB2}</b:Guid>
    <b:Title>Sistema regulatorio de empleados privados y obreros.</b:Title>
    <b:Year>2020</b:Year>
    <b:City>Quito</b:City>
    <b:Publisher>Corporación de estudios y publicaciones</b:Publisher>
    <b:Author>
      <b:Author>
        <b:NameList>
          <b:Person>
            <b:Last>Monesterolo</b:Last>
            <b:First>Graciela</b:First>
          </b:Person>
        </b:NameList>
      </b:Author>
    </b:Author>
    <b:RefOrder>13</b:RefOrder>
  </b:Source>
  <b:Source>
    <b:Tag>Org99</b:Tag>
    <b:SourceType>Misc</b:SourceType>
    <b:Guid>{7B7E252A-04B4-477E-BA4A-79B2CF286D08}</b:Guid>
    <b:Year>1999</b:Year>
    <b:Author>
      <b:Author>
        <b:NameList>
          <b:Person>
            <b:Last>Trabajo</b:Last>
            <b:First>Organización</b:First>
            <b:Middle>Internacional del</b:Middle>
          </b:Person>
        </b:NameList>
      </b:Author>
    </b:Author>
    <b:RefOrder>14</b:RefOrder>
  </b:Source>
</b:Sources>
</file>

<file path=customXml/itemProps1.xml><?xml version="1.0" encoding="utf-8"?>
<ds:datastoreItem xmlns:ds="http://schemas.openxmlformats.org/officeDocument/2006/customXml" ds:itemID="{3D7AC431-9FCE-4963-B840-DF0E9456A0A9}">
  <ds:schemaRefs>
    <ds:schemaRef ds:uri="http://schemas.openxmlformats.org/officeDocument/2006/bibliography"/>
  </ds:schemaRefs>
</ds:datastoreItem>
</file>

<file path=docMetadata/LabelInfo.xml><?xml version="1.0" encoding="utf-8"?>
<clbl:labelList xmlns:clbl="http://schemas.microsoft.com/office/2020/mipLabelMetadata">
  <clbl:label id="{ef3d80b0-0a3e-4643-84e8-76b7273d97a0}" enabled="0" method="" siteId="{ef3d80b0-0a3e-4643-84e8-76b7273d97a0}" removed="1"/>
</clbl:labelList>
</file>

<file path=docProps/app.xml><?xml version="1.0" encoding="utf-8"?>
<Properties xmlns="http://schemas.openxmlformats.org/officeDocument/2006/extended-properties" xmlns:vt="http://schemas.openxmlformats.org/officeDocument/2006/docPropsVTypes">
  <Template>plantilla3</Template>
  <TotalTime>280</TotalTime>
  <Pages>14</Pages>
  <Words>4240</Words>
  <Characters>23321</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27506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GUADALUPE OVIEDO ANDREA LISETTE</cp:lastModifiedBy>
  <cp:revision>13</cp:revision>
  <dcterms:created xsi:type="dcterms:W3CDTF">2026-08-27T19:52:00Z</dcterms:created>
  <dcterms:modified xsi:type="dcterms:W3CDTF">2026-08-27T20:29:00Z</dcterms:modified>
  <cp:category>Categoria</cp:category>
  <cp:contentStatus>Estado</cp:contentStatus>
</cp:coreProperties>
</file>