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769C2" w14:textId="77777777" w:rsidR="00454593" w:rsidRDefault="00454593">
      <w:pPr>
        <w:rPr>
          <w:rFonts w:cs="Times New Roman"/>
          <w:sz w:val="22"/>
        </w:rPr>
      </w:pPr>
    </w:p>
    <w:p w14:paraId="24D0DC91" w14:textId="77777777" w:rsidR="00454593" w:rsidRDefault="002C5389">
      <w:pPr>
        <w:pStyle w:val="Captulo"/>
      </w:pPr>
      <w:r>
        <w:t>Capítulo XXX</w:t>
      </w:r>
    </w:p>
    <w:p w14:paraId="7BAA7D24" w14:textId="252BCCF2" w:rsidR="00C86DED" w:rsidRPr="00441336" w:rsidRDefault="00E110D1" w:rsidP="002E1535">
      <w:pPr>
        <w:keepNext/>
        <w:keepLines/>
        <w:pBdr>
          <w:bottom w:val="single" w:sz="4" w:space="10" w:color="auto"/>
        </w:pBdr>
        <w:suppressAutoHyphens/>
        <w:spacing w:before="0" w:after="0"/>
        <w:contextualSpacing/>
        <w:jc w:val="center"/>
        <w:outlineLvl w:val="1"/>
        <w:rPr>
          <w:rFonts w:cs="Times New Roman"/>
          <w:b/>
          <w:caps/>
          <w:color w:val="000000"/>
          <w:spacing w:val="-2"/>
          <w:sz w:val="26"/>
          <w:szCs w:val="26"/>
          <w14:ligatures w14:val="all"/>
        </w:rPr>
      </w:pPr>
      <w:r>
        <w:rPr>
          <w:rFonts w:cs="Times New Roman"/>
          <w:b/>
          <w:caps/>
          <w:color w:val="000000"/>
          <w:spacing w:val="-2"/>
          <w:sz w:val="26"/>
          <w:szCs w:val="26"/>
          <w14:ligatures w14:val="all"/>
        </w:rPr>
        <w:t xml:space="preserve">DISEÑO DE UNA PROPUESTA EDUCATIVA  SOBRE AUTOCUIDADO </w:t>
      </w:r>
      <w:r w:rsidR="00C86DED" w:rsidRPr="00441336">
        <w:rPr>
          <w:rFonts w:cs="Times New Roman"/>
          <w:b/>
          <w:caps/>
          <w:color w:val="000000"/>
          <w:spacing w:val="-2"/>
          <w:sz w:val="26"/>
          <w:szCs w:val="26"/>
          <w14:ligatures w14:val="all"/>
        </w:rPr>
        <w:t>para prevenir la sobrecarga laboral en enfermeras de áreas críticas</w:t>
      </w:r>
    </w:p>
    <w:p w14:paraId="568FBF72" w14:textId="77777777" w:rsidR="009B11E5" w:rsidRDefault="009B11E5" w:rsidP="00C86DED">
      <w:pPr>
        <w:keepNext/>
        <w:keepLines/>
        <w:spacing w:before="0" w:after="0" w:line="240" w:lineRule="auto"/>
        <w:jc w:val="right"/>
        <w:outlineLvl w:val="2"/>
        <w:rPr>
          <w:rFonts w:cs="Times New Roman"/>
          <w:smallCaps/>
          <w:color w:val="000000"/>
          <w:sz w:val="20"/>
          <w:szCs w:val="20"/>
          <w14:ligatures w14:val="all"/>
        </w:rPr>
      </w:pPr>
    </w:p>
    <w:p w14:paraId="63B04B82" w14:textId="77777777" w:rsidR="00C86DED" w:rsidRPr="00441336" w:rsidRDefault="00C86DED" w:rsidP="00C86DED">
      <w:pPr>
        <w:keepNext/>
        <w:keepLines/>
        <w:spacing w:before="0" w:after="0" w:line="240" w:lineRule="auto"/>
        <w:jc w:val="right"/>
        <w:outlineLvl w:val="2"/>
        <w:rPr>
          <w:rFonts w:cs="Times New Roman"/>
          <w:smallCaps/>
          <w:color w:val="000000"/>
          <w:sz w:val="20"/>
          <w:szCs w:val="20"/>
          <w14:ligatures w14:val="all"/>
        </w:rPr>
      </w:pPr>
      <w:r w:rsidRPr="00441336">
        <w:rPr>
          <w:rFonts w:cs="Times New Roman"/>
          <w:smallCaps/>
          <w:color w:val="000000"/>
          <w:sz w:val="20"/>
          <w:szCs w:val="20"/>
          <w14:ligatures w14:val="all"/>
        </w:rPr>
        <w:t>Geny Rivera Salazar</w:t>
      </w:r>
    </w:p>
    <w:p w14:paraId="7D4DA4EC" w14:textId="77777777" w:rsidR="00C86DED" w:rsidRPr="00441336" w:rsidRDefault="00C86DED" w:rsidP="00C86DED">
      <w:pPr>
        <w:keepNext/>
        <w:keepLines/>
        <w:spacing w:before="0" w:after="0" w:line="240" w:lineRule="auto"/>
        <w:contextualSpacing/>
        <w:jc w:val="right"/>
        <w:outlineLvl w:val="3"/>
        <w:rPr>
          <w:rFonts w:cs="Times New Roman"/>
          <w:i/>
          <w:iCs/>
          <w:color w:val="000000"/>
          <w:sz w:val="20"/>
          <w:szCs w:val="20"/>
          <w14:ligatures w14:val="all"/>
        </w:rPr>
      </w:pPr>
      <w:r w:rsidRPr="00441336">
        <w:rPr>
          <w:rFonts w:cs="Times New Roman"/>
          <w:i/>
          <w:iCs/>
          <w:color w:val="000000"/>
          <w:sz w:val="20"/>
          <w:szCs w:val="20"/>
          <w14:ligatures w14:val="all"/>
        </w:rPr>
        <w:t>Universidad Católica de Santiago de Guayaquil. Universidad de Ciencias Médicas de La Habana</w:t>
      </w:r>
    </w:p>
    <w:p w14:paraId="26BCE4C0" w14:textId="77777777" w:rsidR="009B11E5" w:rsidRDefault="009B11E5" w:rsidP="00C86DED">
      <w:pPr>
        <w:keepNext/>
        <w:keepLines/>
        <w:spacing w:before="0" w:after="0" w:line="240" w:lineRule="auto"/>
        <w:jc w:val="right"/>
        <w:outlineLvl w:val="2"/>
        <w:rPr>
          <w:rFonts w:cs="Times New Roman"/>
          <w:smallCaps/>
          <w:color w:val="000000"/>
          <w:sz w:val="20"/>
          <w:szCs w:val="20"/>
          <w14:ligatures w14:val="all"/>
        </w:rPr>
      </w:pPr>
    </w:p>
    <w:p w14:paraId="1D670808" w14:textId="0E0E3020" w:rsidR="00454593" w:rsidRPr="003847BF" w:rsidRDefault="00454593" w:rsidP="003847BF">
      <w:pPr>
        <w:pStyle w:val="Adscripcin"/>
        <w:jc w:val="left"/>
        <w:rPr>
          <w:rFonts w:cs="Times New Roman"/>
          <w:sz w:val="24"/>
          <w:szCs w:val="24"/>
        </w:rPr>
      </w:pPr>
    </w:p>
    <w:p w14:paraId="14ABD07C" w14:textId="77777777" w:rsidR="003847BF" w:rsidRPr="003847BF" w:rsidRDefault="003847BF" w:rsidP="003847BF">
      <w:pPr>
        <w:keepNext/>
        <w:keepLines/>
        <w:widowControl w:val="0"/>
        <w:suppressAutoHyphens/>
        <w:spacing w:before="0" w:after="0" w:line="360" w:lineRule="auto"/>
        <w:jc w:val="left"/>
        <w:outlineLvl w:val="0"/>
        <w:rPr>
          <w:rFonts w:cs="Times New Roman"/>
          <w:caps/>
          <w:sz w:val="24"/>
          <w:szCs w:val="24"/>
          <w:shd w:val="clear" w:color="auto" w:fill="FFFFFF"/>
          <w14:numForm w14:val="lining"/>
        </w:rPr>
      </w:pPr>
      <w:r w:rsidRPr="003847BF">
        <w:rPr>
          <w:rFonts w:cs="Times New Roman"/>
          <w:caps/>
          <w:sz w:val="24"/>
          <w:szCs w:val="24"/>
          <w:shd w:val="clear" w:color="auto" w:fill="FFFFFF"/>
          <w14:numForm w14:val="lining"/>
        </w:rPr>
        <w:t>1. Introducción</w:t>
      </w:r>
    </w:p>
    <w:p w14:paraId="1E69D3A8" w14:textId="77777777" w:rsidR="003847BF" w:rsidRPr="003847BF" w:rsidRDefault="003847BF" w:rsidP="002159DD">
      <w:pPr>
        <w:spacing w:before="0" w:after="0"/>
        <w:rPr>
          <w:rFonts w:cs="Times New Roman"/>
          <w:szCs w:val="23"/>
        </w:rPr>
      </w:pPr>
      <w:r w:rsidRPr="003847BF">
        <w:rPr>
          <w:rFonts w:cs="Times New Roman"/>
          <w:szCs w:val="23"/>
        </w:rPr>
        <w:t>La sobrecarga laboral en enfermería de áreas críticas constituye un problema de salud ocupacional, clínico y organizacional. En la Unidad de Cuidados Intensivos (UCI), el cuidado se desarrolla bajo vigilancia continua, toma de decisiones rápidas, alta complejidad tecnológica, exposición frecuente al sufrimiento y exigencias emocionales sostenidas. Estas condiciones incrementan la posibilidad de fatiga, estrés crónico, despersonalización y disminución del desempeño profesional, dimensiones asociadas al síndrome de burnout y a resultados adversos en la seguridad de la persona enferma (</w:t>
      </w:r>
      <w:proofErr w:type="spellStart"/>
      <w:r w:rsidRPr="003847BF">
        <w:rPr>
          <w:rFonts w:cs="Times New Roman"/>
          <w:szCs w:val="23"/>
        </w:rPr>
        <w:t>Dall'Ora</w:t>
      </w:r>
      <w:proofErr w:type="spellEnd"/>
      <w:r w:rsidRPr="003847BF">
        <w:rPr>
          <w:rFonts w:cs="Times New Roman"/>
          <w:szCs w:val="23"/>
        </w:rPr>
        <w:t xml:space="preserve"> et al., 2020; </w:t>
      </w:r>
      <w:proofErr w:type="spellStart"/>
      <w:r w:rsidRPr="003847BF">
        <w:rPr>
          <w:rFonts w:cs="Times New Roman"/>
          <w:szCs w:val="23"/>
        </w:rPr>
        <w:t>Edú-Valsania</w:t>
      </w:r>
      <w:proofErr w:type="spellEnd"/>
      <w:r w:rsidRPr="003847BF">
        <w:rPr>
          <w:rFonts w:cs="Times New Roman"/>
          <w:szCs w:val="23"/>
        </w:rPr>
        <w:t xml:space="preserve"> et al., 2022).</w:t>
      </w:r>
    </w:p>
    <w:p w14:paraId="5CE986C2" w14:textId="77777777" w:rsidR="003847BF" w:rsidRPr="003847BF" w:rsidRDefault="003847BF" w:rsidP="002159DD">
      <w:pPr>
        <w:spacing w:before="0" w:after="0"/>
        <w:rPr>
          <w:rFonts w:cs="Times New Roman"/>
          <w:szCs w:val="23"/>
        </w:rPr>
      </w:pPr>
      <w:r w:rsidRPr="003847BF">
        <w:rPr>
          <w:rFonts w:cs="Times New Roman"/>
          <w:szCs w:val="23"/>
        </w:rPr>
        <w:t>La literatura reciente muestra que el burnout en enfermería no depende solo de características individuales, sino de la interacción entre demandas laborales, disponibilidad de recursos, cultura de apoyo, liderazgo, reconocimiento y oportunidades de recuperación. En áreas críticas, la presión asistencial aumenta por la gravedad de los pacientes, la simultaneidad de procedimientos, la necesidad de monitorización permanente y la exigencia de registrar intervenciones complejas en tiempos reducidos. Por ello, la prevención no puede limitarse a recomendaciones generales de autocuidado; requiere estrategias educativas contextualizadas y vinculadas con la gestión institucional de la carga de trabajo (Cohen et al., 2023; Galanis et al., 2021).</w:t>
      </w:r>
    </w:p>
    <w:p w14:paraId="05E39932" w14:textId="77777777" w:rsidR="003847BF" w:rsidRPr="003847BF" w:rsidRDefault="003847BF" w:rsidP="002159DD">
      <w:pPr>
        <w:spacing w:before="0" w:after="0"/>
        <w:rPr>
          <w:rFonts w:cs="Times New Roman"/>
          <w:szCs w:val="23"/>
        </w:rPr>
      </w:pPr>
      <w:r w:rsidRPr="003847BF">
        <w:rPr>
          <w:rFonts w:cs="Times New Roman"/>
          <w:szCs w:val="23"/>
        </w:rPr>
        <w:lastRenderedPageBreak/>
        <w:t xml:space="preserve">La carga laboral de enfermería en UCI puede medirse con instrumentos específicos. El </w:t>
      </w:r>
      <w:proofErr w:type="spellStart"/>
      <w:r w:rsidRPr="003847BF">
        <w:rPr>
          <w:rFonts w:cs="Times New Roman"/>
          <w:szCs w:val="23"/>
        </w:rPr>
        <w:t>Nursing</w:t>
      </w:r>
      <w:proofErr w:type="spellEnd"/>
      <w:r w:rsidRPr="003847BF">
        <w:rPr>
          <w:rFonts w:cs="Times New Roman"/>
          <w:szCs w:val="23"/>
        </w:rPr>
        <w:t xml:space="preserve"> </w:t>
      </w:r>
      <w:proofErr w:type="spellStart"/>
      <w:r w:rsidRPr="003847BF">
        <w:rPr>
          <w:rFonts w:cs="Times New Roman"/>
          <w:szCs w:val="23"/>
        </w:rPr>
        <w:t>Activities</w:t>
      </w:r>
      <w:proofErr w:type="spellEnd"/>
      <w:r w:rsidRPr="003847BF">
        <w:rPr>
          <w:rFonts w:cs="Times New Roman"/>
          <w:szCs w:val="23"/>
        </w:rPr>
        <w:t xml:space="preserve"> Score (NAS) es una herramienta ampliamente utilizada para estimar el tiempo de trabajo requerido por las actividades de enfermería en cuidados intensivos y permite objetivar la relación entre demanda asistencial y disponibilidad de personal (Miranda et al., 2003). Su uso contribuye a identificar turnos o perfiles de atención que exigen mayor dotación, además de orientar decisiones de planificación y prevención. Sin embargo, en diversos contextos latinoamericanos persisten limitaciones en la incorporación rutinaria de indicadores objetivos de carga y en el desarrollo de programas formativos sostenidos sobre prevención de la sobrecarga laboral (Henao-Castaño et al., 2</w:t>
      </w:r>
      <w:r>
        <w:rPr>
          <w:rFonts w:cs="Times New Roman"/>
          <w:szCs w:val="23"/>
        </w:rPr>
        <w:t>023; Ramírez-Elvira et al., 2021</w:t>
      </w:r>
      <w:r w:rsidRPr="003847BF">
        <w:rPr>
          <w:rFonts w:cs="Times New Roman"/>
          <w:szCs w:val="23"/>
        </w:rPr>
        <w:t>).</w:t>
      </w:r>
    </w:p>
    <w:p w14:paraId="0778C90B" w14:textId="77777777" w:rsidR="003847BF" w:rsidRPr="003847BF" w:rsidRDefault="003847BF" w:rsidP="002159DD">
      <w:pPr>
        <w:spacing w:before="0" w:after="0"/>
        <w:rPr>
          <w:rFonts w:cs="Times New Roman"/>
          <w:szCs w:val="23"/>
        </w:rPr>
      </w:pPr>
      <w:r w:rsidRPr="003847BF">
        <w:rPr>
          <w:rFonts w:cs="Times New Roman"/>
          <w:szCs w:val="23"/>
        </w:rPr>
        <w:t>En Ecuador, la problemática adquiere especial relevancia por la coexistencia de servicios de alta complejidad, demanda creciente de cuidados críticos y necesidad de fortalecer el bienestar del talento humano en salud. La formación continua suele priorizar competencias técnico-asistenciales, mientras que la prevención de la sobrecarga, la autorregulación emocional, la comunicación efectiva y la gestión del autocuidado aparecen con menor presencia en los planes institucionales. Esta brecha evidencia la necesidad de diseñar intervenciones educativas que integren conocimientos, habilidades y actitudes, sin desplazar la responsabilidad organizacional hacia el trabajador de forma aislada.</w:t>
      </w:r>
    </w:p>
    <w:p w14:paraId="3FC54F1D" w14:textId="77777777" w:rsidR="003847BF" w:rsidRPr="003847BF" w:rsidRDefault="003847BF" w:rsidP="002159DD">
      <w:pPr>
        <w:spacing w:before="0" w:after="0"/>
        <w:rPr>
          <w:rFonts w:cs="Times New Roman"/>
          <w:szCs w:val="23"/>
        </w:rPr>
      </w:pPr>
      <w:r w:rsidRPr="003847BF">
        <w:rPr>
          <w:rFonts w:cs="Times New Roman"/>
          <w:szCs w:val="23"/>
        </w:rPr>
        <w:t>La Teoría del Déficit de Autocuidado de Dorothea Orem ofrece un referente útil para estructurar acciones formativas dirigidas a profesionales de enfermería. Desde esta perspectiva, el autocuidado no se entiende como una práctica espontánea o secundaria, sino como una capacidad aprendida que debe desarrollarse mediante apoyo educativo, identificación de requisitos de cuidado y fortalecimiento de la agencia personal y colectiva (Hartweg y Metcalfe, 2022; Orem, 2001). Aplicada al entorno laboral, esta teoría permite orientar al profesional para reconocer riesgos, activar recursos personales, solicitar ayuda, participar en procesos de mejora y sostener prácticas de recuperación física y emocional.</w:t>
      </w:r>
    </w:p>
    <w:p w14:paraId="0F78D425" w14:textId="77777777" w:rsidR="003847BF" w:rsidRPr="003847BF" w:rsidRDefault="003847BF" w:rsidP="002159DD">
      <w:pPr>
        <w:spacing w:before="0" w:after="0"/>
        <w:rPr>
          <w:rFonts w:cs="Times New Roman"/>
          <w:szCs w:val="23"/>
        </w:rPr>
      </w:pPr>
      <w:r w:rsidRPr="003847BF">
        <w:rPr>
          <w:rFonts w:cs="Times New Roman"/>
          <w:szCs w:val="23"/>
        </w:rPr>
        <w:t xml:space="preserve">A partir de estas consideraciones, el presente capítulo expone el diagnóstico de necesidades y el diseño validado de una estrategia </w:t>
      </w:r>
      <w:r w:rsidRPr="003847BF">
        <w:rPr>
          <w:rFonts w:cs="Times New Roman"/>
          <w:szCs w:val="23"/>
        </w:rPr>
        <w:lastRenderedPageBreak/>
        <w:t>educativa para prevenir la sobrecarga laboral en profesionales de enfermería de áreas críticas de la UCI del Hospital General del Norte de Guayaquil Los Ceibos. El aporte central consiste en integrar evidencia cualitativa, cuantitativa y documental para sustentar una propuesta formativa pertinente, metodológicamente trazable y ajustada a las condiciones reales del servicio.</w:t>
      </w:r>
    </w:p>
    <w:p w14:paraId="296F434B" w14:textId="77777777" w:rsidR="00454593" w:rsidRDefault="002C5389">
      <w:pPr>
        <w:pStyle w:val="Ttulo1"/>
      </w:pPr>
      <w:r>
        <w:t>2. Objetivos</w:t>
      </w:r>
    </w:p>
    <w:p w14:paraId="2C756266" w14:textId="77777777" w:rsidR="003847BF" w:rsidRPr="003847BF" w:rsidRDefault="003847BF" w:rsidP="002159DD">
      <w:pPr>
        <w:spacing w:before="0" w:after="0"/>
        <w:rPr>
          <w:rFonts w:cs="Times New Roman"/>
          <w:szCs w:val="23"/>
        </w:rPr>
      </w:pPr>
      <w:r w:rsidRPr="003847BF">
        <w:rPr>
          <w:rFonts w:cs="Times New Roman"/>
          <w:szCs w:val="23"/>
        </w:rPr>
        <w:t>El objetivo general fue diagnosticar las necesidades de prevención de la sobrecarga laboral en profesionales de enfermería de áreas críticas de la UCI del Hospital General del Norte de Guayaquil Los Ceibos, con el propósito de diseñar y validar una estrategia educativa contextualizada.</w:t>
      </w:r>
    </w:p>
    <w:p w14:paraId="2E4CA7D7" w14:textId="77777777" w:rsidR="003847BF" w:rsidRPr="003847BF" w:rsidRDefault="003847BF" w:rsidP="002159DD">
      <w:pPr>
        <w:spacing w:before="0" w:after="0"/>
        <w:rPr>
          <w:rFonts w:ascii="Calibri" w:hAnsi="Calibri"/>
          <w:sz w:val="24"/>
        </w:rPr>
      </w:pPr>
      <w:r w:rsidRPr="003847BF">
        <w:rPr>
          <w:rFonts w:cs="Times New Roman"/>
          <w:szCs w:val="23"/>
        </w:rPr>
        <w:t>De manera específica, se buscó caracterizar la carga laboral mediante un indicador objetivo; identificar conocimientos, percepciones y necesidades de aprendizaje sobre prevención de la sobrecarga; integrar los hallazgos obtenidos por revisión documental, grupos focales y medición cuantitativa; y validar la pertinencia, claridad, factibilidad y relevancia de la estrategia educativa mediante consenso de expertos.</w:t>
      </w:r>
    </w:p>
    <w:p w14:paraId="4DCFB334" w14:textId="77777777" w:rsidR="00454593" w:rsidRDefault="002C5389">
      <w:pPr>
        <w:pStyle w:val="Ttulo1"/>
      </w:pPr>
      <w:r>
        <w:t>3. Metodología</w:t>
      </w:r>
    </w:p>
    <w:p w14:paraId="341AB266" w14:textId="77777777" w:rsidR="00AA6753" w:rsidRPr="00AA6753" w:rsidRDefault="00AA6753" w:rsidP="002159DD">
      <w:pPr>
        <w:spacing w:before="0" w:after="0"/>
        <w:rPr>
          <w:rFonts w:cs="Times New Roman"/>
          <w:szCs w:val="23"/>
        </w:rPr>
      </w:pPr>
      <w:r w:rsidRPr="00AA6753">
        <w:rPr>
          <w:rFonts w:cs="Times New Roman"/>
          <w:szCs w:val="23"/>
        </w:rPr>
        <w:t>Se desarrolló un estudio mixto de tipo Investigación, Desarrollo e Innovación (I+D+i), con diseño exploratorio secuencial. Esta elección metodológica permitió iniciar con una fase cualitativa para comprender el fenómeno desde la experiencia de los participantes, continuar con una fase cuantitativa para medir carga laboral y conocimientos, integrar los resultados mediante triangulación y culminar con el diseño y validación de una estrategia educativa. El enfoque mixto fue pertinente porque la sobrecarga laboral posee componentes medibles, perceptivos, institucionales y formativos que no pueden explicarse adecuadamente desde una sola fuente de información (Creswell y Creswell, 2023).</w:t>
      </w:r>
    </w:p>
    <w:p w14:paraId="7F3ACB18" w14:textId="77777777" w:rsidR="00AA6753" w:rsidRPr="00AA6753" w:rsidRDefault="00AA6753" w:rsidP="002159DD">
      <w:pPr>
        <w:spacing w:before="0" w:after="0"/>
        <w:rPr>
          <w:rFonts w:cs="Times New Roman"/>
          <w:szCs w:val="23"/>
        </w:rPr>
      </w:pPr>
      <w:r w:rsidRPr="00AA6753">
        <w:rPr>
          <w:rFonts w:cs="Times New Roman"/>
          <w:szCs w:val="23"/>
        </w:rPr>
        <w:t xml:space="preserve">El estudio se realizó en la UCI del Hospital General del Norte de Guayaquil Los Ceibos, Ecuador, durante el periodo enero de 2024 a enero de 2025. La población estuvo constituida por 43 participantes: 40 profesionales de enfermería asistenciales y 3 directivos del </w:t>
      </w:r>
      <w:r w:rsidRPr="00AA6753">
        <w:rPr>
          <w:rFonts w:cs="Times New Roman"/>
          <w:szCs w:val="23"/>
        </w:rPr>
        <w:lastRenderedPageBreak/>
        <w:t>departamento de enfermería. Se utilizó muestreo no probabilístico por conveniencia e inclusión censal de quienes cumplieron los criterios establecidos. Para los profesionales de enfermería se exigió contrato activo en la UCI durante al menos tres meses, jornada laboral mínima de 36 horas semanales y consentimiento informado. Se excluyó al personal en periodo de prueba, de licencia prolongada o rotatorio de otros servicios. Los directivos debían ocupar cargos de jefatura o coordinación con al menos seis meses de antigüedad.</w:t>
      </w:r>
    </w:p>
    <w:p w14:paraId="0D8E41F8" w14:textId="77777777" w:rsidR="00AA6753" w:rsidRPr="00AA6753" w:rsidRDefault="00AA6753" w:rsidP="002159DD">
      <w:pPr>
        <w:spacing w:before="0" w:after="0"/>
        <w:rPr>
          <w:rFonts w:cs="Times New Roman"/>
          <w:szCs w:val="23"/>
        </w:rPr>
      </w:pPr>
      <w:r w:rsidRPr="00AA6753">
        <w:rPr>
          <w:rFonts w:cs="Times New Roman"/>
          <w:szCs w:val="23"/>
        </w:rPr>
        <w:t>La variable central fue la necesidad de prevención de la sobrecarga laboral. Se operacionalizó en cuatro dimensiones: carga laboral objetiva, conocimientos sobre prevención, entorno laboral y superación profesional. De forma complementaria se exploraron categorías cualitativas relacionadas con evaluación de la sobrecarga, disponibilidad de materiales educativos, autocuidado, apoyo institucional y gestión equitativa de la carga. Esta operacionalización permitió vincular el diagnóstico con los componentes finales de la estrategia educativa, evitando que la intervención fuera diseñada solo desde supuestos teóricos.</w:t>
      </w:r>
    </w:p>
    <w:p w14:paraId="25859073" w14:textId="77777777" w:rsidR="00AA6753" w:rsidRPr="00AA6753" w:rsidRDefault="00AA6753" w:rsidP="002159DD">
      <w:pPr>
        <w:spacing w:before="0" w:after="0"/>
        <w:rPr>
          <w:rFonts w:cs="Times New Roman"/>
          <w:szCs w:val="23"/>
        </w:rPr>
      </w:pPr>
      <w:r w:rsidRPr="00AA6753">
        <w:rPr>
          <w:rFonts w:cs="Times New Roman"/>
          <w:szCs w:val="23"/>
        </w:rPr>
        <w:t>La primera fase fue exploratoria cualitativa. Se realizó revisión documental de normativas institucionales, programas de formación, horarios de trabajo y documentos relacionados con bienestar laboral. Además, se organizaron grupos focales con profesionales de enfermería y directivos. Los profesionales fueron distribuidos en cuatro subgrupos para facilitar la participación, y los directivos participaron en una sesión independiente. Las sesiones fueron grabadas con autorización, tuvieron una duración aproximada de 15 a 30 minutos y fueron moderadas por un investigador sin relación jerárquica con los participantes para disminuir el sesgo de deseabilidad social.</w:t>
      </w:r>
    </w:p>
    <w:p w14:paraId="10035EF3" w14:textId="77777777" w:rsidR="00AA6753" w:rsidRPr="00AA6753" w:rsidRDefault="00AA6753" w:rsidP="002159DD">
      <w:pPr>
        <w:spacing w:before="0" w:after="0"/>
        <w:rPr>
          <w:rFonts w:cs="Times New Roman"/>
          <w:szCs w:val="23"/>
        </w:rPr>
      </w:pPr>
      <w:r w:rsidRPr="00AA6753">
        <w:rPr>
          <w:rFonts w:cs="Times New Roman"/>
          <w:szCs w:val="23"/>
        </w:rPr>
        <w:t xml:space="preserve">El análisis cualitativo se efectuó mediante análisis temático. Se siguieron etapas de familiarización con los datos, codificación inicial, búsqueda de temas, revisión, definición de categorías y elaboración del informe, conforme a la propuesta de Braun y Clarke (2006). Dos investigadores codificaron de forma independiente las transcripciones y luego compararon resultados; el acuerdo </w:t>
      </w:r>
      <w:proofErr w:type="spellStart"/>
      <w:r w:rsidRPr="00AA6753">
        <w:rPr>
          <w:rFonts w:cs="Times New Roman"/>
          <w:szCs w:val="23"/>
        </w:rPr>
        <w:t>intercodificador</w:t>
      </w:r>
      <w:proofErr w:type="spellEnd"/>
      <w:r w:rsidRPr="00AA6753">
        <w:rPr>
          <w:rFonts w:cs="Times New Roman"/>
          <w:szCs w:val="23"/>
        </w:rPr>
        <w:t xml:space="preserve"> alcanzó un Kappa de Cohen de 0,84, considerado adecuado. Los desacuerdos se resolvieron mediante consenso y participación de un tercer </w:t>
      </w:r>
      <w:r w:rsidRPr="00AA6753">
        <w:rPr>
          <w:rFonts w:cs="Times New Roman"/>
          <w:szCs w:val="23"/>
        </w:rPr>
        <w:lastRenderedPageBreak/>
        <w:t>investigador. La saturación teórica se alcanzó en el tercer subgrupo de profesionales de enfermería.</w:t>
      </w:r>
    </w:p>
    <w:p w14:paraId="6C5E5B94" w14:textId="77777777" w:rsidR="00AA6753" w:rsidRPr="00AA6753" w:rsidRDefault="00AA6753" w:rsidP="002159DD">
      <w:pPr>
        <w:spacing w:before="0" w:after="0"/>
        <w:rPr>
          <w:rFonts w:cs="Times New Roman"/>
          <w:szCs w:val="23"/>
        </w:rPr>
      </w:pPr>
      <w:r w:rsidRPr="00AA6753">
        <w:rPr>
          <w:rFonts w:cs="Times New Roman"/>
          <w:szCs w:val="23"/>
        </w:rPr>
        <w:t xml:space="preserve">La segunda fase consistió en el diagnóstico cuantitativo. Se empleó el cuestionario de conocimientos sobre prevención de sobrecarga laboral (CC-PSL), elaborado ad hoc a partir de la parametrización de la variable en cuatro dimensiones y 34 indicadores. La validez de contenido fue evaluada por cinco expertos mediante índice de validez de contenido, con S-CVI/Ave de 0,92. La confiabilidad se comprobó en prueba piloto con 15 profesionales de un hospital similar, no incluidos en la muestra final, y se obtuvo alfa de Cronbach de 0,87. La carga laboral se midió mediante el </w:t>
      </w:r>
      <w:proofErr w:type="spellStart"/>
      <w:r w:rsidRPr="00AA6753">
        <w:rPr>
          <w:rFonts w:cs="Times New Roman"/>
          <w:szCs w:val="23"/>
        </w:rPr>
        <w:t>Nursing</w:t>
      </w:r>
      <w:proofErr w:type="spellEnd"/>
      <w:r w:rsidRPr="00AA6753">
        <w:rPr>
          <w:rFonts w:cs="Times New Roman"/>
          <w:szCs w:val="23"/>
        </w:rPr>
        <w:t xml:space="preserve"> </w:t>
      </w:r>
      <w:proofErr w:type="spellStart"/>
      <w:r w:rsidRPr="00AA6753">
        <w:rPr>
          <w:rFonts w:cs="Times New Roman"/>
          <w:szCs w:val="23"/>
        </w:rPr>
        <w:t>Activities</w:t>
      </w:r>
      <w:proofErr w:type="spellEnd"/>
      <w:r w:rsidRPr="00AA6753">
        <w:rPr>
          <w:rFonts w:cs="Times New Roman"/>
          <w:szCs w:val="23"/>
        </w:rPr>
        <w:t xml:space="preserve"> Score, aplicado durante cinco turnos consecutivos por participante bajo supervisión de un investigador entrenado.</w:t>
      </w:r>
    </w:p>
    <w:p w14:paraId="7AEC2BA8" w14:textId="77777777" w:rsidR="00AA6753" w:rsidRPr="00AA6753" w:rsidRDefault="00AA6753" w:rsidP="002159DD">
      <w:pPr>
        <w:spacing w:before="0" w:after="0"/>
        <w:rPr>
          <w:rFonts w:cs="Times New Roman"/>
          <w:szCs w:val="23"/>
        </w:rPr>
      </w:pPr>
      <w:r w:rsidRPr="00AA6753">
        <w:rPr>
          <w:rFonts w:cs="Times New Roman"/>
          <w:szCs w:val="23"/>
        </w:rPr>
        <w:t>La tercera fase integró los hallazgos por triangulación metodológica. Se construyó una matriz mixta que cruzó categorías cualitativas, dimensiones cuantitativas y resultados documentales. La integración permitió clasificar las necesidades según convergencia, complementariedad o divergencia. Posteriormente se elaboró la estrategia educativa, fundamentada en la teoría de Orem y estructurada en ejes temáticos, objetivos de aprendizaje, contenidos, métodos participativos, recursos, evaluación y productos educativos.</w:t>
      </w:r>
    </w:p>
    <w:p w14:paraId="5153C5A4" w14:textId="77777777" w:rsidR="00AA6753" w:rsidRPr="00AA6753" w:rsidRDefault="00AA6753" w:rsidP="002159DD">
      <w:pPr>
        <w:spacing w:before="0" w:after="0"/>
        <w:rPr>
          <w:rFonts w:cs="Times New Roman"/>
          <w:szCs w:val="23"/>
        </w:rPr>
      </w:pPr>
      <w:r w:rsidRPr="00AA6753">
        <w:rPr>
          <w:rFonts w:cs="Times New Roman"/>
          <w:szCs w:val="23"/>
        </w:rPr>
        <w:t>La cuarta fase correspondió a la validación por método Delphi. Participaron 11 expertos con grado de máster o doctorado, experiencia en enfermería de áreas críticas o educación en salud, publicaciones recientes o participación en diseño de estrategias formativas, y coeficiente de competencia experta igual o superior a 0,80. En la primera ronda evaluaron pertinencia, claridad, relevancia, factibilidad, duración y utilidad de los materiales mediante escala Likert de cinco puntos y comentarios abiertos. En la segunda ronda se reevaluaron los compon</w:t>
      </w:r>
      <w:r w:rsidR="00E6360A">
        <w:rPr>
          <w:rFonts w:cs="Times New Roman"/>
          <w:szCs w:val="23"/>
        </w:rPr>
        <w:t>entes con acuerdo inferior al 80</w:t>
      </w:r>
      <w:r w:rsidRPr="00AA6753">
        <w:rPr>
          <w:rFonts w:cs="Times New Roman"/>
          <w:szCs w:val="23"/>
        </w:rPr>
        <w:t xml:space="preserve"> % o I-CVI menor de 0,78. Se consideró consenso cuando al menos 80 % de los e</w:t>
      </w:r>
      <w:r w:rsidR="00E6360A">
        <w:rPr>
          <w:rFonts w:cs="Times New Roman"/>
          <w:szCs w:val="23"/>
        </w:rPr>
        <w:t>xpertos otorgó puntuaciones de 4</w:t>
      </w:r>
      <w:r w:rsidRPr="00AA6753">
        <w:rPr>
          <w:rFonts w:cs="Times New Roman"/>
          <w:szCs w:val="23"/>
        </w:rPr>
        <w:t xml:space="preserve"> o 5 y la desviación estándar fue igual o inferior a 1 (Polit y Beck, 2006; </w:t>
      </w:r>
      <w:proofErr w:type="spellStart"/>
      <w:r w:rsidRPr="00AA6753">
        <w:rPr>
          <w:rFonts w:cs="Times New Roman"/>
          <w:szCs w:val="23"/>
        </w:rPr>
        <w:t>Sablatzky</w:t>
      </w:r>
      <w:proofErr w:type="spellEnd"/>
      <w:r w:rsidRPr="00AA6753">
        <w:rPr>
          <w:rFonts w:cs="Times New Roman"/>
          <w:szCs w:val="23"/>
        </w:rPr>
        <w:t>, 2022).</w:t>
      </w:r>
    </w:p>
    <w:p w14:paraId="15D1F6ED" w14:textId="77777777" w:rsidR="00AA6753" w:rsidRDefault="00AA6753" w:rsidP="002159DD">
      <w:pPr>
        <w:spacing w:before="0" w:after="0"/>
        <w:rPr>
          <w:rFonts w:cs="Times New Roman"/>
          <w:szCs w:val="23"/>
        </w:rPr>
      </w:pPr>
      <w:r w:rsidRPr="00AA6753">
        <w:rPr>
          <w:rFonts w:cs="Times New Roman"/>
          <w:szCs w:val="23"/>
        </w:rPr>
        <w:t xml:space="preserve">Los datos cuantitativos se procesaron con estadística descriptiva e inferencial. Se calcularon frecuencias absolutas y relativas, medias, desviaciones estándar, medianas e intervalos de confianza del 95 %. La </w:t>
      </w:r>
      <w:r w:rsidRPr="00AA6753">
        <w:rPr>
          <w:rFonts w:cs="Times New Roman"/>
          <w:szCs w:val="23"/>
        </w:rPr>
        <w:lastRenderedPageBreak/>
        <w:t xml:space="preserve">normalidad se valoró mediante la prueba de Kolmogorov-Smirnov, y la comparación del NAS entre turnos se realizó con prueba t para muestras independientes. La investigación cumplió los principios éticos de la Declaración de Helsinki, con consentimiento informado, participación voluntaria, </w:t>
      </w:r>
      <w:proofErr w:type="spellStart"/>
      <w:r w:rsidRPr="00AA6753">
        <w:rPr>
          <w:rFonts w:cs="Times New Roman"/>
          <w:szCs w:val="23"/>
        </w:rPr>
        <w:t>anonimización</w:t>
      </w:r>
      <w:proofErr w:type="spellEnd"/>
      <w:r w:rsidRPr="00AA6753">
        <w:rPr>
          <w:rFonts w:cs="Times New Roman"/>
          <w:szCs w:val="23"/>
        </w:rPr>
        <w:t xml:space="preserve"> mediante códigos alfanuméricos, confidencialidad y derecho a retirarse sin repercusión laboral (World Medical </w:t>
      </w:r>
      <w:proofErr w:type="spellStart"/>
      <w:r w:rsidRPr="00AA6753">
        <w:rPr>
          <w:rFonts w:cs="Times New Roman"/>
          <w:szCs w:val="23"/>
        </w:rPr>
        <w:t>Association</w:t>
      </w:r>
      <w:proofErr w:type="spellEnd"/>
      <w:r w:rsidRPr="00AA6753">
        <w:rPr>
          <w:rFonts w:cs="Times New Roman"/>
          <w:szCs w:val="23"/>
        </w:rPr>
        <w:t>, 2025).</w:t>
      </w:r>
    </w:p>
    <w:p w14:paraId="32FAAD7A" w14:textId="77777777" w:rsidR="00742EFC" w:rsidRPr="00AA6753" w:rsidRDefault="00742EFC" w:rsidP="002159DD">
      <w:pPr>
        <w:spacing w:before="0" w:after="0"/>
        <w:rPr>
          <w:rFonts w:cs="Times New Roman"/>
          <w:szCs w:val="23"/>
        </w:rPr>
      </w:pPr>
    </w:p>
    <w:p w14:paraId="55DDF0D1" w14:textId="77777777" w:rsidR="00AA6753" w:rsidRDefault="00AA6753" w:rsidP="00AA6753">
      <w:pPr>
        <w:spacing w:before="0" w:after="0" w:line="240" w:lineRule="auto"/>
        <w:contextualSpacing/>
        <w:jc w:val="center"/>
        <w:rPr>
          <w:rFonts w:ascii="Arial Narrow" w:hAnsi="Arial Narrow"/>
          <w:i/>
          <w:spacing w:val="0"/>
          <w:sz w:val="20"/>
          <w:szCs w:val="20"/>
          <w:lang w:val="es-ES_tradnl"/>
          <w14:numForm w14:val="default"/>
        </w:rPr>
      </w:pPr>
      <w:r w:rsidRPr="00AA6753">
        <w:rPr>
          <w:rFonts w:ascii="Arial Narrow" w:hAnsi="Arial Narrow"/>
          <w:b/>
          <w:spacing w:val="0"/>
          <w:sz w:val="20"/>
          <w:szCs w:val="20"/>
          <w:lang w:val="es-ES_tradnl"/>
          <w14:numForm w14:val="default"/>
        </w:rPr>
        <w:t>TABLA 1.</w:t>
      </w:r>
      <w:r w:rsidRPr="00AA6753">
        <w:rPr>
          <w:rFonts w:ascii="Arial Narrow" w:hAnsi="Arial Narrow"/>
          <w:b/>
          <w:i/>
          <w:spacing w:val="0"/>
          <w:sz w:val="20"/>
          <w:szCs w:val="20"/>
          <w:lang w:val="es-ES_tradnl"/>
          <w14:numForm w14:val="default"/>
        </w:rPr>
        <w:t xml:space="preserve"> </w:t>
      </w:r>
      <w:r w:rsidRPr="00AA6753">
        <w:rPr>
          <w:rFonts w:ascii="Arial Narrow" w:hAnsi="Arial Narrow"/>
          <w:i/>
          <w:spacing w:val="0"/>
          <w:sz w:val="20"/>
          <w:szCs w:val="20"/>
          <w:lang w:val="es-ES_tradnl"/>
          <w14:numForm w14:val="default"/>
        </w:rPr>
        <w:t>Diseño metodológico resumido.</w:t>
      </w:r>
    </w:p>
    <w:p w14:paraId="3E6C776A" w14:textId="77777777" w:rsidR="00AA6753" w:rsidRPr="00AA6753" w:rsidRDefault="00AA6753" w:rsidP="00AA6753">
      <w:pPr>
        <w:spacing w:before="0" w:after="0" w:line="240" w:lineRule="auto"/>
        <w:contextualSpacing/>
        <w:jc w:val="center"/>
        <w:rPr>
          <w:rFonts w:ascii="Arial Narrow" w:hAnsi="Arial Narrow"/>
          <w:b/>
          <w:i/>
          <w:spacing w:val="0"/>
          <w:sz w:val="20"/>
          <w:szCs w:val="20"/>
          <w:lang w:val="es-ES_tradnl"/>
          <w14:numForm w14:val="default"/>
        </w:rPr>
      </w:pPr>
    </w:p>
    <w:tbl>
      <w:tblPr>
        <w:tblStyle w:val="TableGrid1"/>
        <w:tblW w:w="0" w:type="auto"/>
        <w:jc w:val="center"/>
        <w:tblLayout w:type="fixed"/>
        <w:tblLook w:val="04A0" w:firstRow="1" w:lastRow="0" w:firstColumn="1" w:lastColumn="0" w:noHBand="0" w:noVBand="1"/>
      </w:tblPr>
      <w:tblGrid>
        <w:gridCol w:w="1304"/>
        <w:gridCol w:w="2381"/>
        <w:gridCol w:w="2721"/>
      </w:tblGrid>
      <w:tr w:rsidR="00AA6753" w:rsidRPr="00AA6753" w14:paraId="780D84DF" w14:textId="77777777" w:rsidTr="00231CF3">
        <w:trPr>
          <w:jc w:val="center"/>
        </w:trPr>
        <w:tc>
          <w:tcPr>
            <w:tcW w:w="1304" w:type="dxa"/>
            <w:vAlign w:val="center"/>
          </w:tcPr>
          <w:p w14:paraId="622DF027" w14:textId="77777777" w:rsidR="00AA6753" w:rsidRPr="00AA6753" w:rsidRDefault="00AA6753" w:rsidP="00AA6753">
            <w:pPr>
              <w:spacing w:before="0" w:after="0" w:line="240" w:lineRule="auto"/>
              <w:jc w:val="left"/>
              <w:rPr>
                <w:rFonts w:ascii="Calibri" w:hAnsi="Calibri"/>
                <w:i/>
                <w:sz w:val="24"/>
              </w:rPr>
            </w:pPr>
            <w:r w:rsidRPr="00AA6753">
              <w:rPr>
                <w:rFonts w:ascii="Arial Narrow" w:eastAsia="Arial Narrow" w:hAnsi="Arial Narrow"/>
                <w:i/>
                <w:sz w:val="16"/>
              </w:rPr>
              <w:t>Fase</w:t>
            </w:r>
          </w:p>
        </w:tc>
        <w:tc>
          <w:tcPr>
            <w:tcW w:w="2381" w:type="dxa"/>
            <w:vAlign w:val="center"/>
          </w:tcPr>
          <w:p w14:paraId="1762EF6C" w14:textId="77777777" w:rsidR="00AA6753" w:rsidRPr="00AA6753" w:rsidRDefault="00AA6753" w:rsidP="00AA6753">
            <w:pPr>
              <w:spacing w:before="0" w:after="0" w:line="240" w:lineRule="auto"/>
              <w:jc w:val="left"/>
              <w:rPr>
                <w:rFonts w:ascii="Calibri" w:hAnsi="Calibri"/>
                <w:i/>
                <w:sz w:val="24"/>
              </w:rPr>
            </w:pPr>
            <w:r w:rsidRPr="00AA6753">
              <w:rPr>
                <w:rFonts w:ascii="Arial Narrow" w:eastAsia="Arial Narrow" w:hAnsi="Arial Narrow"/>
                <w:i/>
                <w:sz w:val="16"/>
              </w:rPr>
              <w:t>Propósito</w:t>
            </w:r>
          </w:p>
        </w:tc>
        <w:tc>
          <w:tcPr>
            <w:tcW w:w="2721" w:type="dxa"/>
            <w:vAlign w:val="center"/>
          </w:tcPr>
          <w:p w14:paraId="4987C140" w14:textId="77777777" w:rsidR="00AA6753" w:rsidRPr="00AA6753" w:rsidRDefault="00AA6753" w:rsidP="00AA6753">
            <w:pPr>
              <w:spacing w:before="0" w:after="0" w:line="240" w:lineRule="auto"/>
              <w:jc w:val="left"/>
              <w:rPr>
                <w:rFonts w:ascii="Calibri" w:hAnsi="Calibri"/>
                <w:i/>
                <w:sz w:val="24"/>
              </w:rPr>
            </w:pPr>
            <w:r w:rsidRPr="00AA6753">
              <w:rPr>
                <w:rFonts w:ascii="Arial Narrow" w:eastAsia="Arial Narrow" w:hAnsi="Arial Narrow"/>
                <w:i/>
                <w:sz w:val="16"/>
              </w:rPr>
              <w:t>Producto metodológico</w:t>
            </w:r>
          </w:p>
        </w:tc>
      </w:tr>
      <w:tr w:rsidR="00AA6753" w:rsidRPr="00AA6753" w14:paraId="4CEF7FFB" w14:textId="77777777" w:rsidTr="00231CF3">
        <w:trPr>
          <w:jc w:val="center"/>
        </w:trPr>
        <w:tc>
          <w:tcPr>
            <w:tcW w:w="1304" w:type="dxa"/>
            <w:vAlign w:val="center"/>
          </w:tcPr>
          <w:p w14:paraId="39AF49EF" w14:textId="77777777" w:rsidR="00AA6753" w:rsidRPr="00AA6753" w:rsidRDefault="00AA6753" w:rsidP="00AA6753">
            <w:pPr>
              <w:spacing w:before="0" w:after="0" w:line="240" w:lineRule="auto"/>
              <w:jc w:val="left"/>
              <w:rPr>
                <w:rFonts w:ascii="Calibri" w:hAnsi="Calibri"/>
                <w:sz w:val="24"/>
              </w:rPr>
            </w:pPr>
            <w:r w:rsidRPr="00AA6753">
              <w:rPr>
                <w:rFonts w:ascii="Arial Narrow" w:eastAsia="Arial Narrow" w:hAnsi="Arial Narrow"/>
                <w:sz w:val="16"/>
              </w:rPr>
              <w:t>Exploración cualitativa</w:t>
            </w:r>
          </w:p>
        </w:tc>
        <w:tc>
          <w:tcPr>
            <w:tcW w:w="2381" w:type="dxa"/>
            <w:vAlign w:val="center"/>
          </w:tcPr>
          <w:p w14:paraId="14B43775" w14:textId="77777777" w:rsidR="00AA6753" w:rsidRPr="00AA6753" w:rsidRDefault="00AA6753" w:rsidP="00AA6753">
            <w:pPr>
              <w:spacing w:before="0" w:after="0" w:line="240" w:lineRule="auto"/>
              <w:jc w:val="left"/>
              <w:rPr>
                <w:rFonts w:ascii="Calibri" w:hAnsi="Calibri"/>
                <w:sz w:val="24"/>
              </w:rPr>
            </w:pPr>
            <w:r w:rsidRPr="00AA6753">
              <w:rPr>
                <w:rFonts w:ascii="Arial Narrow" w:eastAsia="Arial Narrow" w:hAnsi="Arial Narrow"/>
                <w:sz w:val="16"/>
              </w:rPr>
              <w:t>Identificar percepciones y necesidades iniciales.</w:t>
            </w:r>
          </w:p>
        </w:tc>
        <w:tc>
          <w:tcPr>
            <w:tcW w:w="2721" w:type="dxa"/>
            <w:vAlign w:val="center"/>
          </w:tcPr>
          <w:p w14:paraId="60C050FA" w14:textId="77777777" w:rsidR="00AA6753" w:rsidRPr="00AA6753" w:rsidRDefault="00AA6753" w:rsidP="00AA6753">
            <w:pPr>
              <w:spacing w:before="0" w:after="0" w:line="240" w:lineRule="auto"/>
              <w:jc w:val="left"/>
              <w:rPr>
                <w:rFonts w:ascii="Calibri" w:hAnsi="Calibri"/>
                <w:sz w:val="24"/>
              </w:rPr>
            </w:pPr>
            <w:r w:rsidRPr="00AA6753">
              <w:rPr>
                <w:rFonts w:ascii="Arial Narrow" w:eastAsia="Arial Narrow" w:hAnsi="Arial Narrow"/>
                <w:sz w:val="16"/>
              </w:rPr>
              <w:t>Categorías temáticas sobre evaluación, autocuidado y apoyo institucional.</w:t>
            </w:r>
          </w:p>
        </w:tc>
      </w:tr>
      <w:tr w:rsidR="00AA6753" w:rsidRPr="00AA6753" w14:paraId="53E5E00F" w14:textId="77777777" w:rsidTr="00231CF3">
        <w:trPr>
          <w:jc w:val="center"/>
        </w:trPr>
        <w:tc>
          <w:tcPr>
            <w:tcW w:w="1304" w:type="dxa"/>
            <w:vAlign w:val="center"/>
          </w:tcPr>
          <w:p w14:paraId="1B0D8F03" w14:textId="77777777" w:rsidR="00AA6753" w:rsidRPr="00AA6753" w:rsidRDefault="00AA6753" w:rsidP="00AA6753">
            <w:pPr>
              <w:spacing w:before="0" w:after="0" w:line="240" w:lineRule="auto"/>
              <w:jc w:val="left"/>
              <w:rPr>
                <w:rFonts w:ascii="Calibri" w:hAnsi="Calibri"/>
                <w:sz w:val="24"/>
              </w:rPr>
            </w:pPr>
            <w:r w:rsidRPr="00AA6753">
              <w:rPr>
                <w:rFonts w:ascii="Arial Narrow" w:eastAsia="Arial Narrow" w:hAnsi="Arial Narrow"/>
                <w:sz w:val="16"/>
              </w:rPr>
              <w:t>Diagnóstico cuantitativo</w:t>
            </w:r>
          </w:p>
        </w:tc>
        <w:tc>
          <w:tcPr>
            <w:tcW w:w="2381" w:type="dxa"/>
            <w:vAlign w:val="center"/>
          </w:tcPr>
          <w:p w14:paraId="72341CDC" w14:textId="77777777" w:rsidR="00AA6753" w:rsidRPr="00AA6753" w:rsidRDefault="00AA6753" w:rsidP="00AA6753">
            <w:pPr>
              <w:spacing w:before="0" w:after="0" w:line="240" w:lineRule="auto"/>
              <w:jc w:val="left"/>
              <w:rPr>
                <w:rFonts w:ascii="Calibri" w:hAnsi="Calibri"/>
                <w:sz w:val="24"/>
              </w:rPr>
            </w:pPr>
            <w:r w:rsidRPr="00AA6753">
              <w:rPr>
                <w:rFonts w:ascii="Arial Narrow" w:eastAsia="Arial Narrow" w:hAnsi="Arial Narrow"/>
                <w:sz w:val="16"/>
              </w:rPr>
              <w:t>Medir carga laboral y conocimientos preventivos.</w:t>
            </w:r>
          </w:p>
        </w:tc>
        <w:tc>
          <w:tcPr>
            <w:tcW w:w="2721" w:type="dxa"/>
            <w:vAlign w:val="center"/>
          </w:tcPr>
          <w:p w14:paraId="54441BA8" w14:textId="77777777" w:rsidR="00AA6753" w:rsidRPr="00AA6753" w:rsidRDefault="00AA6753" w:rsidP="00AA6753">
            <w:pPr>
              <w:spacing w:before="0" w:after="0" w:line="240" w:lineRule="auto"/>
              <w:jc w:val="left"/>
              <w:rPr>
                <w:rFonts w:ascii="Calibri" w:hAnsi="Calibri"/>
                <w:sz w:val="24"/>
              </w:rPr>
            </w:pPr>
            <w:r w:rsidRPr="00AA6753">
              <w:rPr>
                <w:rFonts w:ascii="Arial Narrow" w:eastAsia="Arial Narrow" w:hAnsi="Arial Narrow"/>
                <w:sz w:val="16"/>
              </w:rPr>
              <w:t>Puntuaciones NAS, resultados del CC-PSL e indicadores por dimensión.</w:t>
            </w:r>
          </w:p>
        </w:tc>
      </w:tr>
      <w:tr w:rsidR="00AA6753" w:rsidRPr="00AA6753" w14:paraId="30D70CF1" w14:textId="77777777" w:rsidTr="00231CF3">
        <w:trPr>
          <w:jc w:val="center"/>
        </w:trPr>
        <w:tc>
          <w:tcPr>
            <w:tcW w:w="1304" w:type="dxa"/>
            <w:vAlign w:val="center"/>
          </w:tcPr>
          <w:p w14:paraId="34D18C19" w14:textId="77777777" w:rsidR="00AA6753" w:rsidRPr="00AA6753" w:rsidRDefault="00AA6753" w:rsidP="00AA6753">
            <w:pPr>
              <w:spacing w:before="0" w:after="0" w:line="240" w:lineRule="auto"/>
              <w:jc w:val="left"/>
              <w:rPr>
                <w:rFonts w:ascii="Calibri" w:hAnsi="Calibri"/>
                <w:sz w:val="24"/>
              </w:rPr>
            </w:pPr>
            <w:r w:rsidRPr="00AA6753">
              <w:rPr>
                <w:rFonts w:ascii="Arial Narrow" w:eastAsia="Arial Narrow" w:hAnsi="Arial Narrow"/>
                <w:sz w:val="16"/>
              </w:rPr>
              <w:t>Triangulación</w:t>
            </w:r>
          </w:p>
        </w:tc>
        <w:tc>
          <w:tcPr>
            <w:tcW w:w="2381" w:type="dxa"/>
            <w:vAlign w:val="center"/>
          </w:tcPr>
          <w:p w14:paraId="65F85D18" w14:textId="77777777" w:rsidR="00AA6753" w:rsidRPr="00AA6753" w:rsidRDefault="00AA6753" w:rsidP="00AA6753">
            <w:pPr>
              <w:spacing w:before="0" w:after="0" w:line="240" w:lineRule="auto"/>
              <w:jc w:val="left"/>
              <w:rPr>
                <w:rFonts w:ascii="Calibri" w:hAnsi="Calibri"/>
                <w:sz w:val="24"/>
              </w:rPr>
            </w:pPr>
            <w:r w:rsidRPr="00AA6753">
              <w:rPr>
                <w:rFonts w:ascii="Arial Narrow" w:eastAsia="Arial Narrow" w:hAnsi="Arial Narrow"/>
                <w:sz w:val="16"/>
              </w:rPr>
              <w:t>Integrar evidencias cualitativas, cuantitativas y documentales.</w:t>
            </w:r>
          </w:p>
        </w:tc>
        <w:tc>
          <w:tcPr>
            <w:tcW w:w="2721" w:type="dxa"/>
            <w:vAlign w:val="center"/>
          </w:tcPr>
          <w:p w14:paraId="04183C89" w14:textId="77777777" w:rsidR="00AA6753" w:rsidRPr="00AA6753" w:rsidRDefault="00AA6753" w:rsidP="00AA6753">
            <w:pPr>
              <w:spacing w:before="0" w:after="0" w:line="240" w:lineRule="auto"/>
              <w:jc w:val="left"/>
              <w:rPr>
                <w:rFonts w:ascii="Calibri" w:hAnsi="Calibri"/>
                <w:sz w:val="24"/>
              </w:rPr>
            </w:pPr>
            <w:r w:rsidRPr="00AA6753">
              <w:rPr>
                <w:rFonts w:ascii="Arial Narrow" w:eastAsia="Arial Narrow" w:hAnsi="Arial Narrow"/>
                <w:sz w:val="16"/>
              </w:rPr>
              <w:t>Matriz de necesidades priorizadas para el diseño educativo.</w:t>
            </w:r>
          </w:p>
        </w:tc>
      </w:tr>
      <w:tr w:rsidR="00AA6753" w:rsidRPr="00AA6753" w14:paraId="6AEB822C" w14:textId="77777777" w:rsidTr="00231CF3">
        <w:trPr>
          <w:jc w:val="center"/>
        </w:trPr>
        <w:tc>
          <w:tcPr>
            <w:tcW w:w="1304" w:type="dxa"/>
            <w:vAlign w:val="center"/>
          </w:tcPr>
          <w:p w14:paraId="451843BB" w14:textId="77777777" w:rsidR="00AA6753" w:rsidRPr="00AA6753" w:rsidRDefault="00AA6753" w:rsidP="00AA6753">
            <w:pPr>
              <w:spacing w:before="0" w:after="0" w:line="240" w:lineRule="auto"/>
              <w:jc w:val="left"/>
              <w:rPr>
                <w:rFonts w:ascii="Calibri" w:hAnsi="Calibri"/>
                <w:sz w:val="24"/>
              </w:rPr>
            </w:pPr>
            <w:r w:rsidRPr="00AA6753">
              <w:rPr>
                <w:rFonts w:ascii="Arial Narrow" w:eastAsia="Arial Narrow" w:hAnsi="Arial Narrow"/>
                <w:sz w:val="16"/>
              </w:rPr>
              <w:t>Validación Delphi</w:t>
            </w:r>
          </w:p>
        </w:tc>
        <w:tc>
          <w:tcPr>
            <w:tcW w:w="2381" w:type="dxa"/>
            <w:vAlign w:val="center"/>
          </w:tcPr>
          <w:p w14:paraId="4EEB3007" w14:textId="77777777" w:rsidR="00AA6753" w:rsidRPr="00AA6753" w:rsidRDefault="00AA6753" w:rsidP="00AA6753">
            <w:pPr>
              <w:spacing w:before="0" w:after="0" w:line="240" w:lineRule="auto"/>
              <w:jc w:val="left"/>
              <w:rPr>
                <w:rFonts w:ascii="Calibri" w:hAnsi="Calibri"/>
                <w:sz w:val="24"/>
              </w:rPr>
            </w:pPr>
            <w:r w:rsidRPr="00AA6753">
              <w:rPr>
                <w:rFonts w:ascii="Arial Narrow" w:eastAsia="Arial Narrow" w:hAnsi="Arial Narrow"/>
                <w:sz w:val="16"/>
              </w:rPr>
              <w:t>Valorar pertinencia, claridad y factibilidad de la estrategia.</w:t>
            </w:r>
          </w:p>
        </w:tc>
        <w:tc>
          <w:tcPr>
            <w:tcW w:w="2721" w:type="dxa"/>
            <w:vAlign w:val="center"/>
          </w:tcPr>
          <w:p w14:paraId="2F9E673E" w14:textId="77777777" w:rsidR="00AA6753" w:rsidRPr="00AA6753" w:rsidRDefault="00AA6753" w:rsidP="00AA6753">
            <w:pPr>
              <w:spacing w:before="0" w:after="0" w:line="240" w:lineRule="auto"/>
              <w:jc w:val="left"/>
              <w:rPr>
                <w:rFonts w:ascii="Calibri" w:hAnsi="Calibri"/>
                <w:sz w:val="24"/>
              </w:rPr>
            </w:pPr>
            <w:r w:rsidRPr="00AA6753">
              <w:rPr>
                <w:rFonts w:ascii="Arial Narrow" w:eastAsia="Arial Narrow" w:hAnsi="Arial Narrow"/>
                <w:sz w:val="16"/>
              </w:rPr>
              <w:t>Consenso experto y versión final de 24 horas académicas.</w:t>
            </w:r>
          </w:p>
        </w:tc>
      </w:tr>
    </w:tbl>
    <w:p w14:paraId="67EDCB37" w14:textId="77777777" w:rsidR="00AA6753" w:rsidRDefault="00AA6753" w:rsidP="00AA6753">
      <w:pPr>
        <w:spacing w:before="0" w:after="0" w:line="240" w:lineRule="auto"/>
        <w:contextualSpacing/>
        <w:jc w:val="center"/>
        <w:rPr>
          <w:rFonts w:ascii="Arial Narrow" w:hAnsi="Arial Narrow"/>
          <w:iCs/>
          <w:spacing w:val="0"/>
          <w:sz w:val="20"/>
          <w:szCs w:val="20"/>
          <w:lang w:val="es-ES_tradnl"/>
          <w14:numForm w14:val="default"/>
        </w:rPr>
      </w:pPr>
    </w:p>
    <w:p w14:paraId="2899F94A" w14:textId="77777777" w:rsidR="002159DD" w:rsidRPr="002159DD" w:rsidRDefault="00AA6753" w:rsidP="002159DD">
      <w:pPr>
        <w:spacing w:before="0" w:after="0" w:line="240" w:lineRule="auto"/>
        <w:contextualSpacing/>
        <w:jc w:val="center"/>
        <w:rPr>
          <w:rFonts w:ascii="Arial Narrow" w:hAnsi="Arial Narrow"/>
          <w:iCs/>
          <w:spacing w:val="0"/>
          <w:sz w:val="20"/>
          <w:szCs w:val="20"/>
          <w:lang w:val="es-ES_tradnl"/>
          <w14:numForm w14:val="default"/>
        </w:rPr>
      </w:pPr>
      <w:r w:rsidRPr="00AA6753">
        <w:rPr>
          <w:rFonts w:ascii="Arial Narrow" w:hAnsi="Arial Narrow"/>
          <w:iCs/>
          <w:spacing w:val="0"/>
          <w:sz w:val="20"/>
          <w:szCs w:val="20"/>
          <w:lang w:val="es-ES_tradnl"/>
          <w14:numForm w14:val="default"/>
        </w:rPr>
        <w:t>Fuente: Elaboración propia a partir de los resultados del estudio.</w:t>
      </w:r>
    </w:p>
    <w:p w14:paraId="35FD4C79" w14:textId="77777777" w:rsidR="002159DD" w:rsidRDefault="002159DD" w:rsidP="002159DD">
      <w:pPr>
        <w:pStyle w:val="Ttulo1"/>
      </w:pPr>
      <w:r>
        <w:rPr>
          <w:caps w:val="0"/>
        </w:rPr>
        <w:t>4.</w:t>
      </w:r>
      <w:r>
        <w:t xml:space="preserve"> resultados</w:t>
      </w:r>
    </w:p>
    <w:p w14:paraId="516B8776" w14:textId="77777777" w:rsidR="002159DD" w:rsidRPr="00E6360A" w:rsidRDefault="002159DD" w:rsidP="002159DD">
      <w:pPr>
        <w:spacing w:before="0" w:after="0"/>
        <w:rPr>
          <w:rFonts w:cs="Times New Roman"/>
          <w:szCs w:val="23"/>
        </w:rPr>
      </w:pPr>
      <w:r w:rsidRPr="00E6360A">
        <w:rPr>
          <w:rFonts w:cs="Times New Roman"/>
          <w:szCs w:val="23"/>
        </w:rPr>
        <w:t>Participaron 40 profesionales de enfermería y 3 directivos. La edad media de los profesionales fue 34,2 años, con desviación estándar de 6,8; el 80 % correspondió al sexo femenino. La experiencia media en UCI fue 5,8 años, y la jornada semanal promedio alcanzó 48,5 horas. El 55 % laboraba habitualmente en turno diurno y el 45 % en turno nocturno. Estos datos muestran un grupo con experiencia suficiente para valorar críticamente la dinámica del área, pero sometido a jornadas extensas y a una carga asistencial sostenida.</w:t>
      </w:r>
    </w:p>
    <w:p w14:paraId="25389AFA" w14:textId="77777777" w:rsidR="002159DD" w:rsidRPr="00E6360A" w:rsidRDefault="002159DD" w:rsidP="002159DD">
      <w:pPr>
        <w:spacing w:before="0" w:after="0"/>
        <w:rPr>
          <w:rFonts w:cs="Times New Roman"/>
          <w:szCs w:val="23"/>
        </w:rPr>
      </w:pPr>
      <w:r w:rsidRPr="00E6360A">
        <w:rPr>
          <w:rFonts w:cs="Times New Roman"/>
          <w:szCs w:val="23"/>
        </w:rPr>
        <w:t xml:space="preserve">La revisión documental identificó limitaciones organizacionales relevantes. Los horarios institucionales evidenciaron turnos prolongados, rotación frecuente y descansos compensatorios insuficientes. Los planes de formación continua revisados priorizaban contenidos técnico-asistenciales y no incorporaban de manera sistemática la prevención de la sobrecarga laboral ni el bienestar emocional. Tampoco se encontraron indicadores institucionales específicos para evaluar bienestar del trabajador en los planes </w:t>
      </w:r>
      <w:r w:rsidRPr="00E6360A">
        <w:rPr>
          <w:rFonts w:cs="Times New Roman"/>
          <w:szCs w:val="23"/>
        </w:rPr>
        <w:lastRenderedPageBreak/>
        <w:t>operativos analizados. Estos hallazgos sugieren una brecha entre la complejidad del trabajo en UCI y los mecanismos formales de apoyo al personal.</w:t>
      </w:r>
    </w:p>
    <w:p w14:paraId="079E2BE3" w14:textId="77777777" w:rsidR="002159DD" w:rsidRPr="00E6360A" w:rsidRDefault="002159DD" w:rsidP="002159DD">
      <w:pPr>
        <w:spacing w:before="0" w:after="0"/>
        <w:rPr>
          <w:rFonts w:cs="Times New Roman"/>
          <w:szCs w:val="23"/>
        </w:rPr>
      </w:pPr>
      <w:r w:rsidRPr="00E6360A">
        <w:rPr>
          <w:rFonts w:cs="Times New Roman"/>
          <w:szCs w:val="23"/>
        </w:rPr>
        <w:t>El análisis cualitativo produjo tres categorías principales. La primera fue la necesidad de formación para la evaluación objetiva de la sobrecarga laboral, mencionada por 35 de los 40 profesionales y por los 3 directivos. La segunda fue la carencia de materiales educativos específicos, referida por 38 profesionales y 2 directivos. La tercera fue la preparación insuficiente para el autocuidado físico y emocional, reconocida por la totalidad de profesionales y directivos. Los testimonios coincidieron en que la formación recibida prepara al personal para cuidar al paciente crítico, pero no siempre para reconocer y manejar el desgaste derivado de ese cuidado.</w:t>
      </w:r>
    </w:p>
    <w:p w14:paraId="5A064661" w14:textId="77777777" w:rsidR="002159DD" w:rsidRPr="00E6360A" w:rsidRDefault="002159DD" w:rsidP="002159DD">
      <w:pPr>
        <w:spacing w:before="0" w:after="0"/>
        <w:rPr>
          <w:rFonts w:cs="Times New Roman"/>
          <w:szCs w:val="23"/>
        </w:rPr>
      </w:pPr>
      <w:r w:rsidRPr="00E6360A">
        <w:rPr>
          <w:rFonts w:cs="Times New Roman"/>
          <w:szCs w:val="23"/>
        </w:rPr>
        <w:t xml:space="preserve">En la medición cuantitativa, el NAS promedio fue de 78,4 % (DE = 8,2; IC95 %: 75,8-81,0). El 82,5 % de los profesionales presentó puntuaciones iguales o superiores a 70 %, lo que indica alta carga laboral. El turno diurno alcanzó una media de 81,2 %, mientras que el turno nocturno registró 74,8 %, diferencia estadísticamente significativa (t = 2,54; </w:t>
      </w:r>
      <w:proofErr w:type="spellStart"/>
      <w:r w:rsidRPr="00E6360A">
        <w:rPr>
          <w:rFonts w:cs="Times New Roman"/>
          <w:szCs w:val="23"/>
        </w:rPr>
        <w:t>gl</w:t>
      </w:r>
      <w:proofErr w:type="spellEnd"/>
      <w:r w:rsidRPr="00E6360A">
        <w:rPr>
          <w:rFonts w:cs="Times New Roman"/>
          <w:szCs w:val="23"/>
        </w:rPr>
        <w:t xml:space="preserve"> = 38; p = 0,015). Aunque ambos turnos mostraron valores elevados, la mayor demanda diurna puede relacionarse con procedimientos, visitas, traslados, interconsultas y mayor concentración de actividades administrativas.</w:t>
      </w:r>
    </w:p>
    <w:p w14:paraId="3DC6E9CE" w14:textId="77777777" w:rsidR="002159DD" w:rsidRPr="00E6360A" w:rsidRDefault="002159DD" w:rsidP="002159DD">
      <w:pPr>
        <w:spacing w:before="0" w:after="0"/>
        <w:rPr>
          <w:rFonts w:cs="Times New Roman"/>
          <w:szCs w:val="23"/>
        </w:rPr>
      </w:pPr>
      <w:r w:rsidRPr="00E6360A">
        <w:rPr>
          <w:rFonts w:cs="Times New Roman"/>
          <w:szCs w:val="23"/>
        </w:rPr>
        <w:t>El CC-PSL mostró consistencia interna adecuada en la muestra estudiada, con alfa de Cronbach de 0,85. El puntaje global de conocimientos fue 59,4 % (IC95 %: 54,0-64,8), lo que evidencia dominio insuficiente sobre prevención de sobrecarga. La dimensión más débil fue prevención de sobrecarga laboral, con 45,6 %. El 100 % de los profesionales informó no participar en actividades institucionales de bienestar emocional durante el periodo analizado. En contraste, el 85 % manifestó alta motivación por la formación continua, y el 92,5 % expresó satisfacción con la comunicación institucional sobre cambios operativos, lo que constituye un facilitador para implementar acciones educativas.</w:t>
      </w:r>
    </w:p>
    <w:p w14:paraId="13045343" w14:textId="77777777" w:rsidR="002159DD" w:rsidRPr="00E6360A" w:rsidRDefault="002159DD" w:rsidP="002159DD">
      <w:pPr>
        <w:spacing w:before="0" w:after="0"/>
        <w:rPr>
          <w:rFonts w:cs="Times New Roman"/>
          <w:szCs w:val="23"/>
        </w:rPr>
      </w:pPr>
      <w:r w:rsidRPr="00E6360A">
        <w:rPr>
          <w:rFonts w:cs="Times New Roman"/>
          <w:szCs w:val="23"/>
        </w:rPr>
        <w:t xml:space="preserve">La triangulación permitió identificar cinco necesidades prioritarias: conocimiento sobre evaluación objetiva de la sobrecarga; disponibilidad de materiales educativos contextualizados; desarrollo de </w:t>
      </w:r>
      <w:r w:rsidRPr="00E6360A">
        <w:rPr>
          <w:rFonts w:cs="Times New Roman"/>
          <w:szCs w:val="23"/>
        </w:rPr>
        <w:lastRenderedPageBreak/>
        <w:t>competencias de autocuidado físico y emocional; gestión equitativa de la carga; y apoyo institucional para el bienestar emocional. Las cinco necesidades mostraron alto grado de consistencia porque fueron confirmadas por más de una fuente de evidencia. Esta convergencia fortaleció la validez del diagnóstico y justificó la estructura final de la estrategia educativa.</w:t>
      </w:r>
    </w:p>
    <w:p w14:paraId="27FAF97F" w14:textId="77777777" w:rsidR="002159DD" w:rsidRPr="00E6360A" w:rsidRDefault="002159DD" w:rsidP="002159DD">
      <w:pPr>
        <w:spacing w:before="0" w:after="0"/>
        <w:rPr>
          <w:rFonts w:cs="Times New Roman"/>
          <w:szCs w:val="23"/>
        </w:rPr>
      </w:pPr>
      <w:r w:rsidRPr="00E6360A">
        <w:rPr>
          <w:rFonts w:cs="Times New Roman"/>
          <w:szCs w:val="23"/>
        </w:rPr>
        <w:t>La estrategia diseñada quedó conformada por cuatro ejes temáticos y 24 horas académicas presenciales distribuidas en seis sesiones de cuatro horas. Los ejes fueron: comprensión de la sobrecarga laboral y sus efectos; medición y gestión de la carga en UCI; autocuidado profesional y regulación emocional; y cultura organizacional para el bienestar y la seguridad del paciente. La metodología combinó exposición dialogada, análisis de casos, trabajo grupal, simulación de situaciones críticas, ejercicios de autorreflexión y elaboración de un plan personal de autocuidado.</w:t>
      </w:r>
    </w:p>
    <w:p w14:paraId="624253E7" w14:textId="77777777" w:rsidR="002159DD" w:rsidRPr="00E6360A" w:rsidRDefault="002159DD" w:rsidP="002159DD">
      <w:pPr>
        <w:spacing w:before="0" w:after="0"/>
        <w:rPr>
          <w:rFonts w:cs="Times New Roman"/>
          <w:szCs w:val="23"/>
        </w:rPr>
      </w:pPr>
      <w:r w:rsidRPr="00E6360A">
        <w:rPr>
          <w:rFonts w:cs="Times New Roman"/>
          <w:szCs w:val="23"/>
        </w:rPr>
        <w:t>La validación Delphi alcanzó consenso en dos rondas. En la primera ronda, los componentes mejor valorados fueron pertinencia de los ejes y utilidad del material educativo. Los expertos sugirieron mejorar la claridad de algunos contenidos y ampliar la duración inicial de 20 a 24 horas para abordar con mayor profundidad el bienestar emocional. En la segunda ronda, los componentes reevaluados alcanzaron acuerdo igual o superior al 90,9 %. La validez de contenido global alcanzó S-CVI/Ave = 0,94 y S-CVI/UA = 0,91, lo que respalda la pertinencia de la estrategia.</w:t>
      </w:r>
    </w:p>
    <w:p w14:paraId="2599ABCC" w14:textId="77777777" w:rsidR="009B11E5" w:rsidRDefault="009B11E5" w:rsidP="002159DD">
      <w:pPr>
        <w:spacing w:before="0" w:after="0" w:line="240" w:lineRule="auto"/>
        <w:contextualSpacing/>
        <w:jc w:val="center"/>
        <w:rPr>
          <w:rFonts w:ascii="Arial Narrow" w:hAnsi="Arial Narrow"/>
          <w:b/>
          <w:spacing w:val="0"/>
          <w:sz w:val="20"/>
          <w:szCs w:val="20"/>
          <w:lang w:val="es-ES_tradnl"/>
          <w14:numForm w14:val="default"/>
        </w:rPr>
      </w:pPr>
    </w:p>
    <w:p w14:paraId="136073A6" w14:textId="77777777" w:rsidR="002159DD" w:rsidRDefault="002159DD" w:rsidP="002159DD">
      <w:pPr>
        <w:spacing w:before="0" w:after="0" w:line="240" w:lineRule="auto"/>
        <w:contextualSpacing/>
        <w:jc w:val="center"/>
        <w:rPr>
          <w:rFonts w:ascii="Arial Narrow" w:hAnsi="Arial Narrow"/>
          <w:i/>
          <w:spacing w:val="0"/>
          <w:sz w:val="20"/>
          <w:szCs w:val="20"/>
          <w:lang w:val="es-ES_tradnl"/>
          <w14:numForm w14:val="default"/>
        </w:rPr>
      </w:pPr>
      <w:r w:rsidRPr="00E6360A">
        <w:rPr>
          <w:rFonts w:ascii="Arial Narrow" w:hAnsi="Arial Narrow"/>
          <w:b/>
          <w:spacing w:val="0"/>
          <w:sz w:val="20"/>
          <w:szCs w:val="20"/>
          <w:lang w:val="es-ES_tradnl"/>
          <w14:numForm w14:val="default"/>
        </w:rPr>
        <w:t>TABLA 2.</w:t>
      </w:r>
      <w:r w:rsidRPr="00E6360A">
        <w:rPr>
          <w:rFonts w:ascii="Calibri" w:hAnsi="Calibri"/>
          <w:b/>
          <w:i/>
          <w:spacing w:val="0"/>
          <w:sz w:val="20"/>
          <w:szCs w:val="20"/>
          <w:lang w:val="es-ES_tradnl"/>
          <w14:numForm w14:val="default"/>
        </w:rPr>
        <w:t xml:space="preserve"> </w:t>
      </w:r>
      <w:r w:rsidRPr="00E6360A">
        <w:rPr>
          <w:rFonts w:ascii="Arial Narrow" w:hAnsi="Arial Narrow"/>
          <w:i/>
          <w:spacing w:val="0"/>
          <w:sz w:val="20"/>
          <w:szCs w:val="20"/>
          <w:lang w:val="es-ES_tradnl"/>
          <w14:numForm w14:val="default"/>
        </w:rPr>
        <w:t>Principales indicadores diagnósticos.</w:t>
      </w:r>
    </w:p>
    <w:p w14:paraId="7641662B" w14:textId="77777777" w:rsidR="00C246CE" w:rsidRPr="00E6360A" w:rsidRDefault="00C246CE" w:rsidP="002159DD">
      <w:pPr>
        <w:spacing w:before="0" w:after="0" w:line="240" w:lineRule="auto"/>
        <w:contextualSpacing/>
        <w:jc w:val="center"/>
        <w:rPr>
          <w:rFonts w:ascii="Arial Narrow" w:hAnsi="Arial Narrow"/>
          <w:i/>
          <w:spacing w:val="0"/>
          <w:sz w:val="20"/>
          <w:szCs w:val="20"/>
          <w:lang w:val="es-ES_tradnl"/>
          <w14:numForm w14:val="default"/>
        </w:rPr>
      </w:pPr>
    </w:p>
    <w:tbl>
      <w:tblPr>
        <w:tblStyle w:val="TableGrid2"/>
        <w:tblW w:w="0" w:type="auto"/>
        <w:jc w:val="center"/>
        <w:tblLayout w:type="fixed"/>
        <w:tblLook w:val="04A0" w:firstRow="1" w:lastRow="0" w:firstColumn="1" w:lastColumn="0" w:noHBand="0" w:noVBand="1"/>
      </w:tblPr>
      <w:tblGrid>
        <w:gridCol w:w="1814"/>
        <w:gridCol w:w="1360"/>
        <w:gridCol w:w="3231"/>
      </w:tblGrid>
      <w:tr w:rsidR="002159DD" w:rsidRPr="00E6360A" w14:paraId="404297D9" w14:textId="77777777" w:rsidTr="00231CF3">
        <w:trPr>
          <w:jc w:val="center"/>
        </w:trPr>
        <w:tc>
          <w:tcPr>
            <w:tcW w:w="1814" w:type="dxa"/>
            <w:vAlign w:val="center"/>
          </w:tcPr>
          <w:p w14:paraId="45F968AC" w14:textId="77777777" w:rsidR="002159DD" w:rsidRPr="00E6360A" w:rsidRDefault="002159DD" w:rsidP="00231CF3">
            <w:pPr>
              <w:spacing w:before="0" w:after="0" w:line="240" w:lineRule="auto"/>
              <w:jc w:val="left"/>
              <w:rPr>
                <w:rFonts w:ascii="Calibri" w:hAnsi="Calibri"/>
                <w:i/>
                <w:sz w:val="24"/>
              </w:rPr>
            </w:pPr>
            <w:r w:rsidRPr="00E6360A">
              <w:rPr>
                <w:rFonts w:ascii="Arial Narrow" w:eastAsia="Arial Narrow" w:hAnsi="Arial Narrow"/>
                <w:i/>
                <w:sz w:val="16"/>
              </w:rPr>
              <w:t>Indicador</w:t>
            </w:r>
          </w:p>
        </w:tc>
        <w:tc>
          <w:tcPr>
            <w:tcW w:w="1360" w:type="dxa"/>
            <w:vAlign w:val="center"/>
          </w:tcPr>
          <w:p w14:paraId="0C315B70" w14:textId="77777777" w:rsidR="002159DD" w:rsidRPr="00E6360A" w:rsidRDefault="002159DD" w:rsidP="00231CF3">
            <w:pPr>
              <w:spacing w:before="0" w:after="0" w:line="240" w:lineRule="auto"/>
              <w:jc w:val="left"/>
              <w:rPr>
                <w:rFonts w:ascii="Calibri" w:hAnsi="Calibri"/>
                <w:i/>
                <w:sz w:val="24"/>
              </w:rPr>
            </w:pPr>
            <w:r w:rsidRPr="00E6360A">
              <w:rPr>
                <w:rFonts w:ascii="Arial Narrow" w:eastAsia="Arial Narrow" w:hAnsi="Arial Narrow"/>
                <w:i/>
                <w:sz w:val="16"/>
              </w:rPr>
              <w:t>Resultado</w:t>
            </w:r>
          </w:p>
        </w:tc>
        <w:tc>
          <w:tcPr>
            <w:tcW w:w="3231" w:type="dxa"/>
            <w:vAlign w:val="center"/>
          </w:tcPr>
          <w:p w14:paraId="5C8DA011" w14:textId="77777777" w:rsidR="002159DD" w:rsidRPr="00E6360A" w:rsidRDefault="002159DD" w:rsidP="00231CF3">
            <w:pPr>
              <w:spacing w:before="0" w:after="0" w:line="240" w:lineRule="auto"/>
              <w:jc w:val="left"/>
              <w:rPr>
                <w:rFonts w:ascii="Calibri" w:hAnsi="Calibri"/>
                <w:i/>
                <w:sz w:val="24"/>
              </w:rPr>
            </w:pPr>
            <w:r w:rsidRPr="00E6360A">
              <w:rPr>
                <w:rFonts w:ascii="Arial Narrow" w:eastAsia="Arial Narrow" w:hAnsi="Arial Narrow"/>
                <w:i/>
                <w:sz w:val="16"/>
              </w:rPr>
              <w:t>Interpretación</w:t>
            </w:r>
          </w:p>
        </w:tc>
      </w:tr>
      <w:tr w:rsidR="002159DD" w:rsidRPr="00E6360A" w14:paraId="26978DF0" w14:textId="77777777" w:rsidTr="00231CF3">
        <w:trPr>
          <w:jc w:val="center"/>
        </w:trPr>
        <w:tc>
          <w:tcPr>
            <w:tcW w:w="1814" w:type="dxa"/>
            <w:vAlign w:val="center"/>
          </w:tcPr>
          <w:p w14:paraId="55C83A58"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NAS promedio</w:t>
            </w:r>
          </w:p>
        </w:tc>
        <w:tc>
          <w:tcPr>
            <w:tcW w:w="1360" w:type="dxa"/>
            <w:vAlign w:val="center"/>
          </w:tcPr>
          <w:p w14:paraId="7D732BFD"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78,4 % (DE = 8,2)</w:t>
            </w:r>
          </w:p>
        </w:tc>
        <w:tc>
          <w:tcPr>
            <w:tcW w:w="3231" w:type="dxa"/>
            <w:vAlign w:val="center"/>
          </w:tcPr>
          <w:p w14:paraId="466B89F0"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Alta carga laboral objetiva en UCI.</w:t>
            </w:r>
          </w:p>
        </w:tc>
      </w:tr>
      <w:tr w:rsidR="002159DD" w:rsidRPr="00E6360A" w14:paraId="3FF7BF90" w14:textId="77777777" w:rsidTr="00231CF3">
        <w:trPr>
          <w:jc w:val="center"/>
        </w:trPr>
        <w:tc>
          <w:tcPr>
            <w:tcW w:w="1814" w:type="dxa"/>
            <w:vAlign w:val="center"/>
          </w:tcPr>
          <w:p w14:paraId="1F2CEA2F"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Profesionales con NAS &gt;= 70 %</w:t>
            </w:r>
          </w:p>
        </w:tc>
        <w:tc>
          <w:tcPr>
            <w:tcW w:w="1360" w:type="dxa"/>
            <w:vAlign w:val="center"/>
          </w:tcPr>
          <w:p w14:paraId="1920D72E"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82,5 %</w:t>
            </w:r>
          </w:p>
        </w:tc>
        <w:tc>
          <w:tcPr>
            <w:tcW w:w="3231" w:type="dxa"/>
            <w:vAlign w:val="center"/>
          </w:tcPr>
          <w:p w14:paraId="1BEBCBD7"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Predominio de demanda asistencial elevada.</w:t>
            </w:r>
          </w:p>
        </w:tc>
      </w:tr>
      <w:tr w:rsidR="002159DD" w:rsidRPr="00E6360A" w14:paraId="543414A9" w14:textId="77777777" w:rsidTr="00231CF3">
        <w:trPr>
          <w:jc w:val="center"/>
        </w:trPr>
        <w:tc>
          <w:tcPr>
            <w:tcW w:w="1814" w:type="dxa"/>
            <w:vAlign w:val="center"/>
          </w:tcPr>
          <w:p w14:paraId="1E7CC398"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Conocimiento global CC-PSL</w:t>
            </w:r>
          </w:p>
        </w:tc>
        <w:tc>
          <w:tcPr>
            <w:tcW w:w="1360" w:type="dxa"/>
            <w:vAlign w:val="center"/>
          </w:tcPr>
          <w:p w14:paraId="33684E40"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59,4 %</w:t>
            </w:r>
          </w:p>
        </w:tc>
        <w:tc>
          <w:tcPr>
            <w:tcW w:w="3231" w:type="dxa"/>
            <w:vAlign w:val="center"/>
          </w:tcPr>
          <w:p w14:paraId="438EB149"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Necesidad de fortalecimiento formativo.</w:t>
            </w:r>
          </w:p>
        </w:tc>
      </w:tr>
      <w:tr w:rsidR="002159DD" w:rsidRPr="00E6360A" w14:paraId="1F25FB65" w14:textId="77777777" w:rsidTr="00231CF3">
        <w:trPr>
          <w:jc w:val="center"/>
        </w:trPr>
        <w:tc>
          <w:tcPr>
            <w:tcW w:w="1814" w:type="dxa"/>
            <w:vAlign w:val="center"/>
          </w:tcPr>
          <w:p w14:paraId="6D097ABF"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Participación en bienestar emocional</w:t>
            </w:r>
          </w:p>
        </w:tc>
        <w:tc>
          <w:tcPr>
            <w:tcW w:w="1360" w:type="dxa"/>
            <w:vAlign w:val="center"/>
          </w:tcPr>
          <w:p w14:paraId="1FB6EC0C"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0 %</w:t>
            </w:r>
          </w:p>
        </w:tc>
        <w:tc>
          <w:tcPr>
            <w:tcW w:w="3231" w:type="dxa"/>
            <w:vAlign w:val="center"/>
          </w:tcPr>
          <w:p w14:paraId="478A492C"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Ausencia de oferta institucional durante el periodo.</w:t>
            </w:r>
          </w:p>
        </w:tc>
      </w:tr>
      <w:tr w:rsidR="002159DD" w:rsidRPr="00E6360A" w14:paraId="74D50777" w14:textId="77777777" w:rsidTr="00231CF3">
        <w:trPr>
          <w:jc w:val="center"/>
        </w:trPr>
        <w:tc>
          <w:tcPr>
            <w:tcW w:w="1814" w:type="dxa"/>
            <w:vAlign w:val="center"/>
          </w:tcPr>
          <w:p w14:paraId="0F2A2670"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Motivación por formación continua</w:t>
            </w:r>
          </w:p>
        </w:tc>
        <w:tc>
          <w:tcPr>
            <w:tcW w:w="1360" w:type="dxa"/>
            <w:vAlign w:val="center"/>
          </w:tcPr>
          <w:p w14:paraId="5F115ADF"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85 %</w:t>
            </w:r>
          </w:p>
        </w:tc>
        <w:tc>
          <w:tcPr>
            <w:tcW w:w="3231" w:type="dxa"/>
            <w:vAlign w:val="center"/>
          </w:tcPr>
          <w:p w14:paraId="37D80217"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Facilitador para implementar la estrategia.</w:t>
            </w:r>
          </w:p>
        </w:tc>
      </w:tr>
    </w:tbl>
    <w:p w14:paraId="2B8C5BA4" w14:textId="77777777" w:rsidR="00C246CE" w:rsidRPr="00C246CE" w:rsidRDefault="00C246CE" w:rsidP="002159DD">
      <w:pPr>
        <w:spacing w:before="0" w:after="0" w:line="240" w:lineRule="auto"/>
        <w:contextualSpacing/>
        <w:jc w:val="center"/>
        <w:rPr>
          <w:rFonts w:ascii="Arial Narrow" w:hAnsi="Arial Narrow"/>
          <w:iCs/>
          <w:spacing w:val="0"/>
          <w:sz w:val="20"/>
          <w:szCs w:val="20"/>
          <w:lang w:val="es-ES_tradnl"/>
          <w14:numForm w14:val="default"/>
        </w:rPr>
      </w:pPr>
    </w:p>
    <w:p w14:paraId="42A45C59" w14:textId="77777777" w:rsidR="002159DD" w:rsidRPr="00E6360A" w:rsidRDefault="002159DD" w:rsidP="002159DD">
      <w:pPr>
        <w:spacing w:before="0" w:after="0" w:line="240" w:lineRule="auto"/>
        <w:contextualSpacing/>
        <w:jc w:val="center"/>
        <w:rPr>
          <w:rFonts w:ascii="Arial Narrow" w:hAnsi="Arial Narrow"/>
          <w:iCs/>
          <w:spacing w:val="0"/>
          <w:sz w:val="20"/>
          <w:szCs w:val="20"/>
          <w:lang w:val="es-ES_tradnl"/>
          <w14:numForm w14:val="default"/>
        </w:rPr>
      </w:pPr>
      <w:r w:rsidRPr="00E6360A">
        <w:rPr>
          <w:rFonts w:ascii="Arial Narrow" w:hAnsi="Arial Narrow"/>
          <w:iCs/>
          <w:spacing w:val="0"/>
          <w:sz w:val="20"/>
          <w:szCs w:val="20"/>
          <w:lang w:val="es-ES_tradnl"/>
          <w14:numForm w14:val="default"/>
        </w:rPr>
        <w:t>Fuente: Elaboración propia a partir de los resultados del estudio.</w:t>
      </w:r>
    </w:p>
    <w:p w14:paraId="36779DE5" w14:textId="77777777" w:rsidR="00C246CE" w:rsidRPr="00C246CE" w:rsidRDefault="00C246CE" w:rsidP="002159DD">
      <w:pPr>
        <w:spacing w:before="0" w:after="0" w:line="240" w:lineRule="auto"/>
        <w:contextualSpacing/>
        <w:jc w:val="center"/>
        <w:rPr>
          <w:rFonts w:ascii="Arial Narrow" w:hAnsi="Arial Narrow"/>
          <w:b/>
          <w:spacing w:val="0"/>
          <w:sz w:val="20"/>
          <w:szCs w:val="20"/>
          <w:lang w:val="es-ES_tradnl"/>
          <w14:numForm w14:val="default"/>
        </w:rPr>
      </w:pPr>
    </w:p>
    <w:p w14:paraId="25F132AF" w14:textId="77777777" w:rsidR="002159DD" w:rsidRPr="00C246CE" w:rsidRDefault="002159DD" w:rsidP="002159DD">
      <w:pPr>
        <w:spacing w:before="0" w:after="0" w:line="240" w:lineRule="auto"/>
        <w:contextualSpacing/>
        <w:jc w:val="center"/>
        <w:rPr>
          <w:rFonts w:ascii="Arial Narrow" w:hAnsi="Arial Narrow"/>
          <w:i/>
          <w:spacing w:val="0"/>
          <w:sz w:val="20"/>
          <w:szCs w:val="20"/>
          <w:lang w:val="es-ES_tradnl"/>
          <w14:numForm w14:val="default"/>
        </w:rPr>
      </w:pPr>
      <w:r w:rsidRPr="00E6360A">
        <w:rPr>
          <w:rFonts w:ascii="Arial Narrow" w:hAnsi="Arial Narrow"/>
          <w:b/>
          <w:spacing w:val="0"/>
          <w:sz w:val="20"/>
          <w:szCs w:val="20"/>
          <w:lang w:val="es-ES_tradnl"/>
          <w14:numForm w14:val="default"/>
        </w:rPr>
        <w:t>TABLA 3.</w:t>
      </w:r>
      <w:r w:rsidRPr="00E6360A">
        <w:rPr>
          <w:rFonts w:ascii="Calibri" w:hAnsi="Calibri"/>
          <w:b/>
          <w:i/>
          <w:spacing w:val="0"/>
          <w:sz w:val="20"/>
          <w:szCs w:val="20"/>
          <w:lang w:val="es-ES_tradnl"/>
          <w14:numForm w14:val="default"/>
        </w:rPr>
        <w:t xml:space="preserve"> </w:t>
      </w:r>
      <w:r w:rsidRPr="00E6360A">
        <w:rPr>
          <w:rFonts w:ascii="Arial Narrow" w:hAnsi="Arial Narrow"/>
          <w:i/>
          <w:spacing w:val="0"/>
          <w:sz w:val="20"/>
          <w:szCs w:val="20"/>
          <w:lang w:val="es-ES_tradnl"/>
          <w14:numForm w14:val="default"/>
        </w:rPr>
        <w:t>Ejes de la estrategia educativa validada.</w:t>
      </w:r>
    </w:p>
    <w:p w14:paraId="31322AE8" w14:textId="77777777" w:rsidR="00C246CE" w:rsidRPr="00E6360A" w:rsidRDefault="00C246CE" w:rsidP="002159DD">
      <w:pPr>
        <w:spacing w:before="0" w:after="0" w:line="240" w:lineRule="auto"/>
        <w:contextualSpacing/>
        <w:jc w:val="center"/>
        <w:rPr>
          <w:rFonts w:ascii="Calibri" w:hAnsi="Calibri"/>
          <w:i/>
          <w:spacing w:val="0"/>
          <w:sz w:val="20"/>
          <w:szCs w:val="20"/>
          <w:lang w:val="es-ES_tradnl"/>
          <w14:numForm w14:val="default"/>
        </w:rPr>
      </w:pPr>
    </w:p>
    <w:tbl>
      <w:tblPr>
        <w:tblStyle w:val="TableGrid2"/>
        <w:tblW w:w="0" w:type="auto"/>
        <w:jc w:val="center"/>
        <w:tblLayout w:type="fixed"/>
        <w:tblLook w:val="04A0" w:firstRow="1" w:lastRow="0" w:firstColumn="1" w:lastColumn="0" w:noHBand="0" w:noVBand="1"/>
      </w:tblPr>
      <w:tblGrid>
        <w:gridCol w:w="1701"/>
        <w:gridCol w:w="2608"/>
        <w:gridCol w:w="2097"/>
      </w:tblGrid>
      <w:tr w:rsidR="002159DD" w:rsidRPr="00E6360A" w14:paraId="6E240BD5" w14:textId="77777777" w:rsidTr="00231CF3">
        <w:trPr>
          <w:jc w:val="center"/>
        </w:trPr>
        <w:tc>
          <w:tcPr>
            <w:tcW w:w="1701" w:type="dxa"/>
            <w:vAlign w:val="center"/>
          </w:tcPr>
          <w:p w14:paraId="6CA4DD1F" w14:textId="77777777" w:rsidR="002159DD" w:rsidRPr="00E6360A" w:rsidRDefault="002159DD" w:rsidP="00231CF3">
            <w:pPr>
              <w:spacing w:before="0" w:after="0" w:line="240" w:lineRule="auto"/>
              <w:jc w:val="left"/>
              <w:rPr>
                <w:rFonts w:ascii="Calibri" w:hAnsi="Calibri"/>
                <w:i/>
                <w:sz w:val="24"/>
              </w:rPr>
            </w:pPr>
            <w:r w:rsidRPr="00E6360A">
              <w:rPr>
                <w:rFonts w:ascii="Arial Narrow" w:eastAsia="Arial Narrow" w:hAnsi="Arial Narrow"/>
                <w:i/>
                <w:sz w:val="16"/>
              </w:rPr>
              <w:t>Eje</w:t>
            </w:r>
          </w:p>
        </w:tc>
        <w:tc>
          <w:tcPr>
            <w:tcW w:w="2608" w:type="dxa"/>
            <w:vAlign w:val="center"/>
          </w:tcPr>
          <w:p w14:paraId="0BC3DC1C" w14:textId="77777777" w:rsidR="002159DD" w:rsidRPr="00E6360A" w:rsidRDefault="002159DD" w:rsidP="00231CF3">
            <w:pPr>
              <w:spacing w:before="0" w:after="0" w:line="240" w:lineRule="auto"/>
              <w:jc w:val="left"/>
              <w:rPr>
                <w:rFonts w:ascii="Calibri" w:hAnsi="Calibri"/>
                <w:i/>
                <w:sz w:val="24"/>
              </w:rPr>
            </w:pPr>
            <w:r w:rsidRPr="00E6360A">
              <w:rPr>
                <w:rFonts w:ascii="Arial Narrow" w:eastAsia="Arial Narrow" w:hAnsi="Arial Narrow"/>
                <w:i/>
                <w:sz w:val="16"/>
              </w:rPr>
              <w:t>Propósito formativo</w:t>
            </w:r>
          </w:p>
        </w:tc>
        <w:tc>
          <w:tcPr>
            <w:tcW w:w="2097" w:type="dxa"/>
            <w:vAlign w:val="center"/>
          </w:tcPr>
          <w:p w14:paraId="73DFDCBC" w14:textId="77777777" w:rsidR="002159DD" w:rsidRPr="00E6360A" w:rsidRDefault="002159DD" w:rsidP="00231CF3">
            <w:pPr>
              <w:spacing w:before="0" w:after="0" w:line="240" w:lineRule="auto"/>
              <w:jc w:val="left"/>
              <w:rPr>
                <w:rFonts w:ascii="Calibri" w:hAnsi="Calibri"/>
                <w:i/>
                <w:sz w:val="24"/>
              </w:rPr>
            </w:pPr>
            <w:r w:rsidRPr="00E6360A">
              <w:rPr>
                <w:rFonts w:ascii="Arial Narrow" w:eastAsia="Arial Narrow" w:hAnsi="Arial Narrow"/>
                <w:i/>
                <w:sz w:val="16"/>
              </w:rPr>
              <w:t>Producto esperado</w:t>
            </w:r>
          </w:p>
        </w:tc>
      </w:tr>
      <w:tr w:rsidR="002159DD" w:rsidRPr="00E6360A" w14:paraId="765B8C14" w14:textId="77777777" w:rsidTr="00231CF3">
        <w:trPr>
          <w:jc w:val="center"/>
        </w:trPr>
        <w:tc>
          <w:tcPr>
            <w:tcW w:w="1701" w:type="dxa"/>
            <w:vAlign w:val="center"/>
          </w:tcPr>
          <w:p w14:paraId="77E6EE2D"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Sobrecarga laboral y riesgos</w:t>
            </w:r>
          </w:p>
        </w:tc>
        <w:tc>
          <w:tcPr>
            <w:tcW w:w="2608" w:type="dxa"/>
            <w:vAlign w:val="center"/>
          </w:tcPr>
          <w:p w14:paraId="714C21AA"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Reconocer manifestaciones, causas y consecuencias de la sobrecarga.</w:t>
            </w:r>
          </w:p>
        </w:tc>
        <w:tc>
          <w:tcPr>
            <w:tcW w:w="2097" w:type="dxa"/>
            <w:vAlign w:val="center"/>
          </w:tcPr>
          <w:p w14:paraId="10B47790"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Mapa individual y grupal de factores de riesgo.</w:t>
            </w:r>
          </w:p>
        </w:tc>
      </w:tr>
      <w:tr w:rsidR="002159DD" w:rsidRPr="00E6360A" w14:paraId="535E8126" w14:textId="77777777" w:rsidTr="00231CF3">
        <w:trPr>
          <w:jc w:val="center"/>
        </w:trPr>
        <w:tc>
          <w:tcPr>
            <w:tcW w:w="1701" w:type="dxa"/>
            <w:vAlign w:val="center"/>
          </w:tcPr>
          <w:p w14:paraId="3119C105"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Medición y gestión de la carga</w:t>
            </w:r>
          </w:p>
        </w:tc>
        <w:tc>
          <w:tcPr>
            <w:tcW w:w="2608" w:type="dxa"/>
            <w:vAlign w:val="center"/>
          </w:tcPr>
          <w:p w14:paraId="440EAA11"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Comprender el uso del NAS y su utilidad para la planificación.</w:t>
            </w:r>
          </w:p>
        </w:tc>
        <w:tc>
          <w:tcPr>
            <w:tcW w:w="2097" w:type="dxa"/>
            <w:vAlign w:val="center"/>
          </w:tcPr>
          <w:p w14:paraId="019F326F"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Registro simplificado de carga y discusión de turnos críticos.</w:t>
            </w:r>
          </w:p>
        </w:tc>
      </w:tr>
      <w:tr w:rsidR="002159DD" w:rsidRPr="00E6360A" w14:paraId="2D6A8DFA" w14:textId="77777777" w:rsidTr="00231CF3">
        <w:trPr>
          <w:jc w:val="center"/>
        </w:trPr>
        <w:tc>
          <w:tcPr>
            <w:tcW w:w="1701" w:type="dxa"/>
            <w:vAlign w:val="center"/>
          </w:tcPr>
          <w:p w14:paraId="6B8D6AD1"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Autocuidado y regulación emocional</w:t>
            </w:r>
          </w:p>
        </w:tc>
        <w:tc>
          <w:tcPr>
            <w:tcW w:w="2608" w:type="dxa"/>
            <w:vAlign w:val="center"/>
          </w:tcPr>
          <w:p w14:paraId="2B47BB54"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Desarrollar habilidades de afrontamiento, descanso y recuperación.</w:t>
            </w:r>
          </w:p>
        </w:tc>
        <w:tc>
          <w:tcPr>
            <w:tcW w:w="2097" w:type="dxa"/>
            <w:vAlign w:val="center"/>
          </w:tcPr>
          <w:p w14:paraId="79EA5277"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Plan de autocuidado personalizado.</w:t>
            </w:r>
          </w:p>
        </w:tc>
      </w:tr>
      <w:tr w:rsidR="002159DD" w:rsidRPr="00E6360A" w14:paraId="26207C91" w14:textId="77777777" w:rsidTr="00231CF3">
        <w:trPr>
          <w:jc w:val="center"/>
        </w:trPr>
        <w:tc>
          <w:tcPr>
            <w:tcW w:w="1701" w:type="dxa"/>
            <w:vAlign w:val="center"/>
          </w:tcPr>
          <w:p w14:paraId="6BD57547"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Cultura de bienestar y seguridad</w:t>
            </w:r>
          </w:p>
        </w:tc>
        <w:tc>
          <w:tcPr>
            <w:tcW w:w="2608" w:type="dxa"/>
            <w:vAlign w:val="center"/>
          </w:tcPr>
          <w:p w14:paraId="77010D3D"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Promover apoyo institucional, comunicación y corresponsabilidad.</w:t>
            </w:r>
          </w:p>
        </w:tc>
        <w:tc>
          <w:tcPr>
            <w:tcW w:w="2097" w:type="dxa"/>
            <w:vAlign w:val="center"/>
          </w:tcPr>
          <w:p w14:paraId="7E65E574" w14:textId="77777777" w:rsidR="002159DD" w:rsidRPr="00E6360A" w:rsidRDefault="002159DD" w:rsidP="00231CF3">
            <w:pPr>
              <w:spacing w:before="0" w:after="0" w:line="240" w:lineRule="auto"/>
              <w:jc w:val="left"/>
              <w:rPr>
                <w:rFonts w:ascii="Calibri" w:hAnsi="Calibri"/>
                <w:sz w:val="24"/>
              </w:rPr>
            </w:pPr>
            <w:r w:rsidRPr="00E6360A">
              <w:rPr>
                <w:rFonts w:ascii="Arial Narrow" w:eastAsia="Arial Narrow" w:hAnsi="Arial Narrow"/>
                <w:sz w:val="16"/>
              </w:rPr>
              <w:t>Propuesta de mejora para el servicio.</w:t>
            </w:r>
          </w:p>
        </w:tc>
      </w:tr>
    </w:tbl>
    <w:p w14:paraId="47579008" w14:textId="77777777" w:rsidR="00C246CE" w:rsidRPr="00C246CE" w:rsidRDefault="00C246CE" w:rsidP="002159DD">
      <w:pPr>
        <w:spacing w:before="0" w:after="0" w:line="240" w:lineRule="auto"/>
        <w:contextualSpacing/>
        <w:jc w:val="center"/>
        <w:rPr>
          <w:rFonts w:ascii="Arial Narrow" w:hAnsi="Arial Narrow"/>
          <w:iCs/>
          <w:spacing w:val="0"/>
          <w:sz w:val="20"/>
          <w:szCs w:val="20"/>
          <w:lang w:val="es-ES_tradnl"/>
          <w14:numForm w14:val="default"/>
        </w:rPr>
      </w:pPr>
    </w:p>
    <w:p w14:paraId="053D5615" w14:textId="77777777" w:rsidR="002159DD" w:rsidRPr="00E6360A" w:rsidRDefault="002159DD" w:rsidP="002159DD">
      <w:pPr>
        <w:spacing w:before="0" w:after="0" w:line="240" w:lineRule="auto"/>
        <w:contextualSpacing/>
        <w:jc w:val="center"/>
        <w:rPr>
          <w:rFonts w:ascii="Arial Narrow" w:hAnsi="Arial Narrow"/>
          <w:iCs/>
          <w:spacing w:val="0"/>
          <w:sz w:val="20"/>
          <w:szCs w:val="20"/>
          <w:lang w:val="es-ES_tradnl"/>
          <w14:numForm w14:val="default"/>
        </w:rPr>
      </w:pPr>
      <w:r w:rsidRPr="00E6360A">
        <w:rPr>
          <w:rFonts w:ascii="Arial Narrow" w:hAnsi="Arial Narrow"/>
          <w:iCs/>
          <w:spacing w:val="0"/>
          <w:sz w:val="20"/>
          <w:szCs w:val="20"/>
          <w:lang w:val="es-ES_tradnl"/>
          <w14:numForm w14:val="default"/>
        </w:rPr>
        <w:t>Fuente: Elaboración propia a partir de los resultados del estudio.</w:t>
      </w:r>
    </w:p>
    <w:p w14:paraId="1D1C0892" w14:textId="77777777" w:rsidR="00AB1FB9" w:rsidRDefault="00AB1FB9" w:rsidP="00AB1FB9">
      <w:pPr>
        <w:pStyle w:val="Ttulo1"/>
      </w:pPr>
      <w:r>
        <w:t>5. discusión</w:t>
      </w:r>
    </w:p>
    <w:p w14:paraId="57819192" w14:textId="77777777" w:rsidR="00AB1FB9" w:rsidRPr="00AB1FB9" w:rsidRDefault="00AB1FB9" w:rsidP="00AB1FB9">
      <w:pPr>
        <w:spacing w:before="0" w:after="0"/>
        <w:rPr>
          <w:rFonts w:cs="Times New Roman"/>
          <w:szCs w:val="23"/>
        </w:rPr>
      </w:pPr>
      <w:r w:rsidRPr="00AB1FB9">
        <w:rPr>
          <w:rFonts w:cs="Times New Roman"/>
          <w:szCs w:val="23"/>
        </w:rPr>
        <w:t>Los resultados confirman que la sobrecarga laboral en enfermería de áreas críticas no constituye un hecho aislado, sino un fenómeno multicausal que integra demanda asistencial, organización del trabajo, competencias preventivas y cultura institucional. La puntuación media del NAS, superior al umbral de 70 %, indica que el personal se encuentra expuesto a niveles altos de exigencia. Este hallazgo coincide con investigaciones que describen la carga en UCI como un predictor de agotamiento, errores, ausentismo y deterioro de la calidad del cuidado (Henao-Castaño et al., 2023; Miranda et al., 2003).</w:t>
      </w:r>
    </w:p>
    <w:p w14:paraId="20BA6149" w14:textId="77777777" w:rsidR="00AB1FB9" w:rsidRPr="00AB1FB9" w:rsidRDefault="00AB1FB9" w:rsidP="00AB1FB9">
      <w:pPr>
        <w:spacing w:before="0" w:after="0"/>
        <w:rPr>
          <w:rFonts w:cs="Times New Roman"/>
          <w:szCs w:val="23"/>
        </w:rPr>
      </w:pPr>
      <w:r w:rsidRPr="00AB1FB9">
        <w:rPr>
          <w:rFonts w:cs="Times New Roman"/>
          <w:szCs w:val="23"/>
        </w:rPr>
        <w:t>La diferencia significativa entre turnos diurno y nocturno aporta un elemento importante para la gestión. Aunque la UCI mantiene atención continua, el turno diurno suele concentrar procedimientos, coordinación interdisciplinaria, egresos, ingresos, actividades diagnósticas y demandas administrativas. Esta evidencia sugiere que la distribución del personal no debe basarse únicamente en el número de camas, sino también en la complejidad del proceso asistencial y la intensidad de actividades por turno. La estrategia educativa no sustituye decisiones de dotación, pero puede favorecer que el equipo comprenda y documente la carga de manera más objetiva.</w:t>
      </w:r>
    </w:p>
    <w:p w14:paraId="2932FFCB" w14:textId="77777777" w:rsidR="00AB1FB9" w:rsidRPr="00AB1FB9" w:rsidRDefault="00AB1FB9" w:rsidP="00AB1FB9">
      <w:pPr>
        <w:spacing w:before="0" w:after="0"/>
        <w:rPr>
          <w:rFonts w:cs="Times New Roman"/>
          <w:szCs w:val="23"/>
        </w:rPr>
      </w:pPr>
      <w:r w:rsidRPr="00AB1FB9">
        <w:rPr>
          <w:rFonts w:cs="Times New Roman"/>
          <w:szCs w:val="23"/>
        </w:rPr>
        <w:t xml:space="preserve">El nivel global de conocimientos sobre prevención de la sobrecarga fue insuficiente. La dimensión de prevención presentó el resultado más bajo, lo que revela una brecha formativa relevante. En consecuencia, la intervención propuesta no se limita a transmitir información, sino que organiza actividades prácticas para reconocer signos tempranos de </w:t>
      </w:r>
      <w:r w:rsidRPr="00AB1FB9">
        <w:rPr>
          <w:rFonts w:cs="Times New Roman"/>
          <w:szCs w:val="23"/>
        </w:rPr>
        <w:lastRenderedPageBreak/>
        <w:t>desgaste, aplicar recursos de autorregulación, gestionar prioridades y participar en espacios de mejora. Las revisiones recientes indican que las intervenciones educativas y organizacionales son más prometedoras cuando combinan contenidos sobre bienestar, habilidades de afrontamiento y cambios del entorno laboral (Cohen et al., 2023; Lee y Cha, 2023).</w:t>
      </w:r>
    </w:p>
    <w:p w14:paraId="248BD328" w14:textId="77777777" w:rsidR="00AB1FB9" w:rsidRPr="00AB1FB9" w:rsidRDefault="00AB1FB9" w:rsidP="00AB1FB9">
      <w:pPr>
        <w:spacing w:before="0" w:after="0"/>
        <w:rPr>
          <w:rFonts w:cs="Times New Roman"/>
          <w:szCs w:val="23"/>
        </w:rPr>
      </w:pPr>
      <w:r w:rsidRPr="00AB1FB9">
        <w:rPr>
          <w:rFonts w:cs="Times New Roman"/>
          <w:szCs w:val="23"/>
        </w:rPr>
        <w:t xml:space="preserve">La ausencia de actividades institucionales de bienestar emocional fue uno de los hallazgos más consistentes. Este resultado debe interpretarse con prudencia: la educación puede fortalecer competencias personales, pero la prevención efectiva requiere compromiso institucional. La World Health </w:t>
      </w:r>
      <w:proofErr w:type="spellStart"/>
      <w:r w:rsidRPr="00AB1FB9">
        <w:rPr>
          <w:rFonts w:cs="Times New Roman"/>
          <w:szCs w:val="23"/>
        </w:rPr>
        <w:t>Organization</w:t>
      </w:r>
      <w:proofErr w:type="spellEnd"/>
      <w:r w:rsidRPr="00AB1FB9">
        <w:rPr>
          <w:rFonts w:cs="Times New Roman"/>
          <w:szCs w:val="23"/>
        </w:rPr>
        <w:t xml:space="preserve"> e International </w:t>
      </w:r>
      <w:proofErr w:type="spellStart"/>
      <w:r w:rsidRPr="00AB1FB9">
        <w:rPr>
          <w:rFonts w:cs="Times New Roman"/>
          <w:szCs w:val="23"/>
        </w:rPr>
        <w:t>Labour</w:t>
      </w:r>
      <w:proofErr w:type="spellEnd"/>
      <w:r w:rsidRPr="00AB1FB9">
        <w:rPr>
          <w:rFonts w:cs="Times New Roman"/>
          <w:szCs w:val="23"/>
        </w:rPr>
        <w:t xml:space="preserve"> </w:t>
      </w:r>
      <w:proofErr w:type="spellStart"/>
      <w:r w:rsidRPr="00AB1FB9">
        <w:rPr>
          <w:rFonts w:cs="Times New Roman"/>
          <w:szCs w:val="23"/>
        </w:rPr>
        <w:t>Organization</w:t>
      </w:r>
      <w:proofErr w:type="spellEnd"/>
      <w:r w:rsidRPr="00AB1FB9">
        <w:rPr>
          <w:rFonts w:cs="Times New Roman"/>
          <w:szCs w:val="23"/>
        </w:rPr>
        <w:t xml:space="preserve"> (2022) recomiendan programas de salud y seguridad ocupacional para trabajadores sanitarios que incluyan identificación de riesgos, participación de los trabajadores, liderazgo, seguimiento y mejora continua. Por tanto, la estrategia diseñada debe incorporarse a una política de bienestar más amplia, y no entenderse como responsabilidad exclusiva del profesional.</w:t>
      </w:r>
    </w:p>
    <w:p w14:paraId="23307927" w14:textId="77777777" w:rsidR="00AB1FB9" w:rsidRPr="00AB1FB9" w:rsidRDefault="00AB1FB9" w:rsidP="00AB1FB9">
      <w:pPr>
        <w:spacing w:before="0" w:after="0"/>
        <w:rPr>
          <w:rFonts w:cs="Times New Roman"/>
          <w:szCs w:val="23"/>
        </w:rPr>
      </w:pPr>
      <w:r w:rsidRPr="00AB1FB9">
        <w:rPr>
          <w:rFonts w:cs="Times New Roman"/>
          <w:szCs w:val="23"/>
        </w:rPr>
        <w:t>El uso de la teoría de Orem fortalece la coherencia pedagógica de la propuesta. La agencia de autocuidado, en el contexto de enfermería intensiva, se expresa en la capacidad de reconocer límites, pedir apoyo, establecer pausas recuperativas, sostener hábitos saludables y participar en decisiones sobre condiciones de trabajo. Desde esta perspectiva, el autocuidado no compite con la responsabilidad asistencial, sino que la sostiene. Un profesional agotado, con baja recuperación y escaso apoyo, tiene menor capacidad para mantener vigilancia clínica, comunicación efectiva y toma de decisiones seguras (Hartweg y Metcalfe, 2022; Orem, 2001).</w:t>
      </w:r>
    </w:p>
    <w:p w14:paraId="15A49BEC" w14:textId="77777777" w:rsidR="00AB1FB9" w:rsidRPr="00AB1FB9" w:rsidRDefault="00AB1FB9" w:rsidP="00AB1FB9">
      <w:pPr>
        <w:spacing w:before="0" w:after="0"/>
        <w:rPr>
          <w:rFonts w:cs="Times New Roman"/>
          <w:szCs w:val="23"/>
        </w:rPr>
      </w:pPr>
      <w:r w:rsidRPr="00AB1FB9">
        <w:rPr>
          <w:rFonts w:cs="Times New Roman"/>
          <w:szCs w:val="23"/>
        </w:rPr>
        <w:t xml:space="preserve">La triangulación fue una fortaleza metodológica porque permitió evitar conclusiones basadas en una sola fuente. Las categorías de los grupos focales coincidieron con los resultados del cuestionario y con la revisión documental. Esta convergencia respalda la pertinencia de los ejes temáticos y aporta trazabilidad entre diagnóstico, diseño y validación. Además, el método Delphi permitió incorporar juicio experto y ajustar la duración, claridad y factibilidad de la propuesta. El cambio de 20 a 24 horas fue metodológicamente relevante, pues respondió a una recomendación fundamentada de los expertos y </w:t>
      </w:r>
      <w:r w:rsidRPr="00AB1FB9">
        <w:rPr>
          <w:rFonts w:cs="Times New Roman"/>
          <w:szCs w:val="23"/>
        </w:rPr>
        <w:lastRenderedPageBreak/>
        <w:t>aumentó la posibilidad de trabajar el eje emocional con profundidad suficiente.</w:t>
      </w:r>
    </w:p>
    <w:p w14:paraId="66FE5C89" w14:textId="77777777" w:rsidR="00AB1FB9" w:rsidRDefault="00AB1FB9" w:rsidP="00AB1FB9">
      <w:pPr>
        <w:spacing w:before="0" w:after="0"/>
        <w:rPr>
          <w:rFonts w:cs="Times New Roman"/>
          <w:szCs w:val="23"/>
        </w:rPr>
      </w:pPr>
      <w:r w:rsidRPr="00AB1FB9">
        <w:rPr>
          <w:rFonts w:cs="Times New Roman"/>
          <w:szCs w:val="23"/>
        </w:rPr>
        <w:t>Entre las limitaciones se reconoce el muestreo no probabilístico y la realización del estudio en un solo hospital, lo que restringe la generalización. Asimismo, el CC-PSL fue diseñado ad hoc, aunque se sometió a validez de contenido y prueba piloto. La estrategia fue validada en contenido y apariencia, pero aún requiere evaluación de efectividad mediante implementación piloto y medición pretest-</w:t>
      </w:r>
      <w:proofErr w:type="spellStart"/>
      <w:r w:rsidRPr="00AB1FB9">
        <w:rPr>
          <w:rFonts w:cs="Times New Roman"/>
          <w:szCs w:val="23"/>
        </w:rPr>
        <w:t>postest</w:t>
      </w:r>
      <w:proofErr w:type="spellEnd"/>
      <w:r w:rsidRPr="00AB1FB9">
        <w:rPr>
          <w:rFonts w:cs="Times New Roman"/>
          <w:szCs w:val="23"/>
        </w:rPr>
        <w:t>. Futuras investigaciones deberían valorar cambios en conocimientos, autoeficacia, indicadores de bienestar, ausentismo, rotación y calidad del cuidado, así como explorar la sostenibilidad de la estrategia en diferentes unidades críticas.</w:t>
      </w:r>
    </w:p>
    <w:p w14:paraId="4730EFA0" w14:textId="77777777" w:rsidR="00742EFC" w:rsidRPr="00AB1FB9" w:rsidRDefault="00742EFC" w:rsidP="00AB1FB9">
      <w:pPr>
        <w:spacing w:before="0" w:after="0"/>
        <w:rPr>
          <w:rFonts w:cs="Times New Roman"/>
          <w:szCs w:val="23"/>
        </w:rPr>
      </w:pPr>
    </w:p>
    <w:p w14:paraId="3B65B0A1" w14:textId="77777777" w:rsidR="00AB1FB9" w:rsidRPr="00AB1FB9" w:rsidRDefault="00AB1FB9" w:rsidP="00AB1FB9">
      <w:pPr>
        <w:spacing w:before="0" w:after="0" w:line="240" w:lineRule="auto"/>
        <w:contextualSpacing/>
        <w:jc w:val="center"/>
        <w:rPr>
          <w:rFonts w:ascii="Arial Narrow" w:hAnsi="Arial Narrow"/>
          <w:i/>
          <w:spacing w:val="0"/>
          <w:sz w:val="20"/>
          <w:szCs w:val="20"/>
          <w:lang w:val="es-ES_tradnl"/>
          <w14:numForm w14:val="default"/>
        </w:rPr>
      </w:pPr>
      <w:r w:rsidRPr="00AB1FB9">
        <w:rPr>
          <w:rFonts w:ascii="Arial Narrow" w:hAnsi="Arial Narrow"/>
          <w:b/>
          <w:spacing w:val="0"/>
          <w:sz w:val="20"/>
          <w:szCs w:val="20"/>
          <w:lang w:val="es-ES_tradnl"/>
          <w14:numForm w14:val="default"/>
        </w:rPr>
        <w:t>TABLA 4.</w:t>
      </w:r>
      <w:r w:rsidRPr="00AB1FB9">
        <w:rPr>
          <w:rFonts w:ascii="Calibri" w:hAnsi="Calibri"/>
          <w:b/>
          <w:i/>
          <w:spacing w:val="0"/>
          <w:sz w:val="20"/>
          <w:szCs w:val="20"/>
          <w:lang w:val="es-ES_tradnl"/>
          <w14:numForm w14:val="default"/>
        </w:rPr>
        <w:t xml:space="preserve"> </w:t>
      </w:r>
      <w:r w:rsidRPr="00AB1FB9">
        <w:rPr>
          <w:rFonts w:ascii="Arial Narrow" w:hAnsi="Arial Narrow"/>
          <w:i/>
          <w:spacing w:val="0"/>
          <w:sz w:val="20"/>
          <w:szCs w:val="20"/>
          <w:lang w:val="es-ES_tradnl"/>
          <w14:numForm w14:val="default"/>
        </w:rPr>
        <w:t>Resultados esenciales de la validación Delphi.</w:t>
      </w:r>
    </w:p>
    <w:p w14:paraId="4735F2B8" w14:textId="77777777" w:rsidR="00AB1FB9" w:rsidRPr="00AB1FB9" w:rsidRDefault="00AB1FB9" w:rsidP="00AB1FB9">
      <w:pPr>
        <w:spacing w:before="0" w:after="0" w:line="240" w:lineRule="auto"/>
        <w:contextualSpacing/>
        <w:jc w:val="center"/>
        <w:rPr>
          <w:rFonts w:ascii="Calibri" w:hAnsi="Calibri"/>
          <w:b/>
          <w:i/>
          <w:spacing w:val="0"/>
          <w:sz w:val="20"/>
          <w:szCs w:val="20"/>
          <w:lang w:val="es-ES_tradnl"/>
          <w14:numForm w14:val="default"/>
        </w:rPr>
      </w:pPr>
    </w:p>
    <w:tbl>
      <w:tblPr>
        <w:tblStyle w:val="TableGrid3"/>
        <w:tblW w:w="0" w:type="auto"/>
        <w:jc w:val="center"/>
        <w:tblLayout w:type="fixed"/>
        <w:tblLook w:val="04A0" w:firstRow="1" w:lastRow="0" w:firstColumn="1" w:lastColumn="0" w:noHBand="0" w:noVBand="1"/>
      </w:tblPr>
      <w:tblGrid>
        <w:gridCol w:w="1871"/>
        <w:gridCol w:w="2494"/>
        <w:gridCol w:w="2154"/>
      </w:tblGrid>
      <w:tr w:rsidR="00AB1FB9" w:rsidRPr="00AB1FB9" w14:paraId="2F81827A" w14:textId="77777777" w:rsidTr="00231CF3">
        <w:trPr>
          <w:jc w:val="center"/>
        </w:trPr>
        <w:tc>
          <w:tcPr>
            <w:tcW w:w="1871" w:type="dxa"/>
            <w:vAlign w:val="center"/>
          </w:tcPr>
          <w:p w14:paraId="7BAD5BB3" w14:textId="77777777" w:rsidR="00AB1FB9" w:rsidRPr="00AB1FB9" w:rsidRDefault="00AB1FB9" w:rsidP="00231CF3">
            <w:pPr>
              <w:spacing w:before="0" w:after="0" w:line="240" w:lineRule="auto"/>
              <w:jc w:val="left"/>
              <w:rPr>
                <w:rFonts w:ascii="Calibri" w:hAnsi="Calibri"/>
                <w:i/>
                <w:sz w:val="24"/>
              </w:rPr>
            </w:pPr>
            <w:r w:rsidRPr="00AB1FB9">
              <w:rPr>
                <w:rFonts w:ascii="Arial Narrow" w:eastAsia="Arial Narrow" w:hAnsi="Arial Narrow"/>
                <w:i/>
                <w:sz w:val="16"/>
              </w:rPr>
              <w:t>Componente</w:t>
            </w:r>
          </w:p>
        </w:tc>
        <w:tc>
          <w:tcPr>
            <w:tcW w:w="2494" w:type="dxa"/>
            <w:vAlign w:val="center"/>
          </w:tcPr>
          <w:p w14:paraId="44A3E095" w14:textId="77777777" w:rsidR="00AB1FB9" w:rsidRPr="00AB1FB9" w:rsidRDefault="00AB1FB9" w:rsidP="00231CF3">
            <w:pPr>
              <w:spacing w:before="0" w:after="0" w:line="240" w:lineRule="auto"/>
              <w:jc w:val="left"/>
              <w:rPr>
                <w:rFonts w:ascii="Calibri" w:hAnsi="Calibri"/>
                <w:i/>
                <w:sz w:val="24"/>
              </w:rPr>
            </w:pPr>
            <w:r w:rsidRPr="00AB1FB9">
              <w:rPr>
                <w:rFonts w:ascii="Arial Narrow" w:eastAsia="Arial Narrow" w:hAnsi="Arial Narrow"/>
                <w:i/>
                <w:sz w:val="16"/>
              </w:rPr>
              <w:t>Ajuste realizado</w:t>
            </w:r>
          </w:p>
        </w:tc>
        <w:tc>
          <w:tcPr>
            <w:tcW w:w="2154" w:type="dxa"/>
            <w:vAlign w:val="center"/>
          </w:tcPr>
          <w:p w14:paraId="5DEB8606" w14:textId="77777777" w:rsidR="00AB1FB9" w:rsidRPr="00AB1FB9" w:rsidRDefault="00AB1FB9" w:rsidP="00231CF3">
            <w:pPr>
              <w:spacing w:before="0" w:after="0" w:line="240" w:lineRule="auto"/>
              <w:jc w:val="left"/>
              <w:rPr>
                <w:rFonts w:ascii="Calibri" w:hAnsi="Calibri"/>
                <w:i/>
                <w:sz w:val="24"/>
              </w:rPr>
            </w:pPr>
            <w:r w:rsidRPr="00AB1FB9">
              <w:rPr>
                <w:rFonts w:ascii="Arial Narrow" w:eastAsia="Arial Narrow" w:hAnsi="Arial Narrow"/>
                <w:i/>
                <w:sz w:val="16"/>
              </w:rPr>
              <w:t>Resultado final</w:t>
            </w:r>
          </w:p>
        </w:tc>
      </w:tr>
      <w:tr w:rsidR="00AB1FB9" w:rsidRPr="00AB1FB9" w14:paraId="48E8CF97" w14:textId="77777777" w:rsidTr="00231CF3">
        <w:trPr>
          <w:jc w:val="center"/>
        </w:trPr>
        <w:tc>
          <w:tcPr>
            <w:tcW w:w="1871" w:type="dxa"/>
            <w:vAlign w:val="center"/>
          </w:tcPr>
          <w:p w14:paraId="1677442F" w14:textId="77777777" w:rsidR="00AB1FB9" w:rsidRPr="00AB1FB9" w:rsidRDefault="00AB1FB9" w:rsidP="00231CF3">
            <w:pPr>
              <w:spacing w:before="0" w:after="0" w:line="240" w:lineRule="auto"/>
              <w:jc w:val="left"/>
              <w:rPr>
                <w:rFonts w:ascii="Calibri" w:hAnsi="Calibri"/>
                <w:sz w:val="24"/>
              </w:rPr>
            </w:pPr>
            <w:r w:rsidRPr="00AB1FB9">
              <w:rPr>
                <w:rFonts w:ascii="Arial Narrow" w:eastAsia="Arial Narrow" w:hAnsi="Arial Narrow"/>
                <w:sz w:val="16"/>
              </w:rPr>
              <w:t>Claridad de contenidos</w:t>
            </w:r>
          </w:p>
        </w:tc>
        <w:tc>
          <w:tcPr>
            <w:tcW w:w="2494" w:type="dxa"/>
            <w:vAlign w:val="center"/>
          </w:tcPr>
          <w:p w14:paraId="787F8BF3" w14:textId="77777777" w:rsidR="00AB1FB9" w:rsidRPr="00AB1FB9" w:rsidRDefault="00AB1FB9" w:rsidP="00231CF3">
            <w:pPr>
              <w:spacing w:before="0" w:after="0" w:line="240" w:lineRule="auto"/>
              <w:jc w:val="left"/>
              <w:rPr>
                <w:rFonts w:ascii="Calibri" w:hAnsi="Calibri"/>
                <w:sz w:val="24"/>
              </w:rPr>
            </w:pPr>
            <w:r w:rsidRPr="00AB1FB9">
              <w:rPr>
                <w:rFonts w:ascii="Arial Narrow" w:eastAsia="Arial Narrow" w:hAnsi="Arial Narrow"/>
                <w:sz w:val="16"/>
              </w:rPr>
              <w:t>Se incorporaron ejemplos del contexto ecuatoriano.</w:t>
            </w:r>
          </w:p>
        </w:tc>
        <w:tc>
          <w:tcPr>
            <w:tcW w:w="2154" w:type="dxa"/>
            <w:vAlign w:val="center"/>
          </w:tcPr>
          <w:p w14:paraId="5028D10D" w14:textId="77777777" w:rsidR="00AB1FB9" w:rsidRPr="00AB1FB9" w:rsidRDefault="00AB1FB9" w:rsidP="00231CF3">
            <w:pPr>
              <w:spacing w:before="0" w:after="0" w:line="240" w:lineRule="auto"/>
              <w:jc w:val="left"/>
              <w:rPr>
                <w:rFonts w:ascii="Calibri" w:hAnsi="Calibri"/>
                <w:sz w:val="24"/>
              </w:rPr>
            </w:pPr>
            <w:r w:rsidRPr="00AB1FB9">
              <w:rPr>
                <w:rFonts w:ascii="Arial Narrow" w:eastAsia="Arial Narrow" w:hAnsi="Arial Narrow"/>
                <w:sz w:val="16"/>
              </w:rPr>
              <w:t>Acuerdo final: 90,9 %.</w:t>
            </w:r>
          </w:p>
        </w:tc>
      </w:tr>
      <w:tr w:rsidR="00AB1FB9" w:rsidRPr="00AB1FB9" w14:paraId="5FB413BE" w14:textId="77777777" w:rsidTr="00231CF3">
        <w:trPr>
          <w:jc w:val="center"/>
        </w:trPr>
        <w:tc>
          <w:tcPr>
            <w:tcW w:w="1871" w:type="dxa"/>
            <w:vAlign w:val="center"/>
          </w:tcPr>
          <w:p w14:paraId="2670B4F7" w14:textId="77777777" w:rsidR="00AB1FB9" w:rsidRPr="00AB1FB9" w:rsidRDefault="00AB1FB9" w:rsidP="00231CF3">
            <w:pPr>
              <w:spacing w:before="0" w:after="0" w:line="240" w:lineRule="auto"/>
              <w:jc w:val="left"/>
              <w:rPr>
                <w:rFonts w:ascii="Calibri" w:hAnsi="Calibri"/>
                <w:sz w:val="24"/>
              </w:rPr>
            </w:pPr>
            <w:r w:rsidRPr="00AB1FB9">
              <w:rPr>
                <w:rFonts w:ascii="Arial Narrow" w:eastAsia="Arial Narrow" w:hAnsi="Arial Narrow"/>
                <w:sz w:val="16"/>
              </w:rPr>
              <w:t>Duración</w:t>
            </w:r>
          </w:p>
        </w:tc>
        <w:tc>
          <w:tcPr>
            <w:tcW w:w="2494" w:type="dxa"/>
            <w:vAlign w:val="center"/>
          </w:tcPr>
          <w:p w14:paraId="4CDB2ACA" w14:textId="77777777" w:rsidR="00AB1FB9" w:rsidRPr="00AB1FB9" w:rsidRDefault="00AB1FB9" w:rsidP="00231CF3">
            <w:pPr>
              <w:spacing w:before="0" w:after="0" w:line="240" w:lineRule="auto"/>
              <w:jc w:val="left"/>
              <w:rPr>
                <w:rFonts w:ascii="Calibri" w:hAnsi="Calibri"/>
                <w:sz w:val="24"/>
              </w:rPr>
            </w:pPr>
            <w:r w:rsidRPr="00AB1FB9">
              <w:rPr>
                <w:rFonts w:ascii="Arial Narrow" w:eastAsia="Arial Narrow" w:hAnsi="Arial Narrow"/>
                <w:sz w:val="16"/>
              </w:rPr>
              <w:t>Se amplió de 20 a 24 horas académicas.</w:t>
            </w:r>
          </w:p>
        </w:tc>
        <w:tc>
          <w:tcPr>
            <w:tcW w:w="2154" w:type="dxa"/>
            <w:vAlign w:val="center"/>
          </w:tcPr>
          <w:p w14:paraId="0F057707" w14:textId="77777777" w:rsidR="00AB1FB9" w:rsidRPr="00AB1FB9" w:rsidRDefault="00AB1FB9" w:rsidP="00231CF3">
            <w:pPr>
              <w:spacing w:before="0" w:after="0" w:line="240" w:lineRule="auto"/>
              <w:jc w:val="left"/>
              <w:rPr>
                <w:rFonts w:ascii="Calibri" w:hAnsi="Calibri"/>
                <w:sz w:val="24"/>
              </w:rPr>
            </w:pPr>
            <w:r w:rsidRPr="00AB1FB9">
              <w:rPr>
                <w:rFonts w:ascii="Arial Narrow" w:eastAsia="Arial Narrow" w:hAnsi="Arial Narrow"/>
                <w:sz w:val="16"/>
              </w:rPr>
              <w:t>Acuerdo final: 100 %.</w:t>
            </w:r>
          </w:p>
        </w:tc>
      </w:tr>
      <w:tr w:rsidR="00AB1FB9" w:rsidRPr="00AB1FB9" w14:paraId="12B8E08D" w14:textId="77777777" w:rsidTr="00231CF3">
        <w:trPr>
          <w:jc w:val="center"/>
        </w:trPr>
        <w:tc>
          <w:tcPr>
            <w:tcW w:w="1871" w:type="dxa"/>
            <w:vAlign w:val="center"/>
          </w:tcPr>
          <w:p w14:paraId="1A6655D0" w14:textId="77777777" w:rsidR="00AB1FB9" w:rsidRPr="00AB1FB9" w:rsidRDefault="00AB1FB9" w:rsidP="00231CF3">
            <w:pPr>
              <w:spacing w:before="0" w:after="0" w:line="240" w:lineRule="auto"/>
              <w:jc w:val="left"/>
              <w:rPr>
                <w:rFonts w:ascii="Calibri" w:hAnsi="Calibri"/>
                <w:sz w:val="24"/>
              </w:rPr>
            </w:pPr>
            <w:r w:rsidRPr="00AB1FB9">
              <w:rPr>
                <w:rFonts w:ascii="Arial Narrow" w:eastAsia="Arial Narrow" w:hAnsi="Arial Narrow"/>
                <w:sz w:val="16"/>
              </w:rPr>
              <w:t>Bienestar emocional</w:t>
            </w:r>
          </w:p>
        </w:tc>
        <w:tc>
          <w:tcPr>
            <w:tcW w:w="2494" w:type="dxa"/>
            <w:vAlign w:val="center"/>
          </w:tcPr>
          <w:p w14:paraId="62F6D4B7" w14:textId="77777777" w:rsidR="00AB1FB9" w:rsidRPr="00AB1FB9" w:rsidRDefault="00AB1FB9" w:rsidP="00231CF3">
            <w:pPr>
              <w:spacing w:before="0" w:after="0" w:line="240" w:lineRule="auto"/>
              <w:jc w:val="left"/>
              <w:rPr>
                <w:rFonts w:ascii="Calibri" w:hAnsi="Calibri"/>
                <w:sz w:val="24"/>
              </w:rPr>
            </w:pPr>
            <w:r w:rsidRPr="00AB1FB9">
              <w:rPr>
                <w:rFonts w:ascii="Arial Narrow" w:eastAsia="Arial Narrow" w:hAnsi="Arial Narrow"/>
                <w:sz w:val="16"/>
              </w:rPr>
              <w:t>Se agregó una sesión específica para el cuarto eje.</w:t>
            </w:r>
          </w:p>
        </w:tc>
        <w:tc>
          <w:tcPr>
            <w:tcW w:w="2154" w:type="dxa"/>
            <w:vAlign w:val="center"/>
          </w:tcPr>
          <w:p w14:paraId="324B6D9D" w14:textId="77777777" w:rsidR="00AB1FB9" w:rsidRPr="00AB1FB9" w:rsidRDefault="00AB1FB9" w:rsidP="00231CF3">
            <w:pPr>
              <w:spacing w:before="0" w:after="0" w:line="240" w:lineRule="auto"/>
              <w:jc w:val="left"/>
              <w:rPr>
                <w:rFonts w:ascii="Calibri" w:hAnsi="Calibri"/>
                <w:sz w:val="24"/>
              </w:rPr>
            </w:pPr>
            <w:r w:rsidRPr="00AB1FB9">
              <w:rPr>
                <w:rFonts w:ascii="Arial Narrow" w:eastAsia="Arial Narrow" w:hAnsi="Arial Narrow"/>
                <w:sz w:val="16"/>
              </w:rPr>
              <w:t>Mejor pertinencia y profundidad.</w:t>
            </w:r>
          </w:p>
        </w:tc>
      </w:tr>
      <w:tr w:rsidR="00AB1FB9" w:rsidRPr="00AB1FB9" w14:paraId="418513DA" w14:textId="77777777" w:rsidTr="00231CF3">
        <w:trPr>
          <w:jc w:val="center"/>
        </w:trPr>
        <w:tc>
          <w:tcPr>
            <w:tcW w:w="1871" w:type="dxa"/>
            <w:vAlign w:val="center"/>
          </w:tcPr>
          <w:p w14:paraId="598B43C2" w14:textId="77777777" w:rsidR="00AB1FB9" w:rsidRPr="00AB1FB9" w:rsidRDefault="00AB1FB9" w:rsidP="00231CF3">
            <w:pPr>
              <w:spacing w:before="0" w:after="0" w:line="240" w:lineRule="auto"/>
              <w:jc w:val="left"/>
              <w:rPr>
                <w:rFonts w:ascii="Calibri" w:hAnsi="Calibri"/>
                <w:sz w:val="24"/>
              </w:rPr>
            </w:pPr>
            <w:r w:rsidRPr="00AB1FB9">
              <w:rPr>
                <w:rFonts w:ascii="Arial Narrow" w:eastAsia="Arial Narrow" w:hAnsi="Arial Narrow"/>
                <w:sz w:val="16"/>
              </w:rPr>
              <w:t>Material educativo</w:t>
            </w:r>
          </w:p>
        </w:tc>
        <w:tc>
          <w:tcPr>
            <w:tcW w:w="2494" w:type="dxa"/>
            <w:vAlign w:val="center"/>
          </w:tcPr>
          <w:p w14:paraId="4EB34EB4" w14:textId="77777777" w:rsidR="00AB1FB9" w:rsidRPr="00AB1FB9" w:rsidRDefault="00AB1FB9" w:rsidP="00231CF3">
            <w:pPr>
              <w:spacing w:before="0" w:after="0" w:line="240" w:lineRule="auto"/>
              <w:jc w:val="left"/>
              <w:rPr>
                <w:rFonts w:ascii="Calibri" w:hAnsi="Calibri"/>
                <w:sz w:val="24"/>
              </w:rPr>
            </w:pPr>
            <w:r w:rsidRPr="00AB1FB9">
              <w:rPr>
                <w:rFonts w:ascii="Arial Narrow" w:eastAsia="Arial Narrow" w:hAnsi="Arial Narrow"/>
                <w:sz w:val="16"/>
              </w:rPr>
              <w:t>Se añadió plan de autocuidado personalizado.</w:t>
            </w:r>
          </w:p>
        </w:tc>
        <w:tc>
          <w:tcPr>
            <w:tcW w:w="2154" w:type="dxa"/>
            <w:vAlign w:val="center"/>
          </w:tcPr>
          <w:p w14:paraId="4FDF3870" w14:textId="77777777" w:rsidR="00AB1FB9" w:rsidRPr="00AB1FB9" w:rsidRDefault="00AB1FB9" w:rsidP="00231CF3">
            <w:pPr>
              <w:spacing w:before="0" w:after="0" w:line="240" w:lineRule="auto"/>
              <w:jc w:val="left"/>
              <w:rPr>
                <w:rFonts w:ascii="Calibri" w:hAnsi="Calibri"/>
                <w:sz w:val="24"/>
              </w:rPr>
            </w:pPr>
            <w:r w:rsidRPr="00AB1FB9">
              <w:rPr>
                <w:rFonts w:ascii="Arial Narrow" w:eastAsia="Arial Narrow" w:hAnsi="Arial Narrow"/>
                <w:sz w:val="16"/>
              </w:rPr>
              <w:t>Mayor aplicabilidad práctica.</w:t>
            </w:r>
          </w:p>
        </w:tc>
      </w:tr>
      <w:tr w:rsidR="00AB1FB9" w:rsidRPr="00E110D1" w14:paraId="1B6D82A3" w14:textId="77777777" w:rsidTr="00231CF3">
        <w:trPr>
          <w:jc w:val="center"/>
        </w:trPr>
        <w:tc>
          <w:tcPr>
            <w:tcW w:w="1871" w:type="dxa"/>
            <w:vAlign w:val="center"/>
          </w:tcPr>
          <w:p w14:paraId="29577301" w14:textId="77777777" w:rsidR="00AB1FB9" w:rsidRPr="00AB1FB9" w:rsidRDefault="00AB1FB9" w:rsidP="00231CF3">
            <w:pPr>
              <w:spacing w:before="0" w:after="0" w:line="240" w:lineRule="auto"/>
              <w:jc w:val="left"/>
              <w:rPr>
                <w:rFonts w:ascii="Calibri" w:hAnsi="Calibri"/>
                <w:sz w:val="24"/>
              </w:rPr>
            </w:pPr>
            <w:r w:rsidRPr="00AB1FB9">
              <w:rPr>
                <w:rFonts w:ascii="Arial Narrow" w:eastAsia="Arial Narrow" w:hAnsi="Arial Narrow"/>
                <w:sz w:val="16"/>
              </w:rPr>
              <w:t>Validez global</w:t>
            </w:r>
          </w:p>
        </w:tc>
        <w:tc>
          <w:tcPr>
            <w:tcW w:w="2494" w:type="dxa"/>
            <w:vAlign w:val="center"/>
          </w:tcPr>
          <w:p w14:paraId="1AE3BAEB" w14:textId="77777777" w:rsidR="00AB1FB9" w:rsidRPr="00AB1FB9" w:rsidRDefault="00AB1FB9" w:rsidP="00231CF3">
            <w:pPr>
              <w:spacing w:before="0" w:after="0" w:line="240" w:lineRule="auto"/>
              <w:jc w:val="left"/>
              <w:rPr>
                <w:rFonts w:ascii="Calibri" w:hAnsi="Calibri"/>
                <w:sz w:val="24"/>
              </w:rPr>
            </w:pPr>
            <w:r w:rsidRPr="00AB1FB9">
              <w:rPr>
                <w:rFonts w:ascii="Arial Narrow" w:eastAsia="Arial Narrow" w:hAnsi="Arial Narrow"/>
                <w:sz w:val="16"/>
              </w:rPr>
              <w:t>Integración de recomendaciones de expertos.</w:t>
            </w:r>
          </w:p>
        </w:tc>
        <w:tc>
          <w:tcPr>
            <w:tcW w:w="2154" w:type="dxa"/>
            <w:vAlign w:val="center"/>
          </w:tcPr>
          <w:p w14:paraId="2D867CC6" w14:textId="77777777" w:rsidR="00AB1FB9" w:rsidRPr="00AB1FB9" w:rsidRDefault="00AB1FB9" w:rsidP="00231CF3">
            <w:pPr>
              <w:spacing w:before="0" w:after="0" w:line="240" w:lineRule="auto"/>
              <w:jc w:val="left"/>
              <w:rPr>
                <w:rFonts w:ascii="Calibri" w:hAnsi="Calibri"/>
                <w:sz w:val="24"/>
                <w:lang w:val="en-US"/>
              </w:rPr>
            </w:pPr>
            <w:r w:rsidRPr="00AB1FB9">
              <w:rPr>
                <w:rFonts w:ascii="Arial Narrow" w:eastAsia="Arial Narrow" w:hAnsi="Arial Narrow"/>
                <w:sz w:val="16"/>
                <w:lang w:val="en-US"/>
              </w:rPr>
              <w:t>S-CVI/Ave = 0,94; S-CVI/UA = 0,91.</w:t>
            </w:r>
          </w:p>
        </w:tc>
      </w:tr>
    </w:tbl>
    <w:p w14:paraId="53395E5C" w14:textId="77777777" w:rsidR="00AB1FB9" w:rsidRPr="00E110D1" w:rsidRDefault="00AB1FB9" w:rsidP="00AB1FB9">
      <w:pPr>
        <w:spacing w:before="0" w:after="0" w:line="240" w:lineRule="auto"/>
        <w:contextualSpacing/>
        <w:jc w:val="center"/>
        <w:rPr>
          <w:rFonts w:ascii="Arial Narrow" w:hAnsi="Arial Narrow"/>
          <w:iCs/>
          <w:spacing w:val="0"/>
          <w:sz w:val="20"/>
          <w:szCs w:val="20"/>
          <w:lang w:val="en-US"/>
          <w14:numForm w14:val="default"/>
        </w:rPr>
      </w:pPr>
    </w:p>
    <w:p w14:paraId="5AE5E3A2" w14:textId="77777777" w:rsidR="00AB1FB9" w:rsidRPr="00AB1FB9" w:rsidRDefault="00AB1FB9" w:rsidP="00AB1FB9">
      <w:pPr>
        <w:spacing w:before="0" w:after="0" w:line="240" w:lineRule="auto"/>
        <w:contextualSpacing/>
        <w:jc w:val="center"/>
        <w:rPr>
          <w:rFonts w:ascii="Arial Narrow" w:hAnsi="Arial Narrow"/>
          <w:iCs/>
          <w:spacing w:val="0"/>
          <w:sz w:val="20"/>
          <w:szCs w:val="20"/>
          <w:lang w:val="es-ES_tradnl"/>
          <w14:numForm w14:val="default"/>
        </w:rPr>
      </w:pPr>
      <w:r w:rsidRPr="00AB1FB9">
        <w:rPr>
          <w:rFonts w:ascii="Arial Narrow" w:hAnsi="Arial Narrow"/>
          <w:iCs/>
          <w:spacing w:val="0"/>
          <w:sz w:val="20"/>
          <w:szCs w:val="20"/>
          <w:lang w:val="es-ES_tradnl"/>
          <w14:numForm w14:val="default"/>
        </w:rPr>
        <w:t>Fuente: Elaboración propia a partir de los resultados del estudio.</w:t>
      </w:r>
    </w:p>
    <w:p w14:paraId="405AB37D" w14:textId="77777777" w:rsidR="00454593" w:rsidRDefault="002C5389">
      <w:pPr>
        <w:pStyle w:val="Ttulo1"/>
      </w:pPr>
      <w:r>
        <w:rPr>
          <w:caps w:val="0"/>
        </w:rPr>
        <w:t>6.</w:t>
      </w:r>
      <w:r>
        <w:t xml:space="preserve"> conclusiones </w:t>
      </w:r>
    </w:p>
    <w:p w14:paraId="72A4A2FD" w14:textId="77777777" w:rsidR="00AB1FB9" w:rsidRPr="00AB1FB9" w:rsidRDefault="00AB1FB9" w:rsidP="00AB1FB9">
      <w:pPr>
        <w:spacing w:before="0" w:after="0"/>
        <w:rPr>
          <w:rFonts w:cs="Times New Roman"/>
          <w:szCs w:val="23"/>
        </w:rPr>
      </w:pPr>
      <w:r w:rsidRPr="00AB1FB9">
        <w:rPr>
          <w:rFonts w:cs="Times New Roman"/>
          <w:szCs w:val="23"/>
        </w:rPr>
        <w:t>El diagnóstico realizado evidenció alta carga laboral objetiva en los profesionales de enfermería de la UCI, conocimientos insuficientes sobre prevención de la sobrecarga y ausencia de actividades institucionales de bienestar emocional durante el periodo analizado. Estos hallazgos confirman la necesidad de una intervención educativa contextualizada, orientada tanto al fortalecimiento de competencias individuales como a la participación del equipo en procesos de mejora organizacional.</w:t>
      </w:r>
    </w:p>
    <w:p w14:paraId="310DC949" w14:textId="77777777" w:rsidR="00AB1FB9" w:rsidRPr="00AB1FB9" w:rsidRDefault="00AB1FB9" w:rsidP="00AB1FB9">
      <w:pPr>
        <w:spacing w:before="0" w:after="0"/>
        <w:rPr>
          <w:rFonts w:cs="Times New Roman"/>
          <w:szCs w:val="23"/>
        </w:rPr>
      </w:pPr>
      <w:r w:rsidRPr="00AB1FB9">
        <w:rPr>
          <w:rFonts w:cs="Times New Roman"/>
          <w:szCs w:val="23"/>
        </w:rPr>
        <w:t xml:space="preserve">La estrategia educativa diseñada constituye una respuesta coherente con las necesidades identificadas. Su estructura de cuatro ejes y 24 </w:t>
      </w:r>
      <w:r w:rsidRPr="00AB1FB9">
        <w:rPr>
          <w:rFonts w:cs="Times New Roman"/>
          <w:szCs w:val="23"/>
        </w:rPr>
        <w:lastRenderedPageBreak/>
        <w:t>horas académicas integra comprensión del problema, medición de la carga, autocuidado profesional, regulación emocional y cultura institucional de bienestar. La validación por expertos respaldó su pertinencia, claridad y factibilidad, y permitió realizar ajustes metodológicos que incrementaron la calidad de la propuesta.</w:t>
      </w:r>
    </w:p>
    <w:p w14:paraId="78EFB548" w14:textId="77777777" w:rsidR="00454593" w:rsidRPr="00AB1FB9" w:rsidRDefault="00AB1FB9" w:rsidP="00AB1FB9">
      <w:pPr>
        <w:spacing w:before="0" w:after="0"/>
        <w:rPr>
          <w:rFonts w:cs="Times New Roman"/>
          <w:szCs w:val="23"/>
        </w:rPr>
      </w:pPr>
      <w:r w:rsidRPr="00AB1FB9">
        <w:rPr>
          <w:rFonts w:cs="Times New Roman"/>
          <w:szCs w:val="23"/>
        </w:rPr>
        <w:t>La implementación futura de la estrategia debe realizarse como experiencia piloto, con evaluación antes y después de la intervención. Esta etapa permitirá determinar su efecto sobre conocimientos, percepción de autocuidado, identificación de riesgos y prácticas preventivas. Asimismo, se recomienda articularla con políticas institucionales de dotación, reconocimiento, pausas recuperativas y seguimiento de indicadores de bienestar, para que la prevención de la sobrecarga laboral sea sostenible y no dependa únicamente de acciones formativas aisladas.</w:t>
      </w:r>
    </w:p>
    <w:p w14:paraId="1F0A7B1A" w14:textId="77777777" w:rsidR="00454593" w:rsidRDefault="002C5389">
      <w:pPr>
        <w:pStyle w:val="Ttulo1"/>
      </w:pPr>
      <w:r>
        <w:rPr>
          <w:caps w:val="0"/>
        </w:rPr>
        <w:t>7.</w:t>
      </w:r>
      <w:r>
        <w:t xml:space="preserve"> Agradecimientos/Apoyos </w:t>
      </w:r>
    </w:p>
    <w:p w14:paraId="7021564E" w14:textId="0457FA6A" w:rsidR="00AB1FB9" w:rsidRPr="00AB1FB9" w:rsidRDefault="00AB1FB9" w:rsidP="00AB1FB9">
      <w:pPr>
        <w:spacing w:before="0" w:after="0"/>
        <w:rPr>
          <w:rFonts w:cs="Times New Roman"/>
          <w:szCs w:val="23"/>
        </w:rPr>
      </w:pPr>
      <w:r w:rsidRPr="00AB1FB9">
        <w:rPr>
          <w:rFonts w:cs="Times New Roman"/>
          <w:szCs w:val="23"/>
        </w:rPr>
        <w:t>L</w:t>
      </w:r>
      <w:r w:rsidR="00E110D1">
        <w:rPr>
          <w:rFonts w:cs="Times New Roman"/>
          <w:szCs w:val="23"/>
        </w:rPr>
        <w:t>a</w:t>
      </w:r>
      <w:r w:rsidRPr="00AB1FB9">
        <w:rPr>
          <w:rFonts w:cs="Times New Roman"/>
          <w:szCs w:val="23"/>
        </w:rPr>
        <w:t xml:space="preserve"> autor</w:t>
      </w:r>
      <w:r w:rsidR="00E110D1">
        <w:rPr>
          <w:rFonts w:cs="Times New Roman"/>
          <w:szCs w:val="23"/>
        </w:rPr>
        <w:t>a</w:t>
      </w:r>
      <w:r w:rsidRPr="00AB1FB9">
        <w:rPr>
          <w:rFonts w:cs="Times New Roman"/>
          <w:szCs w:val="23"/>
        </w:rPr>
        <w:t xml:space="preserve"> agradece la colaboración de los profesionales de enfermería y directivos que participaron en el diagnóstico y en las actividades de validación. No se recibió financiación específica para el desarrollo del estudio. L</w:t>
      </w:r>
      <w:r w:rsidR="00E110D1">
        <w:rPr>
          <w:rFonts w:cs="Times New Roman"/>
          <w:szCs w:val="23"/>
        </w:rPr>
        <w:t>a autora</w:t>
      </w:r>
      <w:r w:rsidRPr="00AB1FB9">
        <w:rPr>
          <w:rFonts w:cs="Times New Roman"/>
          <w:szCs w:val="23"/>
        </w:rPr>
        <w:t xml:space="preserve"> declara no tener conflictos de intereses.</w:t>
      </w:r>
    </w:p>
    <w:p w14:paraId="49F8E193" w14:textId="77777777" w:rsidR="00454593" w:rsidRDefault="002C5389">
      <w:pPr>
        <w:pStyle w:val="Ttulo1"/>
      </w:pPr>
      <w:r>
        <w:rPr>
          <w:caps w:val="0"/>
        </w:rPr>
        <w:t>8.</w:t>
      </w:r>
      <w:r w:rsidR="00AB1FB9">
        <w:t xml:space="preserve"> Referencias</w:t>
      </w:r>
    </w:p>
    <w:p w14:paraId="6BF2AC53" w14:textId="77777777" w:rsidR="0012645C" w:rsidRPr="0012645C" w:rsidRDefault="0012645C" w:rsidP="0012645C">
      <w:pPr>
        <w:suppressAutoHyphens/>
        <w:spacing w:before="0" w:line="240" w:lineRule="auto"/>
        <w:ind w:left="425" w:hanging="425"/>
        <w:jc w:val="left"/>
        <w:rPr>
          <w:rFonts w:cs="Times New Roman"/>
          <w:spacing w:val="0"/>
          <w:sz w:val="20"/>
          <w:szCs w:val="20"/>
          <w:lang w:val="en-US"/>
          <w14:numSpacing w14:val="proportional"/>
        </w:rPr>
      </w:pPr>
      <w:r w:rsidRPr="0012645C">
        <w:rPr>
          <w:rFonts w:cs="Times New Roman"/>
          <w:spacing w:val="0"/>
          <w:sz w:val="20"/>
          <w:szCs w:val="20"/>
          <w14:numSpacing w14:val="proportional"/>
        </w:rPr>
        <w:t xml:space="preserve">Braun, V., y Clarke, V. (2006). </w:t>
      </w:r>
      <w:r w:rsidRPr="0012645C">
        <w:rPr>
          <w:rFonts w:cs="Times New Roman"/>
          <w:spacing w:val="0"/>
          <w:sz w:val="20"/>
          <w:szCs w:val="20"/>
          <w:lang w:val="en-US"/>
          <w14:numSpacing w14:val="proportional"/>
        </w:rPr>
        <w:t>Using thematic analysis in psychology. Qualitative Research in Psychology, 3(2), 77-101. https://doi.org/10.1191/1478088706qp063oa</w:t>
      </w:r>
    </w:p>
    <w:p w14:paraId="57C9E9E2" w14:textId="77777777" w:rsidR="0012645C" w:rsidRPr="0012645C" w:rsidRDefault="0012645C" w:rsidP="0012645C">
      <w:pPr>
        <w:suppressAutoHyphens/>
        <w:spacing w:before="0" w:line="240" w:lineRule="auto"/>
        <w:ind w:left="425" w:hanging="425"/>
        <w:jc w:val="left"/>
        <w:rPr>
          <w:rFonts w:cs="Times New Roman"/>
          <w:spacing w:val="0"/>
          <w:sz w:val="20"/>
          <w:szCs w:val="20"/>
          <w:lang w:val="en-US"/>
          <w14:numSpacing w14:val="proportional"/>
        </w:rPr>
      </w:pPr>
      <w:r w:rsidRPr="0012645C">
        <w:rPr>
          <w:rFonts w:cs="Times New Roman"/>
          <w:spacing w:val="0"/>
          <w:sz w:val="20"/>
          <w:szCs w:val="20"/>
          <w:lang w:val="en-US"/>
          <w14:numSpacing w14:val="proportional"/>
        </w:rPr>
        <w:t xml:space="preserve">Cohen, C., </w:t>
      </w:r>
      <w:proofErr w:type="spellStart"/>
      <w:r w:rsidRPr="0012645C">
        <w:rPr>
          <w:rFonts w:cs="Times New Roman"/>
          <w:spacing w:val="0"/>
          <w:sz w:val="20"/>
          <w:szCs w:val="20"/>
          <w:lang w:val="en-US"/>
          <w14:numSpacing w14:val="proportional"/>
        </w:rPr>
        <w:t>Pignata</w:t>
      </w:r>
      <w:proofErr w:type="spellEnd"/>
      <w:r w:rsidRPr="0012645C">
        <w:rPr>
          <w:rFonts w:cs="Times New Roman"/>
          <w:spacing w:val="0"/>
          <w:sz w:val="20"/>
          <w:szCs w:val="20"/>
          <w:lang w:val="en-US"/>
          <w14:numSpacing w14:val="proportional"/>
        </w:rPr>
        <w:t>, S., Bezak, E., Tie, M., y Childs, J. (2023). Workplace interventions to improve well-being and reduce burnout for nurses, physicians and allied healthcare professionals: A systematic review. BMJ Open, 13(6), e071203. https://doi.org/10.1136/bmjopen-2022-071203</w:t>
      </w:r>
    </w:p>
    <w:p w14:paraId="781E5525" w14:textId="77777777" w:rsidR="0012645C" w:rsidRPr="0012645C" w:rsidRDefault="0012645C" w:rsidP="0012645C">
      <w:pPr>
        <w:suppressAutoHyphens/>
        <w:spacing w:before="0" w:line="240" w:lineRule="auto"/>
        <w:ind w:left="425" w:hanging="425"/>
        <w:jc w:val="left"/>
        <w:rPr>
          <w:rFonts w:cs="Times New Roman"/>
          <w:spacing w:val="0"/>
          <w:sz w:val="20"/>
          <w:szCs w:val="20"/>
          <w:lang w:val="en-US"/>
          <w14:numSpacing w14:val="proportional"/>
        </w:rPr>
      </w:pPr>
      <w:r w:rsidRPr="0012645C">
        <w:rPr>
          <w:rFonts w:cs="Times New Roman"/>
          <w:spacing w:val="0"/>
          <w:sz w:val="20"/>
          <w:szCs w:val="20"/>
          <w:lang w:val="en-US"/>
          <w14:numSpacing w14:val="proportional"/>
        </w:rPr>
        <w:t xml:space="preserve">Creswell, J. W., y Creswell, J. D. (2023). Research design: Qualitative, quantitative, and mixed methods </w:t>
      </w:r>
      <w:proofErr w:type="gramStart"/>
      <w:r w:rsidRPr="0012645C">
        <w:rPr>
          <w:rFonts w:cs="Times New Roman"/>
          <w:spacing w:val="0"/>
          <w:sz w:val="20"/>
          <w:szCs w:val="20"/>
          <w:lang w:val="en-US"/>
          <w14:numSpacing w14:val="proportional"/>
        </w:rPr>
        <w:t>approaches</w:t>
      </w:r>
      <w:proofErr w:type="gramEnd"/>
      <w:r w:rsidRPr="0012645C">
        <w:rPr>
          <w:rFonts w:cs="Times New Roman"/>
          <w:spacing w:val="0"/>
          <w:sz w:val="20"/>
          <w:szCs w:val="20"/>
          <w:lang w:val="en-US"/>
          <w14:numSpacing w14:val="proportional"/>
        </w:rPr>
        <w:t xml:space="preserve"> (6.ª ed.). SAGE Publications.</w:t>
      </w:r>
    </w:p>
    <w:p w14:paraId="3EB568AC" w14:textId="77777777" w:rsidR="0012645C" w:rsidRPr="0012645C" w:rsidRDefault="0012645C" w:rsidP="0012645C">
      <w:pPr>
        <w:suppressAutoHyphens/>
        <w:spacing w:before="0" w:line="240" w:lineRule="auto"/>
        <w:ind w:left="425" w:hanging="425"/>
        <w:jc w:val="left"/>
        <w:rPr>
          <w:rFonts w:cs="Times New Roman"/>
          <w:spacing w:val="0"/>
          <w:sz w:val="20"/>
          <w:szCs w:val="20"/>
          <w:lang w:val="en-US"/>
          <w14:numSpacing w14:val="proportional"/>
        </w:rPr>
      </w:pPr>
      <w:proofErr w:type="spellStart"/>
      <w:r w:rsidRPr="0012645C">
        <w:rPr>
          <w:rFonts w:cs="Times New Roman"/>
          <w:spacing w:val="0"/>
          <w:sz w:val="20"/>
          <w:szCs w:val="20"/>
          <w:lang w:val="en-US"/>
          <w14:numSpacing w14:val="proportional"/>
        </w:rPr>
        <w:t>Dall'Ora</w:t>
      </w:r>
      <w:proofErr w:type="spellEnd"/>
      <w:r w:rsidRPr="0012645C">
        <w:rPr>
          <w:rFonts w:cs="Times New Roman"/>
          <w:spacing w:val="0"/>
          <w:sz w:val="20"/>
          <w:szCs w:val="20"/>
          <w:lang w:val="en-US"/>
          <w14:numSpacing w14:val="proportional"/>
        </w:rPr>
        <w:t xml:space="preserve">, C., Ball, J., </w:t>
      </w:r>
      <w:proofErr w:type="spellStart"/>
      <w:r w:rsidRPr="0012645C">
        <w:rPr>
          <w:rFonts w:cs="Times New Roman"/>
          <w:spacing w:val="0"/>
          <w:sz w:val="20"/>
          <w:szCs w:val="20"/>
          <w:lang w:val="en-US"/>
          <w14:numSpacing w14:val="proportional"/>
        </w:rPr>
        <w:t>Reinius</w:t>
      </w:r>
      <w:proofErr w:type="spellEnd"/>
      <w:r w:rsidRPr="0012645C">
        <w:rPr>
          <w:rFonts w:cs="Times New Roman"/>
          <w:spacing w:val="0"/>
          <w:sz w:val="20"/>
          <w:szCs w:val="20"/>
          <w:lang w:val="en-US"/>
          <w14:numSpacing w14:val="proportional"/>
        </w:rPr>
        <w:t>, M., y Griffiths, P. (2020). Burnout in nursing: A theoretical review. Human Resources for Health, 18, 41. https://doi.org/10.1186/s12960-020-00469-9</w:t>
      </w:r>
    </w:p>
    <w:p w14:paraId="507D6E9E" w14:textId="77777777" w:rsidR="0012645C" w:rsidRPr="0012645C" w:rsidRDefault="0012645C" w:rsidP="0012645C">
      <w:pPr>
        <w:suppressAutoHyphens/>
        <w:spacing w:before="0" w:line="240" w:lineRule="auto"/>
        <w:ind w:left="425" w:hanging="425"/>
        <w:jc w:val="left"/>
        <w:rPr>
          <w:rFonts w:cs="Times New Roman"/>
          <w:spacing w:val="0"/>
          <w:sz w:val="20"/>
          <w:szCs w:val="20"/>
          <w:lang w:val="en-US"/>
          <w14:numSpacing w14:val="proportional"/>
        </w:rPr>
      </w:pPr>
      <w:proofErr w:type="spellStart"/>
      <w:r w:rsidRPr="0012645C">
        <w:rPr>
          <w:rFonts w:cs="Times New Roman"/>
          <w:spacing w:val="0"/>
          <w:sz w:val="20"/>
          <w:szCs w:val="20"/>
          <w:lang w:val="en-US"/>
          <w14:numSpacing w14:val="proportional"/>
        </w:rPr>
        <w:lastRenderedPageBreak/>
        <w:t>Edú-Valsania</w:t>
      </w:r>
      <w:proofErr w:type="spellEnd"/>
      <w:r w:rsidRPr="0012645C">
        <w:rPr>
          <w:rFonts w:cs="Times New Roman"/>
          <w:spacing w:val="0"/>
          <w:sz w:val="20"/>
          <w:szCs w:val="20"/>
          <w:lang w:val="en-US"/>
          <w14:numSpacing w14:val="proportional"/>
        </w:rPr>
        <w:t xml:space="preserve">, S., </w:t>
      </w:r>
      <w:proofErr w:type="spellStart"/>
      <w:r w:rsidRPr="0012645C">
        <w:rPr>
          <w:rFonts w:cs="Times New Roman"/>
          <w:spacing w:val="0"/>
          <w:sz w:val="20"/>
          <w:szCs w:val="20"/>
          <w:lang w:val="en-US"/>
          <w14:numSpacing w14:val="proportional"/>
        </w:rPr>
        <w:t>Laguía</w:t>
      </w:r>
      <w:proofErr w:type="spellEnd"/>
      <w:r w:rsidRPr="0012645C">
        <w:rPr>
          <w:rFonts w:cs="Times New Roman"/>
          <w:spacing w:val="0"/>
          <w:sz w:val="20"/>
          <w:szCs w:val="20"/>
          <w:lang w:val="en-US"/>
          <w14:numSpacing w14:val="proportional"/>
        </w:rPr>
        <w:t xml:space="preserve">, A., y </w:t>
      </w:r>
      <w:proofErr w:type="spellStart"/>
      <w:r w:rsidRPr="0012645C">
        <w:rPr>
          <w:rFonts w:cs="Times New Roman"/>
          <w:spacing w:val="0"/>
          <w:sz w:val="20"/>
          <w:szCs w:val="20"/>
          <w:lang w:val="en-US"/>
          <w14:numSpacing w14:val="proportional"/>
        </w:rPr>
        <w:t>Moriano</w:t>
      </w:r>
      <w:proofErr w:type="spellEnd"/>
      <w:r w:rsidRPr="0012645C">
        <w:rPr>
          <w:rFonts w:cs="Times New Roman"/>
          <w:spacing w:val="0"/>
          <w:sz w:val="20"/>
          <w:szCs w:val="20"/>
          <w:lang w:val="en-US"/>
          <w14:numSpacing w14:val="proportional"/>
        </w:rPr>
        <w:t>, J. A. (2022). Burnout: A review of theory and measurement. International Journal of Environmental Research and Public Health, 19(3), 1780. https://doi.org/10.3390/ijerph19031780</w:t>
      </w:r>
    </w:p>
    <w:p w14:paraId="77097EF5" w14:textId="77777777" w:rsidR="0012645C" w:rsidRPr="0012645C" w:rsidRDefault="0012645C" w:rsidP="0012645C">
      <w:pPr>
        <w:suppressAutoHyphens/>
        <w:spacing w:before="0" w:line="240" w:lineRule="auto"/>
        <w:ind w:left="425" w:hanging="425"/>
        <w:jc w:val="left"/>
        <w:rPr>
          <w:rFonts w:cs="Times New Roman"/>
          <w:spacing w:val="0"/>
          <w:sz w:val="20"/>
          <w:szCs w:val="20"/>
          <w:lang w:val="en-US"/>
          <w14:numSpacing w14:val="proportional"/>
        </w:rPr>
      </w:pPr>
      <w:r w:rsidRPr="0012645C">
        <w:rPr>
          <w:rFonts w:cs="Times New Roman"/>
          <w:spacing w:val="0"/>
          <w:sz w:val="20"/>
          <w:szCs w:val="20"/>
          <w14:numSpacing w14:val="proportional"/>
        </w:rPr>
        <w:t xml:space="preserve">Galanis, P., </w:t>
      </w:r>
      <w:proofErr w:type="spellStart"/>
      <w:r w:rsidRPr="0012645C">
        <w:rPr>
          <w:rFonts w:cs="Times New Roman"/>
          <w:spacing w:val="0"/>
          <w:sz w:val="20"/>
          <w:szCs w:val="20"/>
          <w14:numSpacing w14:val="proportional"/>
        </w:rPr>
        <w:t>Vraka</w:t>
      </w:r>
      <w:proofErr w:type="spellEnd"/>
      <w:r w:rsidRPr="0012645C">
        <w:rPr>
          <w:rFonts w:cs="Times New Roman"/>
          <w:spacing w:val="0"/>
          <w:sz w:val="20"/>
          <w:szCs w:val="20"/>
          <w14:numSpacing w14:val="proportional"/>
        </w:rPr>
        <w:t xml:space="preserve">, I., Fragkou, D., Bilali, A., y </w:t>
      </w:r>
      <w:proofErr w:type="spellStart"/>
      <w:r w:rsidRPr="0012645C">
        <w:rPr>
          <w:rFonts w:cs="Times New Roman"/>
          <w:spacing w:val="0"/>
          <w:sz w:val="20"/>
          <w:szCs w:val="20"/>
          <w14:numSpacing w14:val="proportional"/>
        </w:rPr>
        <w:t>Kaitelidou</w:t>
      </w:r>
      <w:proofErr w:type="spellEnd"/>
      <w:r w:rsidRPr="0012645C">
        <w:rPr>
          <w:rFonts w:cs="Times New Roman"/>
          <w:spacing w:val="0"/>
          <w:sz w:val="20"/>
          <w:szCs w:val="20"/>
          <w14:numSpacing w14:val="proportional"/>
        </w:rPr>
        <w:t xml:space="preserve">, D. (2021). </w:t>
      </w:r>
      <w:r w:rsidRPr="0012645C">
        <w:rPr>
          <w:rFonts w:cs="Times New Roman"/>
          <w:spacing w:val="0"/>
          <w:sz w:val="20"/>
          <w:szCs w:val="20"/>
          <w:lang w:val="en-US"/>
          <w14:numSpacing w14:val="proportional"/>
        </w:rPr>
        <w:t>Nurses' burnout and associated risk factors during the COVID-19 pandemic: A systematic review and meta-analysis. Journal of Advanced Nursing, 77(8), 3286-3302. https://doi.org/10.1111/jan.14839</w:t>
      </w:r>
    </w:p>
    <w:p w14:paraId="42587BDC" w14:textId="77777777" w:rsidR="0012645C" w:rsidRPr="0012645C" w:rsidRDefault="0012645C" w:rsidP="0012645C">
      <w:pPr>
        <w:suppressAutoHyphens/>
        <w:spacing w:before="0" w:line="240" w:lineRule="auto"/>
        <w:ind w:left="425" w:hanging="425"/>
        <w:jc w:val="left"/>
        <w:rPr>
          <w:rFonts w:cs="Times New Roman"/>
          <w:spacing w:val="0"/>
          <w:sz w:val="20"/>
          <w:szCs w:val="20"/>
          <w14:numSpacing w14:val="proportional"/>
        </w:rPr>
      </w:pPr>
      <w:r w:rsidRPr="0012645C">
        <w:rPr>
          <w:rFonts w:cs="Times New Roman"/>
          <w:spacing w:val="0"/>
          <w:sz w:val="20"/>
          <w:szCs w:val="20"/>
          <w:lang w:val="en-US"/>
          <w14:numSpacing w14:val="proportional"/>
        </w:rPr>
        <w:t xml:space="preserve">Hartweg, D. L., y Metcalfe, S. A. (2022). Orem's self-care deficit nursing theory: Relevance and need for refinement. </w:t>
      </w:r>
      <w:proofErr w:type="spellStart"/>
      <w:r w:rsidRPr="0012645C">
        <w:rPr>
          <w:rFonts w:cs="Times New Roman"/>
          <w:spacing w:val="0"/>
          <w:sz w:val="20"/>
          <w:szCs w:val="20"/>
          <w14:numSpacing w14:val="proportional"/>
        </w:rPr>
        <w:t>Nursing</w:t>
      </w:r>
      <w:proofErr w:type="spellEnd"/>
      <w:r w:rsidRPr="0012645C">
        <w:rPr>
          <w:rFonts w:cs="Times New Roman"/>
          <w:spacing w:val="0"/>
          <w:sz w:val="20"/>
          <w:szCs w:val="20"/>
          <w14:numSpacing w14:val="proportional"/>
        </w:rPr>
        <w:t xml:space="preserve"> </w:t>
      </w:r>
      <w:proofErr w:type="spellStart"/>
      <w:r w:rsidRPr="0012645C">
        <w:rPr>
          <w:rFonts w:cs="Times New Roman"/>
          <w:spacing w:val="0"/>
          <w:sz w:val="20"/>
          <w:szCs w:val="20"/>
          <w14:numSpacing w14:val="proportional"/>
        </w:rPr>
        <w:t>Science</w:t>
      </w:r>
      <w:proofErr w:type="spellEnd"/>
      <w:r w:rsidRPr="0012645C">
        <w:rPr>
          <w:rFonts w:cs="Times New Roman"/>
          <w:spacing w:val="0"/>
          <w:sz w:val="20"/>
          <w:szCs w:val="20"/>
          <w14:numSpacing w14:val="proportional"/>
        </w:rPr>
        <w:t xml:space="preserve"> </w:t>
      </w:r>
      <w:proofErr w:type="spellStart"/>
      <w:r w:rsidRPr="0012645C">
        <w:rPr>
          <w:rFonts w:cs="Times New Roman"/>
          <w:spacing w:val="0"/>
          <w:sz w:val="20"/>
          <w:szCs w:val="20"/>
          <w14:numSpacing w14:val="proportional"/>
        </w:rPr>
        <w:t>Quarterly</w:t>
      </w:r>
      <w:proofErr w:type="spellEnd"/>
      <w:r w:rsidRPr="0012645C">
        <w:rPr>
          <w:rFonts w:cs="Times New Roman"/>
          <w:spacing w:val="0"/>
          <w:sz w:val="20"/>
          <w:szCs w:val="20"/>
          <w14:numSpacing w14:val="proportional"/>
        </w:rPr>
        <w:t>, 35(1), 70-76. https://doi.org/10.1177/08943184211051369</w:t>
      </w:r>
    </w:p>
    <w:p w14:paraId="57946E54" w14:textId="77777777" w:rsidR="0012645C" w:rsidRPr="0012645C" w:rsidRDefault="0012645C" w:rsidP="0012645C">
      <w:pPr>
        <w:suppressAutoHyphens/>
        <w:spacing w:before="0" w:line="240" w:lineRule="auto"/>
        <w:ind w:left="425" w:hanging="425"/>
        <w:jc w:val="left"/>
        <w:rPr>
          <w:rFonts w:cs="Times New Roman"/>
          <w:spacing w:val="0"/>
          <w:sz w:val="20"/>
          <w:szCs w:val="20"/>
          <w14:numSpacing w14:val="proportional"/>
        </w:rPr>
      </w:pPr>
      <w:r w:rsidRPr="0012645C">
        <w:rPr>
          <w:rFonts w:cs="Times New Roman"/>
          <w:spacing w:val="0"/>
          <w:sz w:val="20"/>
          <w:szCs w:val="20"/>
          <w14:numSpacing w14:val="proportional"/>
        </w:rPr>
        <w:t xml:space="preserve">Henao-Castaño, Á. M., Melo-Roa, J. D., Quintero-Osorio, J. F., y Cruz-López, L. N. (2023). Carga laboral de profesionales de enfermería en Unidad de Cuidado Intensivo según </w:t>
      </w:r>
      <w:proofErr w:type="spellStart"/>
      <w:r w:rsidRPr="0012645C">
        <w:rPr>
          <w:rFonts w:cs="Times New Roman"/>
          <w:spacing w:val="0"/>
          <w:sz w:val="20"/>
          <w:szCs w:val="20"/>
          <w14:numSpacing w14:val="proportional"/>
        </w:rPr>
        <w:t>Nursing</w:t>
      </w:r>
      <w:proofErr w:type="spellEnd"/>
      <w:r w:rsidRPr="0012645C">
        <w:rPr>
          <w:rFonts w:cs="Times New Roman"/>
          <w:spacing w:val="0"/>
          <w:sz w:val="20"/>
          <w:szCs w:val="20"/>
          <w14:numSpacing w14:val="proportional"/>
        </w:rPr>
        <w:t xml:space="preserve"> </w:t>
      </w:r>
      <w:proofErr w:type="spellStart"/>
      <w:r w:rsidRPr="0012645C">
        <w:rPr>
          <w:rFonts w:cs="Times New Roman"/>
          <w:spacing w:val="0"/>
          <w:sz w:val="20"/>
          <w:szCs w:val="20"/>
          <w14:numSpacing w14:val="proportional"/>
        </w:rPr>
        <w:t>Activities</w:t>
      </w:r>
      <w:proofErr w:type="spellEnd"/>
      <w:r w:rsidRPr="0012645C">
        <w:rPr>
          <w:rFonts w:cs="Times New Roman"/>
          <w:spacing w:val="0"/>
          <w:sz w:val="20"/>
          <w:szCs w:val="20"/>
          <w14:numSpacing w14:val="proportional"/>
        </w:rPr>
        <w:t xml:space="preserve"> Score. Revista Cuidarte, 14(1), e2680. https://doi.org/10.15649/cuidarte.2680</w:t>
      </w:r>
    </w:p>
    <w:p w14:paraId="74596A53" w14:textId="77777777" w:rsidR="0012645C" w:rsidRPr="0012645C" w:rsidRDefault="0012645C" w:rsidP="0012645C">
      <w:pPr>
        <w:suppressAutoHyphens/>
        <w:spacing w:before="0" w:line="240" w:lineRule="auto"/>
        <w:ind w:left="425" w:hanging="425"/>
        <w:jc w:val="left"/>
        <w:rPr>
          <w:rFonts w:cs="Times New Roman"/>
          <w:spacing w:val="0"/>
          <w:sz w:val="20"/>
          <w:szCs w:val="20"/>
          <w:lang w:val="en-US"/>
          <w14:numSpacing w14:val="proportional"/>
        </w:rPr>
      </w:pPr>
      <w:r w:rsidRPr="0012645C">
        <w:rPr>
          <w:rFonts w:cs="Times New Roman"/>
          <w:spacing w:val="0"/>
          <w:sz w:val="20"/>
          <w:szCs w:val="20"/>
          <w14:numSpacing w14:val="proportional"/>
        </w:rPr>
        <w:t xml:space="preserve">Lee, M., y Cha, C. (2023). </w:t>
      </w:r>
      <w:r w:rsidRPr="0012645C">
        <w:rPr>
          <w:rFonts w:cs="Times New Roman"/>
          <w:spacing w:val="0"/>
          <w:sz w:val="20"/>
          <w:szCs w:val="20"/>
          <w:lang w:val="en-US"/>
          <w14:numSpacing w14:val="proportional"/>
        </w:rPr>
        <w:t>Interventions to reduce burnout among clinical nurses: Systematic review and meta-analysis. Scientific Reports, 13, 10971. https://doi.org/10.1038/s41598-023-38169-8</w:t>
      </w:r>
    </w:p>
    <w:p w14:paraId="2550DBE1" w14:textId="77777777" w:rsidR="0012645C" w:rsidRPr="0012645C" w:rsidRDefault="0012645C" w:rsidP="0012645C">
      <w:pPr>
        <w:suppressAutoHyphens/>
        <w:spacing w:before="0" w:line="240" w:lineRule="auto"/>
        <w:ind w:left="425" w:hanging="425"/>
        <w:jc w:val="left"/>
        <w:rPr>
          <w:rFonts w:cs="Times New Roman"/>
          <w:spacing w:val="0"/>
          <w:sz w:val="20"/>
          <w:szCs w:val="20"/>
          <w:lang w:val="en-US"/>
          <w14:numSpacing w14:val="proportional"/>
        </w:rPr>
      </w:pPr>
      <w:r w:rsidRPr="0012645C">
        <w:rPr>
          <w:rFonts w:cs="Times New Roman"/>
          <w:spacing w:val="0"/>
          <w:sz w:val="20"/>
          <w:szCs w:val="20"/>
          <w:lang w:val="en-US"/>
          <w14:numSpacing w14:val="proportional"/>
        </w:rPr>
        <w:t xml:space="preserve">Miranda, D. R., Nap, R., de Rijk, A., Schaufeli, W. B., y </w:t>
      </w:r>
      <w:proofErr w:type="spellStart"/>
      <w:r w:rsidRPr="0012645C">
        <w:rPr>
          <w:rFonts w:cs="Times New Roman"/>
          <w:spacing w:val="0"/>
          <w:sz w:val="20"/>
          <w:szCs w:val="20"/>
          <w:lang w:val="en-US"/>
          <w14:numSpacing w14:val="proportional"/>
        </w:rPr>
        <w:t>Iapichino</w:t>
      </w:r>
      <w:proofErr w:type="spellEnd"/>
      <w:r w:rsidRPr="0012645C">
        <w:rPr>
          <w:rFonts w:cs="Times New Roman"/>
          <w:spacing w:val="0"/>
          <w:sz w:val="20"/>
          <w:szCs w:val="20"/>
          <w:lang w:val="en-US"/>
          <w14:numSpacing w14:val="proportional"/>
        </w:rPr>
        <w:t>, G. (2003). Nursing Activities Score. Critical Care Medicine, 31(2), 374-382. https://doi.org/10.1097/01.CCM.0000045567.78801.CC</w:t>
      </w:r>
    </w:p>
    <w:p w14:paraId="2A10059B" w14:textId="77777777" w:rsidR="0012645C" w:rsidRPr="0012645C" w:rsidRDefault="0012645C" w:rsidP="0012645C">
      <w:pPr>
        <w:suppressAutoHyphens/>
        <w:spacing w:before="0" w:line="240" w:lineRule="auto"/>
        <w:ind w:left="425" w:hanging="425"/>
        <w:jc w:val="left"/>
        <w:rPr>
          <w:rFonts w:cs="Times New Roman"/>
          <w:spacing w:val="0"/>
          <w:sz w:val="20"/>
          <w:szCs w:val="20"/>
          <w:lang w:val="en-US"/>
          <w14:numSpacing w14:val="proportional"/>
        </w:rPr>
      </w:pPr>
      <w:r w:rsidRPr="0012645C">
        <w:rPr>
          <w:rFonts w:cs="Times New Roman"/>
          <w:spacing w:val="0"/>
          <w:sz w:val="20"/>
          <w:szCs w:val="20"/>
          <w:lang w:val="en-US"/>
          <w14:numSpacing w14:val="proportional"/>
        </w:rPr>
        <w:t>Orem, D. E. (2001). Nursing: Concepts of practice (6.ª ed.). Mosby.</w:t>
      </w:r>
    </w:p>
    <w:p w14:paraId="43B3CDFF" w14:textId="77777777" w:rsidR="0012645C" w:rsidRPr="0012645C" w:rsidRDefault="0012645C" w:rsidP="0012645C">
      <w:pPr>
        <w:suppressAutoHyphens/>
        <w:spacing w:before="0" w:line="240" w:lineRule="auto"/>
        <w:ind w:left="425" w:hanging="425"/>
        <w:jc w:val="left"/>
        <w:rPr>
          <w:rFonts w:cs="Times New Roman"/>
          <w:spacing w:val="0"/>
          <w:sz w:val="20"/>
          <w:szCs w:val="20"/>
          <w:lang w:val="en-US"/>
          <w14:numSpacing w14:val="proportional"/>
        </w:rPr>
      </w:pPr>
      <w:r w:rsidRPr="0012645C">
        <w:rPr>
          <w:rFonts w:cs="Times New Roman"/>
          <w:spacing w:val="0"/>
          <w:sz w:val="20"/>
          <w:szCs w:val="20"/>
          <w:lang w:val="en-US"/>
          <w14:numSpacing w14:val="proportional"/>
        </w:rPr>
        <w:t>Polit, D. F., y Beck, C. T. (2006). The content validity index: Are you sure you know what's being reported? Critique and recommendations. Research in Nursing &amp; Health, 29(5), 489-497. https://doi.org/10.1002/nur.20147</w:t>
      </w:r>
    </w:p>
    <w:p w14:paraId="63F27C70" w14:textId="77777777" w:rsidR="0012645C" w:rsidRPr="0012645C" w:rsidRDefault="0012645C" w:rsidP="0012645C">
      <w:pPr>
        <w:suppressAutoHyphens/>
        <w:spacing w:before="0" w:line="240" w:lineRule="auto"/>
        <w:ind w:left="425" w:hanging="425"/>
        <w:jc w:val="left"/>
        <w:rPr>
          <w:rFonts w:cs="Times New Roman"/>
          <w:spacing w:val="0"/>
          <w:sz w:val="20"/>
          <w:szCs w:val="20"/>
          <w:lang w:val="en-US"/>
          <w14:numSpacing w14:val="proportional"/>
        </w:rPr>
      </w:pPr>
      <w:r w:rsidRPr="0012645C">
        <w:rPr>
          <w:rFonts w:cs="Times New Roman"/>
          <w:spacing w:val="0"/>
          <w:sz w:val="20"/>
          <w:szCs w:val="20"/>
          <w14:numSpacing w14:val="proportional"/>
        </w:rPr>
        <w:t xml:space="preserve">Ramírez-Elvira, S., Romero-Béjar, J. L., Suleiman-Martos, N., Gómez-Urquiza, J. L., Monsalve-Reyes, C., Cañadas-De la Fuente, G. A., y </w:t>
      </w:r>
      <w:proofErr w:type="spellStart"/>
      <w:r w:rsidRPr="0012645C">
        <w:rPr>
          <w:rFonts w:cs="Times New Roman"/>
          <w:spacing w:val="0"/>
          <w:sz w:val="20"/>
          <w:szCs w:val="20"/>
          <w14:numSpacing w14:val="proportional"/>
        </w:rPr>
        <w:t>Albendín</w:t>
      </w:r>
      <w:proofErr w:type="spellEnd"/>
      <w:r w:rsidRPr="0012645C">
        <w:rPr>
          <w:rFonts w:cs="Times New Roman"/>
          <w:spacing w:val="0"/>
          <w:sz w:val="20"/>
          <w:szCs w:val="20"/>
          <w14:numSpacing w14:val="proportional"/>
        </w:rPr>
        <w:t xml:space="preserve">-García, L. (2021). </w:t>
      </w:r>
      <w:r w:rsidRPr="0012645C">
        <w:rPr>
          <w:rFonts w:cs="Times New Roman"/>
          <w:spacing w:val="0"/>
          <w:sz w:val="20"/>
          <w:szCs w:val="20"/>
          <w:lang w:val="en-US"/>
          <w14:numSpacing w14:val="proportional"/>
        </w:rPr>
        <w:t>Prevalence, risk factors and burnout levels in intensive care unit nurses: A systematic review and meta-analysis. International Journal of Environmental Research and Public Health, 18(21), 11432. https://doi.org/10.3390/ijerph182111432</w:t>
      </w:r>
    </w:p>
    <w:p w14:paraId="689CB57E" w14:textId="77777777" w:rsidR="0012645C" w:rsidRPr="0012645C" w:rsidRDefault="0012645C" w:rsidP="0012645C">
      <w:pPr>
        <w:suppressAutoHyphens/>
        <w:spacing w:before="0" w:line="240" w:lineRule="auto"/>
        <w:ind w:left="425" w:hanging="425"/>
        <w:jc w:val="left"/>
        <w:rPr>
          <w:rFonts w:cs="Times New Roman"/>
          <w:spacing w:val="0"/>
          <w:sz w:val="20"/>
          <w:szCs w:val="20"/>
          <w14:numSpacing w14:val="proportional"/>
        </w:rPr>
      </w:pPr>
      <w:r w:rsidRPr="0012645C">
        <w:rPr>
          <w:rFonts w:cs="Times New Roman"/>
          <w:spacing w:val="0"/>
          <w:sz w:val="20"/>
          <w:szCs w:val="20"/>
          <w14:numSpacing w14:val="proportional"/>
        </w:rPr>
        <w:t>Rivera Salazar, G. M., Rodríguez López, J. I., Pérez Licea, R. A., y Alarcón Rivera, M. A. (2024). El burnout en el personal de salud y su prevención: Una revisión sistemática. Revista San Gregorio, 1(59), 90-98. https://doi.org/10.36097/rsan.v1i59.3022</w:t>
      </w:r>
    </w:p>
    <w:p w14:paraId="5EEB96B0" w14:textId="77777777" w:rsidR="0012645C" w:rsidRPr="0012645C" w:rsidRDefault="0012645C" w:rsidP="0012645C">
      <w:pPr>
        <w:suppressAutoHyphens/>
        <w:spacing w:before="0" w:line="240" w:lineRule="auto"/>
        <w:ind w:left="425" w:hanging="425"/>
        <w:jc w:val="left"/>
        <w:rPr>
          <w:rFonts w:cs="Times New Roman"/>
          <w:spacing w:val="0"/>
          <w:sz w:val="20"/>
          <w:szCs w:val="20"/>
          <w:lang w:val="en-US"/>
          <w14:numSpacing w14:val="proportional"/>
        </w:rPr>
      </w:pPr>
      <w:proofErr w:type="spellStart"/>
      <w:r w:rsidRPr="0012645C">
        <w:rPr>
          <w:rFonts w:cs="Times New Roman"/>
          <w:spacing w:val="0"/>
          <w:sz w:val="20"/>
          <w:szCs w:val="20"/>
          <w14:numSpacing w14:val="proportional"/>
        </w:rPr>
        <w:t>Sablatzky</w:t>
      </w:r>
      <w:proofErr w:type="spellEnd"/>
      <w:r w:rsidRPr="0012645C">
        <w:rPr>
          <w:rFonts w:cs="Times New Roman"/>
          <w:spacing w:val="0"/>
          <w:sz w:val="20"/>
          <w:szCs w:val="20"/>
          <w14:numSpacing w14:val="proportional"/>
        </w:rPr>
        <w:t xml:space="preserve">, T. (2022). </w:t>
      </w:r>
      <w:r w:rsidRPr="0012645C">
        <w:rPr>
          <w:rFonts w:cs="Times New Roman"/>
          <w:spacing w:val="0"/>
          <w:sz w:val="20"/>
          <w:szCs w:val="20"/>
          <w:lang w:val="en-US"/>
          <w14:numSpacing w14:val="proportional"/>
        </w:rPr>
        <w:t>The Delphi method. Hypothesis: Research Journal for Health Information Professionals, 34(1). https://doi.org/10.18060/26224</w:t>
      </w:r>
    </w:p>
    <w:p w14:paraId="0F00B7B4" w14:textId="77777777" w:rsidR="0012645C" w:rsidRPr="0012645C" w:rsidRDefault="0012645C" w:rsidP="0012645C">
      <w:pPr>
        <w:suppressAutoHyphens/>
        <w:spacing w:before="0" w:line="240" w:lineRule="auto"/>
        <w:ind w:left="425" w:hanging="425"/>
        <w:jc w:val="left"/>
        <w:rPr>
          <w:rFonts w:cs="Times New Roman"/>
          <w:spacing w:val="0"/>
          <w:sz w:val="20"/>
          <w:szCs w:val="20"/>
          <w:lang w:val="en-US"/>
          <w14:numSpacing w14:val="proportional"/>
        </w:rPr>
      </w:pPr>
      <w:r w:rsidRPr="0012645C">
        <w:rPr>
          <w:rFonts w:cs="Times New Roman"/>
          <w:spacing w:val="0"/>
          <w:sz w:val="20"/>
          <w:szCs w:val="20"/>
          <w:lang w:val="en-US"/>
          <w14:numSpacing w14:val="proportional"/>
        </w:rPr>
        <w:t xml:space="preserve">World Health Organization </w:t>
      </w:r>
      <w:proofErr w:type="gramStart"/>
      <w:r w:rsidRPr="0012645C">
        <w:rPr>
          <w:rFonts w:cs="Times New Roman"/>
          <w:spacing w:val="0"/>
          <w:sz w:val="20"/>
          <w:szCs w:val="20"/>
          <w:lang w:val="en-US"/>
          <w14:numSpacing w14:val="proportional"/>
        </w:rPr>
        <w:t>e</w:t>
      </w:r>
      <w:proofErr w:type="gramEnd"/>
      <w:r w:rsidRPr="0012645C">
        <w:rPr>
          <w:rFonts w:cs="Times New Roman"/>
          <w:spacing w:val="0"/>
          <w:sz w:val="20"/>
          <w:szCs w:val="20"/>
          <w:lang w:val="en-US"/>
          <w14:numSpacing w14:val="proportional"/>
        </w:rPr>
        <w:t xml:space="preserve"> International </w:t>
      </w:r>
      <w:proofErr w:type="spellStart"/>
      <w:r w:rsidRPr="0012645C">
        <w:rPr>
          <w:rFonts w:cs="Times New Roman"/>
          <w:spacing w:val="0"/>
          <w:sz w:val="20"/>
          <w:szCs w:val="20"/>
          <w:lang w:val="en-US"/>
          <w14:numSpacing w14:val="proportional"/>
        </w:rPr>
        <w:t>Labour</w:t>
      </w:r>
      <w:proofErr w:type="spellEnd"/>
      <w:r w:rsidRPr="0012645C">
        <w:rPr>
          <w:rFonts w:cs="Times New Roman"/>
          <w:spacing w:val="0"/>
          <w:sz w:val="20"/>
          <w:szCs w:val="20"/>
          <w:lang w:val="en-US"/>
          <w14:numSpacing w14:val="proportional"/>
        </w:rPr>
        <w:t xml:space="preserve"> Organization. (2022). Caring for those who care: Guide for the development and implementation of occupational health and safety </w:t>
      </w:r>
      <w:proofErr w:type="spellStart"/>
      <w:r w:rsidRPr="0012645C">
        <w:rPr>
          <w:rFonts w:cs="Times New Roman"/>
          <w:spacing w:val="0"/>
          <w:sz w:val="20"/>
          <w:szCs w:val="20"/>
          <w:lang w:val="en-US"/>
          <w14:numSpacing w14:val="proportional"/>
        </w:rPr>
        <w:t>programmes</w:t>
      </w:r>
      <w:proofErr w:type="spellEnd"/>
      <w:r w:rsidRPr="0012645C">
        <w:rPr>
          <w:rFonts w:cs="Times New Roman"/>
          <w:spacing w:val="0"/>
          <w:sz w:val="20"/>
          <w:szCs w:val="20"/>
          <w:lang w:val="en-US"/>
          <w14:numSpacing w14:val="proportional"/>
        </w:rPr>
        <w:t xml:space="preserve"> for health workers. World Health Organization. https://www.who.int/publications/i/item/9789240040779</w:t>
      </w:r>
    </w:p>
    <w:p w14:paraId="29943F19" w14:textId="77777777" w:rsidR="0012645C" w:rsidRPr="0012645C" w:rsidRDefault="0012645C" w:rsidP="0012645C">
      <w:pPr>
        <w:suppressAutoHyphens/>
        <w:spacing w:before="0" w:line="240" w:lineRule="auto"/>
        <w:ind w:left="425" w:hanging="425"/>
        <w:jc w:val="left"/>
        <w:rPr>
          <w:rFonts w:cs="Times New Roman"/>
          <w:spacing w:val="0"/>
          <w:sz w:val="20"/>
          <w:szCs w:val="20"/>
          <w14:numSpacing w14:val="proportional"/>
        </w:rPr>
      </w:pPr>
      <w:r w:rsidRPr="0012645C">
        <w:rPr>
          <w:rFonts w:cs="Times New Roman"/>
          <w:spacing w:val="0"/>
          <w:sz w:val="20"/>
          <w:szCs w:val="20"/>
          <w:lang w:val="en-US"/>
          <w14:numSpacing w14:val="proportional"/>
        </w:rPr>
        <w:lastRenderedPageBreak/>
        <w:t xml:space="preserve">World Medical Association. (2025). World Medical Association Declaration of Helsinki: Ethical principles for medical research involving human participants. </w:t>
      </w:r>
      <w:r w:rsidRPr="0012645C">
        <w:rPr>
          <w:rFonts w:cs="Times New Roman"/>
          <w:spacing w:val="0"/>
          <w:sz w:val="20"/>
          <w:szCs w:val="20"/>
          <w14:numSpacing w14:val="proportional"/>
        </w:rPr>
        <w:t>JAMA, 333(1), 71-74. https://doi.org/10.1001/jama.2024.21972</w:t>
      </w:r>
    </w:p>
    <w:p w14:paraId="3745593B" w14:textId="77777777" w:rsidR="0012645C" w:rsidRPr="0012645C" w:rsidRDefault="0012645C" w:rsidP="0012645C">
      <w:pPr>
        <w:spacing w:before="0" w:after="160" w:line="259" w:lineRule="auto"/>
        <w:jc w:val="left"/>
        <w:rPr>
          <w:rFonts w:cs="Times New Roman"/>
          <w:spacing w:val="0"/>
          <w:sz w:val="20"/>
          <w:szCs w:val="20"/>
          <w:lang w:val="en-US"/>
          <w14:numForm w14:val="default"/>
        </w:rPr>
      </w:pPr>
    </w:p>
    <w:p w14:paraId="7A7CFA48" w14:textId="77777777" w:rsidR="00454593" w:rsidRPr="0012645C" w:rsidRDefault="00454593" w:rsidP="0012645C">
      <w:pPr>
        <w:pStyle w:val="Bibliografa"/>
        <w:rPr>
          <w:rFonts w:cs="Times New Roman"/>
          <w:szCs w:val="20"/>
        </w:rPr>
      </w:pPr>
    </w:p>
    <w:sectPr w:rsidR="00454593" w:rsidRPr="0012645C">
      <w:pgSz w:w="8845" w:h="13245"/>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5EEE3" w14:textId="77777777" w:rsidR="002C5389" w:rsidRDefault="002C5389">
      <w:pPr>
        <w:spacing w:before="0" w:after="0" w:line="240" w:lineRule="auto"/>
      </w:pPr>
      <w:r>
        <w:separator/>
      </w:r>
    </w:p>
  </w:endnote>
  <w:endnote w:type="continuationSeparator" w:id="0">
    <w:p w14:paraId="65A855D7" w14:textId="77777777" w:rsidR="002C5389" w:rsidRDefault="002C53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altName w:val="Times New Roman"/>
    <w:charset w:val="00"/>
    <w:family w:val="roman"/>
    <w:pitch w:val="variable"/>
    <w:sig w:usb0="00000007" w:usb1="00000001" w:usb2="00000000" w:usb3="00000000" w:csb0="00000093"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panose1 w:val="00000000000000000000"/>
    <w:charset w:val="00"/>
    <w:family w:val="roman"/>
    <w:notTrueType/>
    <w:pitch w:val="default"/>
  </w:font>
  <w:font w:name="Segoe UI">
    <w:altName w:val="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7F97A" w14:textId="77777777" w:rsidR="002C5389" w:rsidRDefault="002C5389">
      <w:pPr>
        <w:spacing w:before="0" w:after="0" w:line="240" w:lineRule="auto"/>
      </w:pPr>
      <w:r>
        <w:separator/>
      </w:r>
    </w:p>
  </w:footnote>
  <w:footnote w:type="continuationSeparator" w:id="0">
    <w:p w14:paraId="21B2D0BE" w14:textId="77777777" w:rsidR="002C5389" w:rsidRDefault="002C538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919CA9FC"/>
    <w:lvl w:ilvl="0">
      <w:start w:val="1"/>
      <w:numFmt w:val="decimal"/>
      <w:lvlText w:val="%1."/>
      <w:lvlJc w:val="left"/>
      <w:pPr>
        <w:tabs>
          <w:tab w:val="left" w:pos="1209"/>
        </w:tabs>
        <w:ind w:left="1209" w:hanging="360"/>
      </w:pPr>
    </w:lvl>
  </w:abstractNum>
  <w:abstractNum w:abstractNumId="1" w15:restartNumberingAfterBreak="0">
    <w:nsid w:val="00000002"/>
    <w:multiLevelType w:val="singleLevel"/>
    <w:tmpl w:val="435A4684"/>
    <w:lvl w:ilvl="0">
      <w:start w:val="1"/>
      <w:numFmt w:val="decimal"/>
      <w:lvlText w:val="%1."/>
      <w:lvlJc w:val="left"/>
      <w:pPr>
        <w:tabs>
          <w:tab w:val="left" w:pos="926"/>
        </w:tabs>
        <w:ind w:left="926" w:hanging="360"/>
      </w:pPr>
    </w:lvl>
  </w:abstractNum>
  <w:abstractNum w:abstractNumId="2" w15:restartNumberingAfterBreak="0">
    <w:nsid w:val="00000003"/>
    <w:multiLevelType w:val="singleLevel"/>
    <w:tmpl w:val="545E3172"/>
    <w:lvl w:ilvl="0">
      <w:start w:val="1"/>
      <w:numFmt w:val="decimal"/>
      <w:lvlText w:val="%1."/>
      <w:lvlJc w:val="left"/>
      <w:pPr>
        <w:tabs>
          <w:tab w:val="left" w:pos="643"/>
        </w:tabs>
        <w:ind w:left="643" w:hanging="360"/>
      </w:pPr>
    </w:lvl>
  </w:abstractNum>
  <w:abstractNum w:abstractNumId="3" w15:restartNumberingAfterBreak="0">
    <w:nsid w:val="00000004"/>
    <w:multiLevelType w:val="singleLevel"/>
    <w:tmpl w:val="1F52D8B8"/>
    <w:lvl w:ilvl="0">
      <w:start w:val="1"/>
      <w:numFmt w:val="bullet"/>
      <w:lvlText w:val=""/>
      <w:lvlJc w:val="left"/>
      <w:pPr>
        <w:tabs>
          <w:tab w:val="left" w:pos="1492"/>
        </w:tabs>
        <w:ind w:left="1492" w:hanging="360"/>
      </w:pPr>
      <w:rPr>
        <w:rFonts w:ascii="Symbol" w:hAnsi="Symbol" w:hint="default"/>
      </w:rPr>
    </w:lvl>
  </w:abstractNum>
  <w:abstractNum w:abstractNumId="4" w15:restartNumberingAfterBreak="0">
    <w:nsid w:val="00000005"/>
    <w:multiLevelType w:val="singleLevel"/>
    <w:tmpl w:val="0DCE1A52"/>
    <w:lvl w:ilvl="0">
      <w:start w:val="1"/>
      <w:numFmt w:val="bullet"/>
      <w:lvlText w:val=""/>
      <w:lvlJc w:val="left"/>
      <w:pPr>
        <w:tabs>
          <w:tab w:val="left" w:pos="1209"/>
        </w:tabs>
        <w:ind w:left="1209" w:hanging="360"/>
      </w:pPr>
      <w:rPr>
        <w:rFonts w:ascii="Symbol" w:hAnsi="Symbol" w:hint="default"/>
      </w:rPr>
    </w:lvl>
  </w:abstractNum>
  <w:abstractNum w:abstractNumId="5" w15:restartNumberingAfterBreak="0">
    <w:nsid w:val="00000006"/>
    <w:multiLevelType w:val="singleLevel"/>
    <w:tmpl w:val="C51EBCDE"/>
    <w:lvl w:ilvl="0">
      <w:start w:val="1"/>
      <w:numFmt w:val="bullet"/>
      <w:lvlText w:val=""/>
      <w:lvlJc w:val="left"/>
      <w:pPr>
        <w:tabs>
          <w:tab w:val="left" w:pos="926"/>
        </w:tabs>
        <w:ind w:left="926" w:hanging="360"/>
      </w:pPr>
      <w:rPr>
        <w:rFonts w:ascii="Symbol" w:hAnsi="Symbol" w:hint="default"/>
      </w:rPr>
    </w:lvl>
  </w:abstractNum>
  <w:abstractNum w:abstractNumId="6" w15:restartNumberingAfterBreak="0">
    <w:nsid w:val="00000007"/>
    <w:multiLevelType w:val="singleLevel"/>
    <w:tmpl w:val="1F74FD2A"/>
    <w:lvl w:ilvl="0">
      <w:start w:val="1"/>
      <w:numFmt w:val="bullet"/>
      <w:lvlText w:val=""/>
      <w:lvlJc w:val="left"/>
      <w:pPr>
        <w:tabs>
          <w:tab w:val="left" w:pos="643"/>
        </w:tabs>
        <w:ind w:left="643" w:hanging="360"/>
      </w:pPr>
      <w:rPr>
        <w:rFonts w:ascii="Symbol" w:hAnsi="Symbol" w:hint="default"/>
      </w:rPr>
    </w:lvl>
  </w:abstractNum>
  <w:abstractNum w:abstractNumId="7" w15:restartNumberingAfterBreak="0">
    <w:nsid w:val="00000008"/>
    <w:multiLevelType w:val="singleLevel"/>
    <w:tmpl w:val="0E3685B8"/>
    <w:lvl w:ilvl="0">
      <w:start w:val="1"/>
      <w:numFmt w:val="decimal"/>
      <w:lvlText w:val="%1."/>
      <w:lvlJc w:val="left"/>
      <w:pPr>
        <w:tabs>
          <w:tab w:val="left" w:pos="360"/>
        </w:tabs>
        <w:ind w:left="360" w:hanging="360"/>
      </w:pPr>
    </w:lvl>
  </w:abstractNum>
  <w:abstractNum w:abstractNumId="8" w15:restartNumberingAfterBreak="0">
    <w:nsid w:val="00000009"/>
    <w:multiLevelType w:val="singleLevel"/>
    <w:tmpl w:val="D5A6DDA8"/>
    <w:lvl w:ilvl="0">
      <w:start w:val="1"/>
      <w:numFmt w:val="bullet"/>
      <w:lvlText w:val=""/>
      <w:lvlJc w:val="left"/>
      <w:pPr>
        <w:tabs>
          <w:tab w:val="left" w:pos="360"/>
        </w:tabs>
        <w:ind w:left="360" w:hanging="360"/>
      </w:pPr>
      <w:rPr>
        <w:rFonts w:ascii="Symbol" w:hAnsi="Symbol" w:hint="default"/>
      </w:rPr>
    </w:lvl>
  </w:abstractNum>
  <w:abstractNum w:abstractNumId="9" w15:restartNumberingAfterBreak="0">
    <w:nsid w:val="0000000A"/>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0000000B"/>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000000C"/>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000000D"/>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3" w15:restartNumberingAfterBreak="0">
    <w:nsid w:val="0000000E"/>
    <w:multiLevelType w:val="multilevel"/>
    <w:tmpl w:val="944CD23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14" w15:restartNumberingAfterBreak="0">
    <w:nsid w:val="0000000F"/>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00000011"/>
    <w:multiLevelType w:val="hybridMultilevel"/>
    <w:tmpl w:val="418E7506"/>
    <w:lvl w:ilvl="0" w:tplc="769CB3D4">
      <w:start w:val="1"/>
      <w:numFmt w:val="bullet"/>
      <w:lvlText w:val="-"/>
      <w:lvlJc w:val="left"/>
      <w:pPr>
        <w:ind w:left="720" w:hanging="360"/>
      </w:pPr>
      <w:rPr>
        <w:rFonts w:ascii="Adobe Garamond Pro" w:eastAsia="Calibri" w:hAnsi="Adobe Garamond Pro" w:cs="SimSu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00000013"/>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00000014"/>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00000015"/>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0000016"/>
    <w:multiLevelType w:val="multilevel"/>
    <w:tmpl w:val="FE9061B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00000017"/>
    <w:multiLevelType w:val="multilevel"/>
    <w:tmpl w:val="F25083F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23" w15:restartNumberingAfterBreak="0">
    <w:nsid w:val="0000001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0000019"/>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0000001A"/>
    <w:multiLevelType w:val="multilevel"/>
    <w:tmpl w:val="4F0E4E8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26" w15:restartNumberingAfterBreak="0">
    <w:nsid w:val="0000001B"/>
    <w:multiLevelType w:val="multilevel"/>
    <w:tmpl w:val="A176963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27" w15:restartNumberingAfterBreak="0">
    <w:nsid w:val="0000001C"/>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0000001D"/>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0000001E"/>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0000001F"/>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00000020"/>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15:restartNumberingAfterBreak="0">
    <w:nsid w:val="15DF38A5"/>
    <w:multiLevelType w:val="singleLevel"/>
    <w:tmpl w:val="B16C1660"/>
    <w:lvl w:ilvl="0">
      <w:start w:val="1"/>
      <w:numFmt w:val="decimal"/>
      <w:lvlText w:val="%1."/>
      <w:lvlJc w:val="left"/>
      <w:pPr>
        <w:tabs>
          <w:tab w:val="left" w:pos="1492"/>
        </w:tabs>
        <w:ind w:left="1492" w:hanging="360"/>
      </w:pPr>
    </w:lvl>
  </w:abstractNum>
  <w:num w:numId="1" w16cid:durableId="1815485529">
    <w:abstractNumId w:val="10"/>
  </w:num>
  <w:num w:numId="2" w16cid:durableId="1039355552">
    <w:abstractNumId w:val="12"/>
  </w:num>
  <w:num w:numId="3" w16cid:durableId="835615158">
    <w:abstractNumId w:val="29"/>
  </w:num>
  <w:num w:numId="4" w16cid:durableId="495927514">
    <w:abstractNumId w:val="31"/>
  </w:num>
  <w:num w:numId="5" w16cid:durableId="2139446827">
    <w:abstractNumId w:val="7"/>
  </w:num>
  <w:num w:numId="6" w16cid:durableId="1746872380">
    <w:abstractNumId w:val="2"/>
  </w:num>
  <w:num w:numId="7" w16cid:durableId="1943225991">
    <w:abstractNumId w:val="1"/>
  </w:num>
  <w:num w:numId="8" w16cid:durableId="103355937">
    <w:abstractNumId w:val="0"/>
  </w:num>
  <w:num w:numId="9" w16cid:durableId="2054885269">
    <w:abstractNumId w:val="32"/>
  </w:num>
  <w:num w:numId="10" w16cid:durableId="1742367521">
    <w:abstractNumId w:val="8"/>
  </w:num>
  <w:num w:numId="11" w16cid:durableId="611864117">
    <w:abstractNumId w:val="6"/>
  </w:num>
  <w:num w:numId="12" w16cid:durableId="526914702">
    <w:abstractNumId w:val="5"/>
  </w:num>
  <w:num w:numId="13" w16cid:durableId="1293292209">
    <w:abstractNumId w:val="4"/>
  </w:num>
  <w:num w:numId="14" w16cid:durableId="1708332868">
    <w:abstractNumId w:val="3"/>
  </w:num>
  <w:num w:numId="15" w16cid:durableId="544296692">
    <w:abstractNumId w:val="15"/>
  </w:num>
  <w:num w:numId="16" w16cid:durableId="349457241">
    <w:abstractNumId w:val="16"/>
  </w:num>
  <w:num w:numId="17" w16cid:durableId="103497087">
    <w:abstractNumId w:val="17"/>
  </w:num>
  <w:num w:numId="18" w16cid:durableId="711809609">
    <w:abstractNumId w:val="27"/>
  </w:num>
  <w:num w:numId="19" w16cid:durableId="222916186">
    <w:abstractNumId w:val="24"/>
  </w:num>
  <w:num w:numId="20" w16cid:durableId="1272123820">
    <w:abstractNumId w:val="9"/>
  </w:num>
  <w:num w:numId="21" w16cid:durableId="1134829721">
    <w:abstractNumId w:val="23"/>
  </w:num>
  <w:num w:numId="22" w16cid:durableId="46952204">
    <w:abstractNumId w:val="28"/>
  </w:num>
  <w:num w:numId="23" w16cid:durableId="738290937">
    <w:abstractNumId w:val="20"/>
  </w:num>
  <w:num w:numId="24" w16cid:durableId="798302227">
    <w:abstractNumId w:val="29"/>
    <w:lvlOverride w:ilvl="0">
      <w:startOverride w:val="1"/>
    </w:lvlOverride>
  </w:num>
  <w:num w:numId="25" w16cid:durableId="527644958">
    <w:abstractNumId w:val="29"/>
    <w:lvlOverride w:ilvl="0">
      <w:startOverride w:val="1"/>
    </w:lvlOverride>
  </w:num>
  <w:num w:numId="26" w16cid:durableId="1136990934">
    <w:abstractNumId w:val="11"/>
  </w:num>
  <w:num w:numId="27" w16cid:durableId="1824079613">
    <w:abstractNumId w:val="30"/>
  </w:num>
  <w:num w:numId="28" w16cid:durableId="1776250410">
    <w:abstractNumId w:val="18"/>
  </w:num>
  <w:num w:numId="29" w16cid:durableId="446655891">
    <w:abstractNumId w:val="19"/>
  </w:num>
  <w:num w:numId="30" w16cid:durableId="278994638">
    <w:abstractNumId w:val="21"/>
  </w:num>
  <w:num w:numId="31" w16cid:durableId="1331904946">
    <w:abstractNumId w:val="14"/>
  </w:num>
  <w:num w:numId="32" w16cid:durableId="1368600682">
    <w:abstractNumId w:val="22"/>
  </w:num>
  <w:num w:numId="33" w16cid:durableId="729353948">
    <w:abstractNumId w:val="13"/>
  </w:num>
  <w:num w:numId="34" w16cid:durableId="1226994644">
    <w:abstractNumId w:val="25"/>
  </w:num>
  <w:num w:numId="35" w16cid:durableId="1186482891">
    <w:abstractNumId w:val="26"/>
  </w:num>
  <w:num w:numId="36" w16cid:durableId="1514801574">
    <w:abstractNumId w:val="29"/>
    <w:lvlOverride w:ilvl="0">
      <w:startOverride w:val="1"/>
    </w:lvlOverride>
  </w:num>
  <w:num w:numId="37" w16cid:durableId="1594361522">
    <w:abstractNumId w:val="29"/>
    <w:lvlOverride w:ilvl="0">
      <w:startOverride w:val="1"/>
    </w:lvlOverride>
  </w:num>
  <w:num w:numId="38" w16cid:durableId="797794981">
    <w:abstractNumId w:val="29"/>
    <w:lvlOverride w:ilvl="0">
      <w:startOverride w:val="1"/>
    </w:lvlOverride>
  </w:num>
  <w:num w:numId="39" w16cid:durableId="1073236491">
    <w:abstractNumId w:val="31"/>
    <w:lvlOverride w:ilvl="0">
      <w:startOverride w:val="1"/>
    </w:lvlOverride>
  </w:num>
  <w:num w:numId="40" w16cid:durableId="1219824468">
    <w:abstractNumId w:val="31"/>
    <w:lvlOverride w:ilvl="0">
      <w:startOverride w:val="1"/>
    </w:lvlOverride>
  </w:num>
  <w:num w:numId="41" w16cid:durableId="63188599">
    <w:abstractNumId w:val="29"/>
    <w:lvlOverride w:ilvl="0">
      <w:startOverride w:val="1"/>
    </w:lvlOverride>
  </w:num>
  <w:num w:numId="42" w16cid:durableId="188762188">
    <w:abstractNumId w:val="31"/>
    <w:lvlOverride w:ilvl="0">
      <w:startOverride w:val="1"/>
    </w:lvlOverride>
  </w:num>
  <w:num w:numId="43" w16cid:durableId="164131387">
    <w:abstractNumId w:val="29"/>
    <w:lvlOverride w:ilvl="0">
      <w:startOverride w:val="1"/>
    </w:lvlOverride>
  </w:num>
  <w:num w:numId="44" w16cid:durableId="827207091">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593"/>
    <w:rsid w:val="0012645C"/>
    <w:rsid w:val="002159DD"/>
    <w:rsid w:val="002C5389"/>
    <w:rsid w:val="002E1535"/>
    <w:rsid w:val="003847BF"/>
    <w:rsid w:val="00454593"/>
    <w:rsid w:val="00465510"/>
    <w:rsid w:val="004D3451"/>
    <w:rsid w:val="00742EFC"/>
    <w:rsid w:val="008E48C4"/>
    <w:rsid w:val="00975E77"/>
    <w:rsid w:val="009A052F"/>
    <w:rsid w:val="009B11E5"/>
    <w:rsid w:val="00AA6753"/>
    <w:rsid w:val="00AB1FB9"/>
    <w:rsid w:val="00C246CE"/>
    <w:rsid w:val="00C86DED"/>
    <w:rsid w:val="00E110D1"/>
    <w:rsid w:val="00E636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8F0F5"/>
  <w15:docId w15:val="{767D8D76-D19D-4F24-ABE7-61BCDD31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pPr>
      <w:keepNext/>
      <w:keepLines/>
      <w:widowControl w:val="0"/>
      <w:suppressAutoHyphens/>
      <w:spacing w:before="360" w:after="200"/>
      <w:jc w:val="left"/>
      <w:outlineLvl w:val="0"/>
    </w:pPr>
    <w:rPr>
      <w:rFonts w:eastAsia="SimSun"/>
      <w:caps/>
      <w:sz w:val="24"/>
      <w:szCs w:val="32"/>
      <w:shd w:val="clear" w:color="auto" w:fill="FFFFFF"/>
      <w14:numForm w14:val="lining"/>
    </w:rPr>
  </w:style>
  <w:style w:type="paragraph" w:styleId="Ttulo2">
    <w:name w:val="heading 2"/>
    <w:basedOn w:val="Normal"/>
    <w:next w:val="Ttulo1"/>
    <w:link w:val="Ttulo2Car"/>
    <w:uiPriority w:val="5"/>
    <w:qFormat/>
    <w:pPr>
      <w:spacing w:before="240" w:after="160"/>
      <w:outlineLvl w:val="1"/>
    </w:pPr>
    <w:rPr>
      <w:smallCaps/>
      <w:szCs w:val="26"/>
      <w14:numForm w14:val="lining"/>
    </w:rPr>
  </w:style>
  <w:style w:type="paragraph" w:styleId="Ttulo3">
    <w:name w:val="heading 3"/>
    <w:basedOn w:val="Ttulo1"/>
    <w:next w:val="Normal"/>
    <w:link w:val="Ttulo3Car"/>
    <w:uiPriority w:val="6"/>
    <w:qFormat/>
    <w:pPr>
      <w:spacing w:before="240" w:after="160"/>
      <w:outlineLvl w:val="2"/>
    </w:pPr>
    <w:rPr>
      <w:caps w:val="0"/>
      <w:sz w:val="23"/>
    </w:rPr>
  </w:style>
  <w:style w:type="paragraph" w:styleId="Ttulo4">
    <w:name w:val="heading 4"/>
    <w:basedOn w:val="Ttulo3"/>
    <w:next w:val="Normal"/>
    <w:link w:val="Ttulo4Car"/>
    <w:uiPriority w:val="7"/>
    <w:qFormat/>
    <w:pPr>
      <w:outlineLvl w:val="3"/>
    </w:pPr>
  </w:style>
  <w:style w:type="paragraph" w:styleId="Ttulo5">
    <w:name w:val="heading 5"/>
    <w:basedOn w:val="Normal"/>
    <w:next w:val="Normal"/>
    <w:link w:val="Ttulo5Car"/>
    <w:uiPriority w:val="99"/>
    <w:pPr>
      <w:keepNext/>
      <w:keepLines/>
      <w:spacing w:after="0"/>
      <w:outlineLvl w:val="4"/>
    </w:pPr>
    <w:rPr>
      <w:rFonts w:ascii="Calibri Light" w:eastAsia="SimSun" w:hAnsi="Calibri Light"/>
      <w:color w:val="2F549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Pr>
      <w:rFonts w:ascii="Times New Roman" w:eastAsia="SimSun" w:hAnsi="Times New Roman" w:cs="SimSun"/>
      <w:caps/>
      <w:spacing w:val="1"/>
      <w:sz w:val="24"/>
      <w:szCs w:val="32"/>
      <w14:numForm w14:val="lining"/>
    </w:rPr>
  </w:style>
  <w:style w:type="character" w:customStyle="1" w:styleId="Ttulo2Car">
    <w:name w:val="Título 2 Car"/>
    <w:basedOn w:val="Fuentedeprrafopredeter"/>
    <w:link w:val="Ttulo2"/>
    <w:uiPriority w:val="5"/>
    <w:qFormat/>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Pr>
      <w:rFonts w:ascii="Times New Roman" w:eastAsia="SimSun" w:hAnsi="Times New Roman" w:cs="SimSun"/>
      <w:spacing w:val="1"/>
      <w:sz w:val="23"/>
      <w:szCs w:val="32"/>
      <w14:numForm w14:val="oldStyle"/>
    </w:rPr>
  </w:style>
  <w:style w:type="character" w:customStyle="1" w:styleId="Ttulo5Car">
    <w:name w:val="Título 5 Car"/>
    <w:basedOn w:val="Fuentedeprrafopredeter"/>
    <w:link w:val="Ttulo5"/>
    <w:uiPriority w:val="99"/>
    <w:rPr>
      <w:rFonts w:ascii="Calibri Light" w:eastAsia="SimSun" w:hAnsi="Calibri Light" w:cs="SimSun"/>
      <w:color w:val="2F5496"/>
      <w:spacing w:val="1"/>
      <w:sz w:val="23"/>
      <w14:numForm w14:val="oldStyle"/>
    </w:rPr>
  </w:style>
  <w:style w:type="paragraph" w:customStyle="1" w:styleId="Captulo">
    <w:name w:val="Capítulo"/>
    <w:basedOn w:val="Normal"/>
    <w:next w:val="TtCap"/>
    <w:qFormat/>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pPr>
      <w:spacing w:line="264" w:lineRule="auto"/>
    </w:pPr>
    <w:rPr>
      <w:rFonts w:cs="Calibri"/>
      <w:sz w:val="19"/>
      <w:szCs w:val="19"/>
      <w14:ligatures w14:val="all"/>
    </w:rPr>
  </w:style>
  <w:style w:type="character" w:customStyle="1" w:styleId="Ttulo3Car">
    <w:name w:val="Título 3 Car"/>
    <w:basedOn w:val="Fuentedeprrafopredeter"/>
    <w:link w:val="Ttulo3"/>
    <w:uiPriority w:val="6"/>
    <w:rPr>
      <w:rFonts w:ascii="Times New Roman" w:eastAsia="SimSun" w:hAnsi="Times New Roman" w:cs="SimSun"/>
      <w:spacing w:val="1"/>
      <w:sz w:val="23"/>
      <w:szCs w:val="32"/>
      <w14:numForm w14:val="lining"/>
    </w:rPr>
  </w:style>
  <w:style w:type="paragraph" w:customStyle="1" w:styleId="Citalarga">
    <w:name w:val="Cita larga"/>
    <w:basedOn w:val="Normal"/>
    <w:uiPriority w:val="9"/>
    <w:qFormat/>
    <w:pPr>
      <w:spacing w:before="160" w:after="160" w:line="240" w:lineRule="auto"/>
      <w:ind w:left="851"/>
    </w:pPr>
    <w:rPr>
      <w:sz w:val="20"/>
      <w:szCs w:val="21"/>
    </w:rPr>
  </w:style>
  <w:style w:type="paragraph" w:styleId="Textonotapie">
    <w:name w:val="footnote text"/>
    <w:basedOn w:val="Normal"/>
    <w:link w:val="TextonotapieCar"/>
    <w:uiPriority w:val="99"/>
    <w:pPr>
      <w:spacing w:after="0" w:line="240" w:lineRule="auto"/>
    </w:pPr>
    <w:rPr>
      <w:sz w:val="20"/>
      <w:szCs w:val="20"/>
    </w:rPr>
  </w:style>
  <w:style w:type="character" w:customStyle="1" w:styleId="TextonotapieCar">
    <w:name w:val="Texto nota pie Car"/>
    <w:basedOn w:val="Fuentedeprrafopredeter"/>
    <w:link w:val="Textonotapie"/>
    <w:uiPriority w:val="99"/>
    <w:rPr>
      <w:rFonts w:ascii="Times New Roman" w:hAnsi="Times New Roman"/>
      <w:spacing w:val="1"/>
      <w:sz w:val="20"/>
      <w:szCs w:val="20"/>
      <w14:numForm w14:val="oldStyle"/>
    </w:rPr>
  </w:style>
  <w:style w:type="character" w:styleId="Refdenotaalpie">
    <w:name w:val="footnote reference"/>
    <w:basedOn w:val="Fuentedeprrafopredeter"/>
    <w:uiPriority w:val="99"/>
    <w:rPr>
      <w:vertAlign w:val="superscript"/>
    </w:rPr>
  </w:style>
  <w:style w:type="paragraph" w:customStyle="1" w:styleId="Notaalpie">
    <w:name w:val="Nota al pie"/>
    <w:basedOn w:val="Textonotapie"/>
    <w:link w:val="NotaalpieCar"/>
    <w:uiPriority w:val="14"/>
    <w:qFormat/>
    <w:pPr>
      <w:spacing w:after="60"/>
      <w:jc w:val="left"/>
    </w:pPr>
    <w:rPr>
      <w:rFonts w:ascii="Arial Narrow" w:hAnsi="Arial Narrow"/>
      <w:sz w:val="19"/>
    </w:rPr>
  </w:style>
  <w:style w:type="paragraph" w:styleId="Bibliografa">
    <w:name w:val="Bibliography"/>
    <w:basedOn w:val="Normal"/>
    <w:next w:val="Normal"/>
    <w:link w:val="BibliografaCar"/>
    <w:uiPriority w:val="18"/>
    <w:qFormat/>
    <w:pPr>
      <w:suppressAutoHyphens/>
      <w:spacing w:before="120" w:line="240" w:lineRule="atLeast"/>
      <w:ind w:left="709" w:hanging="709"/>
      <w:jc w:val="left"/>
    </w:pPr>
    <w:rPr>
      <w:rFonts w:cs="Arial"/>
      <w:spacing w:val="0"/>
      <w:sz w:val="20"/>
      <w14:numSpacing w14:val="proportional"/>
    </w:rPr>
  </w:style>
  <w:style w:type="character" w:customStyle="1" w:styleId="BibliografaCar">
    <w:name w:val="Bibliografía Car"/>
    <w:basedOn w:val="Fuentedeprrafopredeter"/>
    <w:link w:val="Bibliografa"/>
    <w:uiPriority w:val="18"/>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pPr>
      <w:numPr>
        <w:numId w:val="1"/>
      </w:numPr>
    </w:pPr>
  </w:style>
  <w:style w:type="paragraph" w:customStyle="1" w:styleId="Listadoajustado">
    <w:name w:val="Listado ajustado"/>
    <w:basedOn w:val="Normal"/>
    <w:link w:val="ListadoajustadoCar"/>
    <w:uiPriority w:val="11"/>
    <w:qFormat/>
    <w:pPr>
      <w:numPr>
        <w:numId w:val="2"/>
      </w:numPr>
      <w:spacing w:after="160"/>
      <w:ind w:left="851" w:hanging="284"/>
      <w:contextualSpacing/>
    </w:pPr>
  </w:style>
  <w:style w:type="paragraph" w:customStyle="1" w:styleId="Listado">
    <w:name w:val="Listado"/>
    <w:basedOn w:val="Listadoajustado"/>
    <w:uiPriority w:val="10"/>
    <w:qFormat/>
    <w:pPr>
      <w:contextualSpacing w:val="0"/>
    </w:pPr>
  </w:style>
  <w:style w:type="character" w:customStyle="1" w:styleId="ListadoajustadoCar">
    <w:name w:val="Listado ajustado Car"/>
    <w:basedOn w:val="BibliografaCar"/>
    <w:link w:val="Listadoajustado"/>
    <w:uiPriority w:val="11"/>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Pr>
      <w:b/>
      <w:caps w:val="0"/>
      <w:smallCaps w:val="0"/>
    </w:rPr>
  </w:style>
  <w:style w:type="table" w:styleId="Tablaconcuadrcula">
    <w:name w:val="Table Grid"/>
    <w:basedOn w:val="Tablanormal"/>
    <w:uiPriority w:val="59"/>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rPr>
      <w:rFonts w:ascii="Arial Narrow" w:hAnsi="Arial Narrow" w:cs="Arial"/>
      <w:sz w:val="18"/>
      <w:szCs w:val="16"/>
    </w:rPr>
  </w:style>
  <w:style w:type="paragraph" w:customStyle="1" w:styleId="Figuras">
    <w:name w:val="Figuras"/>
    <w:basedOn w:val="Notaalpie"/>
    <w:link w:val="FigurasCar"/>
    <w:uiPriority w:val="16"/>
    <w:qFormat/>
    <w:pPr>
      <w:spacing w:before="280" w:after="240" w:line="240" w:lineRule="atLeast"/>
      <w:contextualSpacing/>
      <w:jc w:val="both"/>
    </w:pPr>
    <w:rPr>
      <w:i/>
      <w:spacing w:val="0"/>
      <w:sz w:val="20"/>
      <w:lang w:val="es-ES_tradnl"/>
      <w14:numForm w14:val="default"/>
    </w:rPr>
  </w:style>
  <w:style w:type="table" w:customStyle="1" w:styleId="TableGridLight1">
    <w:name w:val="Table Grid Light1"/>
    <w:basedOn w:val="Tablanormal"/>
    <w:uiPriority w:val="4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absica1"/>
    <w:uiPriority w:val="42"/>
    <w:pPr>
      <w:spacing w:after="0" w:line="240" w:lineRule="auto"/>
    </w:pPr>
    <w:rPr>
      <w:rFonts w:ascii="Arial Narrow" w:hAnsi="Arial Narrow"/>
      <w:sz w:val="18"/>
      <w:szCs w:val="20"/>
      <w:lang w:val="en-US" w:eastAsia="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l2br w:val="none" w:sz="0" w:space="0" w:color="auto"/>
          <w:tr2bl w:val="none" w:sz="0" w:space="0" w:color="auto"/>
        </w:tcBorders>
      </w:tcPr>
    </w:tblStylePr>
    <w:tblStylePr w:type="lastRow">
      <w:rPr>
        <w:b/>
        <w:bCs/>
      </w:rPr>
      <w:tblPr/>
      <w:tcPr>
        <w:tcBorders>
          <w:top w:val="single" w:sz="4" w:space="0" w:color="7F7F7F"/>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anormal"/>
    <w:uiPriority w:val="43"/>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jc w:val="center"/>
    </w:trPr>
    <w:tcPr>
      <w:tcMar>
        <w:top w:w="28" w:type="dxa"/>
        <w:left w:w="28" w:type="dxa"/>
        <w:bottom w:w="28" w:type="dxa"/>
        <w:right w:w="28" w:type="dxa"/>
      </w:tcMar>
      <w:vAlign w:val="center"/>
    </w:tcPr>
  </w:style>
  <w:style w:type="paragraph" w:customStyle="1" w:styleId="Tablatexto">
    <w:name w:val="Tabla_texto"/>
    <w:basedOn w:val="tablas"/>
    <w:uiPriority w:val="99"/>
    <w:pPr>
      <w:widowControl w:val="0"/>
      <w:contextualSpacing/>
    </w:pPr>
    <w:rPr>
      <w:sz w:val="20"/>
      <w:szCs w:val="20"/>
    </w:rPr>
  </w:style>
  <w:style w:type="paragraph" w:styleId="Prrafodelista">
    <w:name w:val="List Paragraph"/>
    <w:basedOn w:val="Normal"/>
    <w:link w:val="PrrafodelistaCar"/>
    <w:uiPriority w:val="99"/>
    <w:pPr>
      <w:ind w:left="720"/>
      <w:contextualSpacing/>
    </w:pPr>
  </w:style>
  <w:style w:type="paragraph" w:customStyle="1" w:styleId="Listadonmeros">
    <w:name w:val="Listado números"/>
    <w:basedOn w:val="Prrafodelista"/>
    <w:link w:val="ListadonmerosCar"/>
    <w:uiPriority w:val="12"/>
    <w:qFormat/>
    <w:pPr>
      <w:numPr>
        <w:numId w:val="3"/>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Pr>
      <w:rFonts w:ascii="Times New Roman" w:hAnsi="Times New Roman"/>
      <w:spacing w:val="1"/>
      <w:sz w:val="23"/>
      <w14:numForm w14:val="lining"/>
    </w:rPr>
  </w:style>
  <w:style w:type="paragraph" w:customStyle="1" w:styleId="Fuente">
    <w:name w:val="Fuente"/>
    <w:basedOn w:val="Figuras"/>
    <w:link w:val="FuenteCar"/>
    <w:uiPriority w:val="15"/>
    <w:qFormat/>
    <w:pPr>
      <w:spacing w:before="80"/>
      <w:jc w:val="center"/>
    </w:pPr>
    <w:rPr>
      <w:i w:val="0"/>
      <w:iCs/>
    </w:rPr>
  </w:style>
  <w:style w:type="character" w:styleId="Hipervnculo">
    <w:name w:val="Hyperlink"/>
    <w:basedOn w:val="Fuentedeprrafopredeter"/>
    <w:uiPriority w:val="99"/>
    <w:rPr>
      <w:color w:val="0563C1"/>
      <w:u w:val="single"/>
    </w:rPr>
  </w:style>
  <w:style w:type="character" w:customStyle="1" w:styleId="NotaalpieCar">
    <w:name w:val="Nota al pie Car"/>
    <w:basedOn w:val="TextonotapieCar"/>
    <w:link w:val="Notaalpie"/>
    <w:uiPriority w:val="14"/>
    <w:rPr>
      <w:rFonts w:ascii="Arial Narrow" w:hAnsi="Arial Narrow"/>
      <w:spacing w:val="1"/>
      <w:sz w:val="19"/>
      <w:szCs w:val="20"/>
      <w14:numForm w14:val="oldStyle"/>
    </w:rPr>
  </w:style>
  <w:style w:type="character" w:customStyle="1" w:styleId="FigurasCar">
    <w:name w:val="Figuras Car"/>
    <w:basedOn w:val="NotaalpieCar"/>
    <w:link w:val="Figuras"/>
    <w:uiPriority w:val="1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rPr>
      <w:color w:val="605E5C"/>
      <w:shd w:val="clear" w:color="auto" w:fill="E1DFDD"/>
    </w:rPr>
  </w:style>
  <w:style w:type="character" w:styleId="Fuerte">
    <w:name w:val="Strong"/>
    <w:basedOn w:val="Fuentedeprrafopredeter"/>
    <w:uiPriority w:val="99"/>
    <w:rPr>
      <w:b/>
      <w:bCs/>
    </w:rPr>
  </w:style>
  <w:style w:type="paragraph" w:styleId="Textoindependiente">
    <w:name w:val="Body Text"/>
    <w:basedOn w:val="Normal"/>
    <w:link w:val="TextoindependienteCar"/>
    <w:uiPriority w:val="99"/>
    <w:pPr>
      <w:suppressAutoHyphens/>
      <w:spacing w:before="0" w:line="251"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qFormat/>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rPr>
      <w:caps w:val="0"/>
      <w:smallCaps/>
    </w:rPr>
  </w:style>
  <w:style w:type="paragraph" w:customStyle="1" w:styleId="Listadoletras">
    <w:name w:val="Listado letras"/>
    <w:basedOn w:val="Listadonmeros"/>
    <w:link w:val="ListadoletrasCar"/>
    <w:uiPriority w:val="13"/>
    <w:qFormat/>
    <w:pPr>
      <w:numPr>
        <w:numId w:val="4"/>
      </w:numPr>
      <w:ind w:left="851" w:hanging="284"/>
    </w:pPr>
  </w:style>
  <w:style w:type="character" w:customStyle="1" w:styleId="ListadoletrasCar">
    <w:name w:val="Listado letras Car"/>
    <w:basedOn w:val="ListadonmerosCar"/>
    <w:link w:val="Listadoletras"/>
    <w:uiPriority w:val="13"/>
    <w:rPr>
      <w:rFonts w:ascii="Times New Roman" w:hAnsi="Times New Roman"/>
      <w:spacing w:val="1"/>
      <w:sz w:val="23"/>
      <w14:numForm w14:val="lining"/>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pPr>
      <w:spacing w:line="240" w:lineRule="auto"/>
    </w:pPr>
    <w:rPr>
      <w:sz w:val="20"/>
      <w:szCs w:val="20"/>
    </w:rPr>
  </w:style>
  <w:style w:type="character" w:customStyle="1" w:styleId="TextocomentarioCar">
    <w:name w:val="Texto comentario Car"/>
    <w:basedOn w:val="Fuentedeprrafopredeter"/>
    <w:link w:val="Textocomentario"/>
    <w:uiPriority w:val="99"/>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basedOn w:val="TextocomentarioCar"/>
    <w:link w:val="Asuntodelcomentario"/>
    <w:uiPriority w:val="99"/>
    <w:rPr>
      <w:rFonts w:ascii="Times New Roman" w:hAnsi="Times New Roman"/>
      <w:b/>
      <w:bCs/>
      <w:spacing w:val="1"/>
      <w:sz w:val="20"/>
      <w:szCs w:val="20"/>
      <w14:numForm w14:val="oldStyle"/>
    </w:rPr>
  </w:style>
  <w:style w:type="paragraph" w:styleId="Textodeglobo">
    <w:name w:val="Balloon Text"/>
    <w:basedOn w:val="Normal"/>
    <w:link w:val="TextodegloboCar"/>
    <w:uiPriority w:val="99"/>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Pr>
      <w:rFonts w:ascii="Segoe UI" w:hAnsi="Segoe UI" w:cs="Segoe UI"/>
      <w:spacing w:val="1"/>
      <w:sz w:val="18"/>
      <w:szCs w:val="18"/>
      <w14:numForm w14:val="oldStyle"/>
    </w:rPr>
  </w:style>
  <w:style w:type="paragraph" w:customStyle="1" w:styleId="Nmerofigura">
    <w:name w:val="Número figura"/>
    <w:basedOn w:val="Figuras"/>
    <w:link w:val="NmerofiguraCar"/>
    <w:uiPriority w:val="8"/>
    <w:rPr>
      <w:b/>
      <w:bCs/>
      <w:i w:val="0"/>
      <w:iCs/>
    </w:rPr>
  </w:style>
  <w:style w:type="character" w:customStyle="1" w:styleId="Mencinsinresolver2">
    <w:name w:val="Mención sin resolver2"/>
    <w:basedOn w:val="Fuentedeprrafopredeter"/>
    <w:uiPriority w:val="99"/>
    <w:rPr>
      <w:color w:val="605E5C"/>
      <w:shd w:val="clear" w:color="auto" w:fill="E1DFDD"/>
    </w:rPr>
  </w:style>
  <w:style w:type="character" w:customStyle="1" w:styleId="NmerofiguraCar">
    <w:name w:val="Número figura Car"/>
    <w:basedOn w:val="FigurasCar"/>
    <w:link w:val="Nmerofigura"/>
    <w:uiPriority w:val="8"/>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rPr>
      <w:color w:val="954F72"/>
      <w:u w:val="single"/>
    </w:rPr>
  </w:style>
  <w:style w:type="table" w:customStyle="1" w:styleId="TableGrid1">
    <w:name w:val="Table Grid1"/>
    <w:basedOn w:val="Tablanormal"/>
    <w:next w:val="Tablaconcuadrcula"/>
    <w:uiPriority w:val="59"/>
    <w:rsid w:val="00AA6753"/>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anormal"/>
    <w:next w:val="Tablaconcuadrcula"/>
    <w:uiPriority w:val="59"/>
    <w:rsid w:val="00E6360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next w:val="Tablaconcuadrcula"/>
    <w:uiPriority w:val="59"/>
    <w:rsid w:val="00AB1FB9"/>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1E5A9-B930-4C09-AC6B-EED6C2205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4436</Words>
  <Characters>24400</Characters>
  <Application>Microsoft Office Word</Application>
  <DocSecurity>0</DocSecurity>
  <Lines>203</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EGREGIUS</Manager>
  <Company>EG-DYKINSON</Company>
  <LinksUpToDate>false</LinksUpToDate>
  <CharactersWithSpaces>28779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Asunto</dc:subject>
  <dc:creator>Egregius</dc:creator>
  <cp:keywords>Etiqueta</cp:keywords>
  <cp:lastModifiedBy>Lcda. Geny Rivera</cp:lastModifiedBy>
  <cp:revision>2</cp:revision>
  <cp:lastPrinted>2026-07-17T00:59:00Z</cp:lastPrinted>
  <dcterms:created xsi:type="dcterms:W3CDTF">2026-07-17T01:17:00Z</dcterms:created>
  <dcterms:modified xsi:type="dcterms:W3CDTF">2026-07-17T01:17:00Z</dcterms:modified>
  <cp:category>Categoria</cp:category>
  <cp:contentStatus>Estado</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55f520d5b18f455cadbfcb1551401e8f</vt:lpwstr>
  </property>
  <property fmtid="{D5CDD505-2E9C-101B-9397-08002B2CF9AE}" pid="3" name="GrammarlyDocumentId">
    <vt:lpwstr>a3f33491-601f-4768-91ba-8877c2973492</vt:lpwstr>
  </property>
</Properties>
</file>