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084B5" w14:textId="1F684E09" w:rsidR="001348A0" w:rsidRPr="0070242F" w:rsidRDefault="001348A0" w:rsidP="001348A0">
      <w:pPr>
        <w:pStyle w:val="Captulo"/>
        <w:rPr>
          <w:color w:val="auto"/>
        </w:rPr>
      </w:pPr>
    </w:p>
    <w:p w14:paraId="35E50183" w14:textId="0AAB4EED" w:rsidR="00FD37D7" w:rsidRPr="00FD37D7" w:rsidRDefault="00992C89" w:rsidP="00FD37D7">
      <w:pPr>
        <w:pStyle w:val="TtCap"/>
        <w:rPr>
          <w:color w:val="auto"/>
        </w:rPr>
      </w:pPr>
      <w:r w:rsidRPr="00992C89">
        <w:rPr>
          <w:color w:val="auto"/>
        </w:rPr>
        <w:t>LA INVESTIGACIÓN DOCTORAL COMO EJE DE TRANSFORMACIÓN INSTITUCIONAL: UN ANÁLISIS DESDE LA INNOVACIÓN DIGITAL EN LA FORMACIÓN SACERDOTAL.</w:t>
      </w:r>
    </w:p>
    <w:p w14:paraId="4645F320" w14:textId="7064D591" w:rsidR="0015066B" w:rsidRPr="006E3F2F" w:rsidRDefault="0070242F" w:rsidP="0015066B">
      <w:pPr>
        <w:pStyle w:val="Autor"/>
        <w:rPr>
          <w:color w:val="auto"/>
        </w:rPr>
      </w:pPr>
      <w:r w:rsidRPr="006E3F2F">
        <w:rPr>
          <w:color w:val="auto"/>
        </w:rPr>
        <w:t>STALIN</w:t>
      </w:r>
      <w:r w:rsidR="006E3F2F">
        <w:rPr>
          <w:color w:val="auto"/>
        </w:rPr>
        <w:t xml:space="preserve"> XAVIER</w:t>
      </w:r>
      <w:r w:rsidRPr="006E3F2F">
        <w:rPr>
          <w:color w:val="auto"/>
        </w:rPr>
        <w:t xml:space="preserve"> FREIRE</w:t>
      </w:r>
      <w:r w:rsidR="006E3F2F">
        <w:rPr>
          <w:color w:val="auto"/>
        </w:rPr>
        <w:t xml:space="preserve"> MENOSCAL</w:t>
      </w:r>
    </w:p>
    <w:p w14:paraId="69FA3E26" w14:textId="4543B2AA" w:rsidR="0015066B" w:rsidRPr="0070242F" w:rsidRDefault="006E3F2F" w:rsidP="0015066B">
      <w:pPr>
        <w:pStyle w:val="Adscripcin"/>
        <w:rPr>
          <w:color w:val="auto"/>
        </w:rPr>
      </w:pPr>
      <w:proofErr w:type="spellStart"/>
      <w:r>
        <w:rPr>
          <w:color w:val="auto"/>
        </w:rPr>
        <w:t>Globay</w:t>
      </w:r>
      <w:proofErr w:type="spellEnd"/>
      <w:r>
        <w:rPr>
          <w:color w:val="auto"/>
        </w:rPr>
        <w:t xml:space="preserve"> </w:t>
      </w:r>
      <w:proofErr w:type="spellStart"/>
      <w:r>
        <w:rPr>
          <w:color w:val="auto"/>
        </w:rPr>
        <w:t>University</w:t>
      </w:r>
      <w:proofErr w:type="spellEnd"/>
    </w:p>
    <w:p w14:paraId="6A02D415" w14:textId="44DDF1ED" w:rsidR="0015066B" w:rsidRPr="0070242F" w:rsidRDefault="0015066B" w:rsidP="0015066B">
      <w:pPr>
        <w:pStyle w:val="Adscripcin"/>
        <w:rPr>
          <w:color w:val="auto"/>
        </w:rPr>
      </w:pPr>
    </w:p>
    <w:p w14:paraId="7FB42A6F" w14:textId="1E0E63F7" w:rsidR="009C0DFA" w:rsidRPr="0070242F" w:rsidRDefault="00721EBE" w:rsidP="00C45F7D">
      <w:pPr>
        <w:pStyle w:val="Ttulo1"/>
      </w:pPr>
      <w:r w:rsidRPr="0070242F">
        <w:t xml:space="preserve">1. </w:t>
      </w:r>
      <w:r w:rsidR="0015066B" w:rsidRPr="0070242F">
        <w:t>Introducción</w:t>
      </w:r>
      <w:r w:rsidR="009C0DFA" w:rsidRPr="0070242F">
        <w:t xml:space="preserve"> </w:t>
      </w:r>
    </w:p>
    <w:p w14:paraId="6A8A609B" w14:textId="4E38B42C" w:rsidR="005A43E3" w:rsidRDefault="004A3555" w:rsidP="004A3555">
      <w:r>
        <w:t xml:space="preserve">En el panorama educativo del siglo XXI, la formación doctoral no se limita a la obtención de un grado académico superior; se constituye como el eje estratégico para el desarrollo investigativo y la producción de nuevo conocimiento capaz de transformar realidades institucionales complejas. En este contexto, la investigación de alto nivel permite abordar problemas que antes se gestionaban tradicionalmente, </w:t>
      </w:r>
      <w:r w:rsidR="00475BEC">
        <w:t xml:space="preserve">pero desde un plano diferente, </w:t>
      </w:r>
      <w:r w:rsidR="008B2DF1">
        <w:t>dotándolos</w:t>
      </w:r>
      <w:r>
        <w:t xml:space="preserve"> de un rigor científico que facilita la innovación social y pedagógica. La presente ponencia toma como eje de análisis la adaptación digital en la enseñanza sacerdotal en Ecuador, un campo donde la tensión entre la tradición </w:t>
      </w:r>
      <w:r w:rsidR="00475BEC">
        <w:t>histórica</w:t>
      </w:r>
      <w:r>
        <w:t xml:space="preserve"> y la disrupción tecnológica exige respuestas fundamentadas que </w:t>
      </w:r>
      <w:r w:rsidR="00AD775C">
        <w:t>han sido abordadas desde las posibilidades de entendimiento del fenómeno que un doctorado</w:t>
      </w:r>
      <w:r>
        <w:t xml:space="preserve"> puede proporcionar.</w:t>
      </w:r>
    </w:p>
    <w:p w14:paraId="1B67E92A" w14:textId="630608C4" w:rsidR="00113E06" w:rsidRPr="0070242F" w:rsidRDefault="007C4B6B" w:rsidP="00113E06">
      <w:r>
        <w:t>Esta ponencia nace como</w:t>
      </w:r>
      <w:r w:rsidR="00113E06">
        <w:t xml:space="preserve"> el resultado de una intersección entre la praxis vocacional y el rigor científico, emergiendo como un producto de la experiencia personal del </w:t>
      </w:r>
      <w:r w:rsidR="00286AFD">
        <w:t xml:space="preserve">autor de esta </w:t>
      </w:r>
      <w:r w:rsidR="00113E06">
        <w:t xml:space="preserve">en </w:t>
      </w:r>
      <w:r w:rsidR="00286AFD">
        <w:t>un</w:t>
      </w:r>
      <w:r w:rsidR="00113E06">
        <w:t xml:space="preserve"> programa de </w:t>
      </w:r>
      <w:r>
        <w:t>d</w:t>
      </w:r>
      <w:r w:rsidR="00113E06">
        <w:t xml:space="preserve">octorado en Innovación y </w:t>
      </w:r>
      <w:r>
        <w:t>T</w:t>
      </w:r>
      <w:r w:rsidR="00113E06">
        <w:t xml:space="preserve">ransformación </w:t>
      </w:r>
      <w:r>
        <w:t>E</w:t>
      </w:r>
      <w:r w:rsidR="00113E06">
        <w:t>ducativa</w:t>
      </w:r>
      <w:r w:rsidR="00286AFD">
        <w:t>.</w:t>
      </w:r>
      <w:r w:rsidR="00113E06">
        <w:t xml:space="preserve"> Esta propuesta no se limita a un análisis teórico externo, sino que nace del cruce reflexivo con la experiencia sacerdotal del autor, lo que permite una visión desde la propia realidad del ministerio sobre la adaptación digital en la enseñanza religiosa</w:t>
      </w:r>
      <w:r w:rsidR="00286AFD">
        <w:t>.</w:t>
      </w:r>
    </w:p>
    <w:p w14:paraId="6E6B68A9" w14:textId="0E442ABA" w:rsidR="0015066B" w:rsidRPr="0070242F" w:rsidRDefault="0015066B" w:rsidP="0015066B">
      <w:pPr>
        <w:pStyle w:val="Ttulo2"/>
      </w:pPr>
      <w:r w:rsidRPr="0070242F">
        <w:rPr>
          <w:smallCaps w:val="0"/>
        </w:rPr>
        <w:lastRenderedPageBreak/>
        <w:t>1.</w:t>
      </w:r>
      <w:r w:rsidRPr="0070242F">
        <w:t xml:space="preserve">1. </w:t>
      </w:r>
      <w:r w:rsidR="00E82BF6" w:rsidRPr="00E82BF6">
        <w:t>La formación doctoral como motor de innovación en el siglo XXI</w:t>
      </w:r>
    </w:p>
    <w:p w14:paraId="654819F3" w14:textId="467A8E33" w:rsidR="00E82BF6" w:rsidRDefault="00E82BF6" w:rsidP="00E82BF6">
      <w:r>
        <w:t xml:space="preserve">Hoy en día, la formación doctoral se ha consolidado como aquel motor principal de la innovación y el pilar de la sociedad del conocimiento, al potenciar capacidades científicas para enfrentar transformaciones dinámicas y exigentes </w:t>
      </w:r>
      <w:r>
        <w:fldChar w:fldCharType="begin"/>
      </w:r>
      <w:r>
        <w:instrText xml:space="preserve"> ADDIN ZOTERO_ITEM CSL_CITATION {"citationID":"RNi54G8j","properties":{"unsorted":false,"formattedCitation":"(Castillo-Bustos et\\uc0\\u160{}al., 2023)","plainCitation":"(Castillo-Bustos et al., 2023)","noteIndex":0},"citationItems":[{"id":24699,"uris":["http://zotero.org/users/5845060/items/D2K5DZV8"],"itemData":{"id":24699,"type":"article-journal","abstract":"En este trabajo se describen perspectivas y retos de la formación doctoral en América Latina, ya que es un proceso de fundamental importancia social, por sus potenciales aportes en el desarrollo del conocimiento. A partir de un análisis debidamente fundamentado, se revela que la formación doctoral en esta región está creciendo significativamente, ya que las Instituciones de Educación Superior incrementan esta oferta académica, luego de cumplir los requisitos impuestos por los organismos de regulación y control en sus países. Se advierte que existe el riesgo de incurrir en una formación doctoral de baja calidad, que, aportando con la titulación de un mayor número de doctores, tenga limitados impactos en la producción científica. De ahí que la potenciación de ambientes académicos idóneos para la formación doctoral, una formación continua de avanzada del claustro académico, la creación de programas doctorales en áreas estratégicas, el desarrollo de una formación doctoral de calidad, la creación de comunidades científicas y la cooperación interuniversitaria nacional e internacional, emergen como principales retos, que, al ser superados con solvencia, permitirán formar doctores capaces de aportar en la producción científica, promover el desarrollo social y coadyuvar en la reducción de la dependencia de Latinoamérica del conocimiento producido en países desarrollados.","container-title":"Revista Científica Retos de la Ciencia","ISSN":"2602-8247","issue":"14","language":"es","license":"Derechos de autor 2023 Marcelo Remigio Castillo-Bustos, Julio Ernesto Rojas-Mesa , Alba Gusdalupe Yépez-Moreno","page":"139-155","source":"www.retosdelacienciaec.com","title":"Perspectivas y retos de la formación doctoral en América Latina","volume":"7","author":[{"family":"Castillo-Bustos","given":"Marcelo Remigio"},{"family":"Rojas-Mesa","given":"Julio Ernesto"},{"family":"Yépez-Moreno","given":"Alba Gusdalupe"}],"issued":{"date-parts":[["2023",1,1]]}}}],"schema":"https://github.com/citation-style-language/schema/raw/master/csl-citation.json"} </w:instrText>
      </w:r>
      <w:r>
        <w:fldChar w:fldCharType="separate"/>
      </w:r>
      <w:r w:rsidRPr="00E82BF6">
        <w:rPr>
          <w:rFonts w:cs="Times New Roman"/>
          <w:szCs w:val="24"/>
        </w:rPr>
        <w:t>(Castillo-Bustos et al., 2023)</w:t>
      </w:r>
      <w:r>
        <w:fldChar w:fldCharType="end"/>
      </w:r>
      <w:r>
        <w:t xml:space="preserve">. </w:t>
      </w:r>
      <w:r w:rsidR="00196C49">
        <w:t xml:space="preserve">Es por ello </w:t>
      </w:r>
      <w:proofErr w:type="spellStart"/>
      <w:r w:rsidR="007C4B6B">
        <w:t>relevante</w:t>
      </w:r>
      <w:r w:rsidR="00196C49">
        <w:t>reconocer</w:t>
      </w:r>
      <w:proofErr w:type="spellEnd"/>
      <w:r w:rsidR="00196C49">
        <w:t xml:space="preserve"> que el cursar un doctorado </w:t>
      </w:r>
      <w:r>
        <w:t>trasciende la obtención de una credencial académica</w:t>
      </w:r>
      <w:r w:rsidR="007C4B6B">
        <w:t>,</w:t>
      </w:r>
      <w:r w:rsidR="00196C49">
        <w:t xml:space="preserve"> ya que</w:t>
      </w:r>
      <w:r>
        <w:t xml:space="preserve"> representa la habilidad de generar nuevo conocimiento y modelos originales para resolver problemas reales en contextos diversos y cambiantes</w:t>
      </w:r>
      <w:r w:rsidR="00196C49">
        <w:t xml:space="preserve"> </w:t>
      </w:r>
      <w:r w:rsidR="00196C49">
        <w:fldChar w:fldCharType="begin"/>
      </w:r>
      <w:r w:rsidR="00196C49">
        <w:instrText xml:space="preserve"> ADDIN ZOTERO_ITEM CSL_CITATION {"citationID":"YHNGQq3P","properties":{"unsorted":false,"formattedCitation":"(Vargas Fern\\uc0\\u225{}ndez et\\uc0\\u160{}al., 2023)","plainCitation":"(Vargas Fernández et al., 2023)","noteIndex":0},"citationItems":[{"id":24700,"uris":["http://zotero.org/users/5845060/items/JZYY7IHV"],"itemData":{"id":24700,"type":"article-journal","container-title":"Mendive. Revista de Educación","ISSN":"1815-7696","issue":"2","publisher":"Universidad de Pinar del Río Hermanos Saíz Montes de Oca","source":"SciELO","title":"Análisis del proceso de gestión de la formación doctoral en tres universidades cubanas","URL":"http://scielo.sld.cu/scielo.php?script=sci_abstract&amp;pid=S1815-76962023000200009&amp;lng=es&amp;nrm=iso&amp;tlng=en","volume":"21","author":[{"family":"Vargas Fernández","given":"Tania"},{"family":"Ordaz Hernández","given":"Mayra"},{"family":"Marín Cuba","given":"Luis Gustavo"},{"family":"González Pérez","given":"Maricela María"},{"family":"Vargas Fernández","given":"Tania"},{"family":"Ordaz Hernández","given":"Mayra"},{"family":"Marín Cuba","given":"Luis Gustavo"},{"family":"González Pérez","given":"Maricela María"}],"accessed":{"date-parts":[["2026",5,7]]},"issued":{"date-parts":[["2023",6]]}}}],"schema":"https://github.com/citation-style-language/schema/raw/master/csl-citation.json"} </w:instrText>
      </w:r>
      <w:r w:rsidR="00196C49">
        <w:fldChar w:fldCharType="separate"/>
      </w:r>
      <w:r w:rsidR="00196C49" w:rsidRPr="00196C49">
        <w:rPr>
          <w:rFonts w:cs="Times New Roman"/>
          <w:szCs w:val="24"/>
        </w:rPr>
        <w:t>(Vargas Fernández et al., 2023)</w:t>
      </w:r>
      <w:r w:rsidR="00196C49">
        <w:fldChar w:fldCharType="end"/>
      </w:r>
      <w:r>
        <w:t xml:space="preserve">. </w:t>
      </w:r>
      <w:r w:rsidR="00196C49">
        <w:t>Cambios que</w:t>
      </w:r>
      <w:r w:rsidR="007C4B6B">
        <w:t>,</w:t>
      </w:r>
      <w:r w:rsidR="00196C49">
        <w:t xml:space="preserve"> </w:t>
      </w:r>
      <w:r w:rsidR="00696409">
        <w:t xml:space="preserve">si bien tienen diferentes implicaciones, en el campo de </w:t>
      </w:r>
      <w:r>
        <w:t xml:space="preserve">la innovación educativa </w:t>
      </w:r>
      <w:r w:rsidR="00696409">
        <w:t>se encuentran directamente</w:t>
      </w:r>
      <w:r>
        <w:t xml:space="preserve"> ligad</w:t>
      </w:r>
      <w:r w:rsidR="00696409">
        <w:t xml:space="preserve">os </w:t>
      </w:r>
      <w:r>
        <w:t>a la investigación y la revolución digital, exigiendo una cultura de gestión del conocimiento que supere los esquemas universitarios tradicionales y conecte con las problemáticas sociales</w:t>
      </w:r>
      <w:r w:rsidR="00696409">
        <w:t xml:space="preserve"> </w:t>
      </w:r>
      <w:r w:rsidR="00696409">
        <w:fldChar w:fldCharType="begin"/>
      </w:r>
      <w:r w:rsidR="00696409">
        <w:instrText xml:space="preserve"> ADDIN ZOTERO_ITEM CSL_CITATION {"citationID":"55tqbXKH","properties":{"unsorted":false,"formattedCitation":"(Rojas-Mesa y Leal-Urue\\uc0\\u241{}a, 2023)","plainCitation":"(Rojas-Mesa y Leal-Urueña, 2023)","noteIndex":0},"citationItems":[{"id":24701,"uris":["http://zotero.org/users/5845060/items/QIZRTBT8"],"itemData":{"id":24701,"type":"article-journal","abstract":"Este artículo analiza el concepto de cultura de la innovación educativa como punto de partida para que los estudiantes reflexionen sobre el desarrollo de sus...","container-title":"Revista iberoamericana de educación superior","issue":"41","language":"es","page":"39-57","source":"www.redalyc.org","title":"Una aproximación a la innovación en la formacion doctoral en educación","volume":"XIV","author":[{"family":"Rojas-Mesa","given":"Julio-Ernesto"},{"family":"Leal-Urueña","given":"Linda-Alejandra"}],"issued":{"date-parts":[["2023"]]}}}],"schema":"https://github.com/citation-style-language/schema/raw/master/csl-citation.json"} </w:instrText>
      </w:r>
      <w:r w:rsidR="00696409">
        <w:fldChar w:fldCharType="separate"/>
      </w:r>
      <w:r w:rsidR="00696409" w:rsidRPr="00696409">
        <w:rPr>
          <w:rFonts w:cs="Times New Roman"/>
          <w:szCs w:val="24"/>
        </w:rPr>
        <w:t>(Rojas-Mesa y Leal-Urueña, 2023)</w:t>
      </w:r>
      <w:r w:rsidR="00696409">
        <w:fldChar w:fldCharType="end"/>
      </w:r>
      <w:r>
        <w:t>.</w:t>
      </w:r>
    </w:p>
    <w:p w14:paraId="16F69CF5" w14:textId="41C5AF80" w:rsidR="0015066B" w:rsidRPr="0070242F" w:rsidRDefault="00212353" w:rsidP="00E82BF6">
      <w:r>
        <w:t xml:space="preserve">A partir de ello es que se sostiene que </w:t>
      </w:r>
      <w:r w:rsidR="00E82BF6">
        <w:t>la investigación doctoral permite descubrir perspectivas inéditas sobre la eficacia del aprendizaje en línea, incluso en sectores con tradiciones analógicas arraigadas</w:t>
      </w:r>
      <w:r>
        <w:t xml:space="preserve"> (como lo es el campo de la formación sacerdotal)</w:t>
      </w:r>
      <w:r w:rsidR="00E82BF6">
        <w:t>.</w:t>
      </w:r>
      <w:r>
        <w:t xml:space="preserve"> D</w:t>
      </w:r>
      <w:r w:rsidR="00E82BF6">
        <w:t>e este modo, la investigación de alto nivel se vuelve un recurso indispensable para abordar la brecha digital, permitiendo que el doctorando reflexione sobre los retos y perspectivas del ámbito humanístico-social</w:t>
      </w:r>
      <w:r>
        <w:t xml:space="preserve"> </w:t>
      </w:r>
      <w:r>
        <w:fldChar w:fldCharType="begin"/>
      </w:r>
      <w:r>
        <w:instrText xml:space="preserve"> ADDIN ZOTERO_ITEM CSL_CITATION {"citationID":"ae21IABF","properties":{"unsorted":false,"formattedCitation":"(Castillo-Bustos et\\uc0\\u160{}al., 2023)","plainCitation":"(Castillo-Bustos et al., 2023)","noteIndex":0},"citationItems":[{"id":24699,"uris":["http://zotero.org/users/5845060/items/D2K5DZV8"],"itemData":{"id":24699,"type":"article-journal","abstract":"En este trabajo se describen perspectivas y retos de la formación doctoral en América Latina, ya que es un proceso de fundamental importancia social, por sus potenciales aportes en el desarrollo del conocimiento. A partir de un análisis debidamente fundamentado, se revela que la formación doctoral en esta región está creciendo significativamente, ya que las Instituciones de Educación Superior incrementan esta oferta académica, luego de cumplir los requisitos impuestos por los organismos de regulación y control en sus países. Se advierte que existe el riesgo de incurrir en una formación doctoral de baja calidad, que, aportando con la titulación de un mayor número de doctores, tenga limitados impactos en la producción científica. De ahí que la potenciación de ambientes académicos idóneos para la formación doctoral, una formación continua de avanzada del claustro académico, la creación de programas doctorales en áreas estratégicas, el desarrollo de una formación doctoral de calidad, la creación de comunidades científicas y la cooperación interuniversitaria nacional e internacional, emergen como principales retos, que, al ser superados con solvencia, permitirán formar doctores capaces de aportar en la producción científica, promover el desarrollo social y coadyuvar en la reducción de la dependencia de Latinoamérica del conocimiento producido en países desarrollados.","container-title":"Revista Científica Retos de la Ciencia","ISSN":"2602-8247","issue":"14","language":"es","license":"Derechos de autor 2023 Marcelo Remigio Castillo-Bustos, Julio Ernesto Rojas-Mesa , Alba Gusdalupe Yépez-Moreno","page":"139-155","source":"www.retosdelacienciaec.com","title":"Perspectivas y retos de la formación doctoral en América Latina","volume":"7","author":[{"family":"Castillo-Bustos","given":"Marcelo Remigio"},{"family":"Rojas-Mesa","given":"Julio Ernesto"},{"family":"Yépez-Moreno","given":"Alba Gusdalupe"}],"issued":{"date-parts":[["2023",1,1]]}}}],"schema":"https://github.com/citation-style-language/schema/raw/master/csl-citation.json"} </w:instrText>
      </w:r>
      <w:r>
        <w:fldChar w:fldCharType="separate"/>
      </w:r>
      <w:r w:rsidRPr="00212353">
        <w:rPr>
          <w:rFonts w:cs="Times New Roman"/>
          <w:szCs w:val="24"/>
        </w:rPr>
        <w:t>(Castillo-Bustos et al., 2023)</w:t>
      </w:r>
      <w:r>
        <w:fldChar w:fldCharType="end"/>
      </w:r>
      <w:r w:rsidR="00696409">
        <w:t>.</w:t>
      </w:r>
      <w:r w:rsidR="00E82BF6">
        <w:t xml:space="preserve"> </w:t>
      </w:r>
      <w:r>
        <w:t xml:space="preserve">Y es por eso </w:t>
      </w:r>
      <w:proofErr w:type="gramStart"/>
      <w:r>
        <w:t>que</w:t>
      </w:r>
      <w:proofErr w:type="gramEnd"/>
      <w:r>
        <w:t xml:space="preserve"> se debe considerar que </w:t>
      </w:r>
      <w:r w:rsidR="00E82BF6">
        <w:t xml:space="preserve">la formación doctoral no solo produce expertos, sino </w:t>
      </w:r>
      <w:r>
        <w:t xml:space="preserve">también </w:t>
      </w:r>
      <w:r w:rsidR="00E82BF6">
        <w:t>soluciones innovadoras que integran la rigurosidad científica con la adaptación tecnológica necesaria para los desafíos educativos contemporáneos.</w:t>
      </w:r>
    </w:p>
    <w:p w14:paraId="2B2D92B6" w14:textId="4629E767" w:rsidR="0015066B" w:rsidRDefault="0015066B" w:rsidP="00C45F7D">
      <w:pPr>
        <w:pStyle w:val="Ttulo2"/>
      </w:pPr>
      <w:r w:rsidRPr="0070242F">
        <w:t xml:space="preserve">1.2. </w:t>
      </w:r>
      <w:r w:rsidR="00212353" w:rsidRPr="00212353">
        <w:t>El desafío de la transición digital en la formación sacerdotal</w:t>
      </w:r>
    </w:p>
    <w:p w14:paraId="2AC9B583" w14:textId="34FCFF40" w:rsidR="00AC5F5D" w:rsidRPr="00AC5F5D" w:rsidRDefault="00AC5F5D" w:rsidP="00D77101">
      <w:pPr>
        <w:spacing w:before="0" w:after="0"/>
      </w:pPr>
      <w:r w:rsidRPr="00AC5F5D">
        <w:t>La formación sacerdotal ha dependido históricamente de la presencialidad, la interacción espiritual directa y la vida comunitaria. Sin embargo, la incorporación de modalidades de aprendizaje en línea (</w:t>
      </w:r>
      <w:r w:rsidR="007C4B6B">
        <w:t>e</w:t>
      </w:r>
      <w:r w:rsidRPr="00AC5F5D">
        <w:t xml:space="preserve">-learning) presenta desafíos únicos que interpelan la esencia misma de esta </w:t>
      </w:r>
      <w:r w:rsidRPr="00AC5F5D">
        <w:lastRenderedPageBreak/>
        <w:t>educación. Esta transición digital en el contexto latinoamericano, y específicamente en Ecuador, no ha estado exenta de obstáculos relacionados con la infraestructura tecnológica, las brechas digitales y las resistencias culturales</w:t>
      </w:r>
      <w:r w:rsidR="00041F3C">
        <w:t>.</w:t>
      </w:r>
    </w:p>
    <w:p w14:paraId="6066E37E" w14:textId="514C5DB8" w:rsidR="00212353" w:rsidRPr="00212353" w:rsidRDefault="00AC5F5D" w:rsidP="00286AFD">
      <w:pPr>
        <w:spacing w:before="0" w:after="0"/>
      </w:pPr>
      <w:r w:rsidRPr="00AC5F5D">
        <w:t>Estudios previos han documentado que, si bien existe una valoración positiva de la flexibilidad del entorno digital, persiste la preocupación por la pérdida de la experiencia sacramental y ritual</w:t>
      </w:r>
      <w:r w:rsidR="00041F3C">
        <w:t xml:space="preserve"> </w:t>
      </w:r>
      <w:r w:rsidR="00041F3C">
        <w:fldChar w:fldCharType="begin"/>
      </w:r>
      <w:r w:rsidR="00041F3C">
        <w:instrText xml:space="preserve"> ADDIN ZOTERO_ITEM CSL_CITATION {"citationID":"UlNg1M5N","properties":{"unsorted":false,"formattedCitation":"(Meza-Prado y Vega-Mora, 2023)","plainCitation":"(Meza-Prado y Vega-Mora, 2023)","noteIndex":0},"citationItems":[{"id":19356,"uris":["http://zotero.org/groups/4965858/items/H5HHPDAE"],"itemData":{"id":19356,"type":"article-journal","abstract":"La docencia universitaria ha sido impactada por una variable macro ambiental fuera de control, la pandemia por COVID-19. Dicha situación expuso las debilidades existentes, en las unidades académicas, en cuanto a innovación, tendencias y estrategias de las metodologías de enseñanza de las personas docentes universitarias, dejando una interrogante, ¿qué tipo de metodología y herramientas son las más adecuadas? El Catálogo de metodologías de aprendizaje y medios emergentes para la educación presencial se propone como una herramienta práctica con la que el equipo docente de la Escuela de Publicidad podrá implementar de forma efectiva estrategias didácticas que les permita diferenciar el abordaje que se le da a los procesos formativos aprovechando herramientas digitales en un entorno presencial.","container-title":"Revista Tecnología en Marcha","DOI":"10.18845/tm.v36i8.6926","ISSN":"2215-3241, 0379-3982","journalAbbreviation":"TM","license":"https://creativecommons.org/licenses/by-nc-nd/4.0","source":"Semantic Scholar","title":"Evaluación de las metodologías de enseñanza y medios emergentes de la virtualidad en la educación presencial, en la Escuela de Publicidad de la Universidad Hispanoamericana, Costa Rica","URL":"https://revistas.tec.ac.cr/index.php/tec_marcha/article/view/6926","author":[{"family":"Meza-Prado","given":"Elizabeth"},{"family":"Vega-Mora","given":"Gabriel"}],"accessed":{"date-parts":[["2024",6,11]]},"issued":{"date-parts":[["2023",10,31]]}}}],"schema":"https://github.com/citation-style-language/schema/raw/master/csl-citation.json"} </w:instrText>
      </w:r>
      <w:r w:rsidR="00041F3C">
        <w:fldChar w:fldCharType="separate"/>
      </w:r>
      <w:r w:rsidR="00041F3C" w:rsidRPr="00041F3C">
        <w:rPr>
          <w:rFonts w:cs="Times New Roman"/>
        </w:rPr>
        <w:t>(Meza-Prado y Vega-Mora, 2023)</w:t>
      </w:r>
      <w:r w:rsidR="00041F3C">
        <w:fldChar w:fldCharType="end"/>
      </w:r>
      <w:r w:rsidRPr="00AC5F5D">
        <w:t xml:space="preserve">. La problemática de las distancias geográficas en zonas rurales de Ecuador agrava esta situación, convirtiendo al aprendizaje en línea en una necesidad estratégica para garantizar la continuidad educativa, pero exigiendo a la vez un soporte pedagógico que no descuide la profundidad espiritual. Es aquí donde la investigación doctoral </w:t>
      </w:r>
      <w:r w:rsidR="00041F3C">
        <w:t>ha aportado directamente</w:t>
      </w:r>
      <w:r w:rsidRPr="00AC5F5D">
        <w:t xml:space="preserve">, al evaluar si los entornos virtuales son capaces de preservar la </w:t>
      </w:r>
      <w:r w:rsidR="00041F3C">
        <w:t>“</w:t>
      </w:r>
      <w:r w:rsidRPr="00AC5F5D">
        <w:t>caridad pastoral</w:t>
      </w:r>
      <w:r w:rsidR="00041F3C">
        <w:t>”</w:t>
      </w:r>
      <w:r w:rsidRPr="00AC5F5D">
        <w:t xml:space="preserve"> como principio central del ministerio.</w:t>
      </w:r>
    </w:p>
    <w:p w14:paraId="5D8DC444" w14:textId="73CC29D6" w:rsidR="00607EE3" w:rsidRPr="0070242F" w:rsidRDefault="00607EE3" w:rsidP="00607EE3">
      <w:pPr>
        <w:pStyle w:val="Ttulo1"/>
      </w:pPr>
      <w:r w:rsidRPr="0070242F">
        <w:t>2. Objetivos</w:t>
      </w:r>
    </w:p>
    <w:p w14:paraId="7A6DDB25" w14:textId="4AE678F8" w:rsidR="00607EE3" w:rsidRPr="0070242F" w:rsidRDefault="00607EE3" w:rsidP="00607EE3">
      <w:pPr>
        <w:pStyle w:val="Ttulo2"/>
      </w:pPr>
      <w:r w:rsidRPr="0070242F">
        <w:t xml:space="preserve">2.1. </w:t>
      </w:r>
      <w:r w:rsidR="00FD37D7">
        <w:t>Objetivo general</w:t>
      </w:r>
    </w:p>
    <w:p w14:paraId="281F5386" w14:textId="7E413858" w:rsidR="00607EE3" w:rsidRPr="0070242F" w:rsidRDefault="00FD37D7" w:rsidP="00FD37D7">
      <w:pPr>
        <w:pStyle w:val="Listado"/>
      </w:pPr>
      <w:r w:rsidRPr="00FD37D7">
        <w:t xml:space="preserve">Analizar el papel de la formación doctoral en la generación de nuevo conocimiento y soluciones innovadoras para los desafíos educativos del siglo XXI, tomando como caso de estudio la adaptación digital en instituciones de formación </w:t>
      </w:r>
      <w:r>
        <w:t>sacerdotal</w:t>
      </w:r>
    </w:p>
    <w:p w14:paraId="54B3FF41" w14:textId="48E577C3" w:rsidR="00607EE3" w:rsidRPr="0070242F" w:rsidRDefault="00607EE3" w:rsidP="00182667">
      <w:pPr>
        <w:pStyle w:val="Ttulo2"/>
      </w:pPr>
      <w:r w:rsidRPr="0070242F">
        <w:t xml:space="preserve">2.2. </w:t>
      </w:r>
      <w:r w:rsidR="00FD37D7">
        <w:t>objetivos específicos</w:t>
      </w:r>
    </w:p>
    <w:p w14:paraId="687D5F87" w14:textId="1BDDE581" w:rsidR="00FD37D7" w:rsidRDefault="00FD37D7" w:rsidP="00FD37D7">
      <w:pPr>
        <w:pStyle w:val="Listadoajustado"/>
      </w:pPr>
      <w:r>
        <w:t>Demostrar cómo la aplicación de metodologías rigurosas (enfoque mixto y teoría fundamentada) permite descubrir nuevas perspectivas sobre la eficacia del aprendizaje en línea</w:t>
      </w:r>
      <w:r w:rsidR="00815D68">
        <w:t xml:space="preserve"> en la formación sacerdotal</w:t>
      </w:r>
      <w:r>
        <w:t>.</w:t>
      </w:r>
    </w:p>
    <w:p w14:paraId="2CC6AA9E" w14:textId="2ABA4E8C" w:rsidR="00FD37D7" w:rsidRDefault="00FD37D7" w:rsidP="00FD37D7">
      <w:pPr>
        <w:pStyle w:val="Listadoajustado"/>
      </w:pPr>
      <w:r>
        <w:t>Reflexionar sobre los retos y perspectivas de la innovación educativa en el ámbito humanístico-social desde la experiencia del doctorando.</w:t>
      </w:r>
    </w:p>
    <w:p w14:paraId="48640BAE" w14:textId="1270FAD6" w:rsidR="00815D68" w:rsidRDefault="00815D68" w:rsidP="00815D68">
      <w:pPr>
        <w:pStyle w:val="Listadoajustado"/>
      </w:pPr>
      <w:r>
        <w:t>Analizar la relevancia de la investigación de alto nivel (doctoral) para abordar la brecha digital en sectores tradicionalmente analógicos como la formación sacerdotal</w:t>
      </w:r>
    </w:p>
    <w:p w14:paraId="2708A763" w14:textId="50C3DBDD" w:rsidR="005A43E3" w:rsidRDefault="005A43E3" w:rsidP="005A43E3">
      <w:pPr>
        <w:pStyle w:val="Ttulo1"/>
      </w:pPr>
      <w:r w:rsidRPr="0070242F">
        <w:lastRenderedPageBreak/>
        <w:t>3. Metodología</w:t>
      </w:r>
    </w:p>
    <w:p w14:paraId="04D6822F" w14:textId="6ADF9E50" w:rsidR="00286AFD" w:rsidRDefault="00237546" w:rsidP="00237546">
      <w:r>
        <w:t>La metodología expuesta en esta ponencia se deriva directamente del diseño investigativo desarrollado para la tesis doctoral titulada “Adaptación digital en la enseñanza sacerdotal: desafíos y percepciones de los métodos de aprendizaje en línea”. En coherencia con las exigencias de una investigación de nivel doctoral, se optó por un enfoque mixto (cuantitativo y cualitativo), el cual permitió una triangulación de datos para obtener una visión holística del fenómeno de la transformación educativa en contextos eclesiásticos.</w:t>
      </w:r>
    </w:p>
    <w:p w14:paraId="225EF979" w14:textId="131BC5C4" w:rsidR="00286AFD" w:rsidRDefault="00FA59B3" w:rsidP="00FA59B3">
      <w:pPr>
        <w:pStyle w:val="Ttulo2"/>
      </w:pPr>
      <w:r>
        <w:t xml:space="preserve">3.1 </w:t>
      </w:r>
      <w:r w:rsidRPr="00FA59B3">
        <w:t>Enfoque mixto y rigor del estudio doctoral</w:t>
      </w:r>
    </w:p>
    <w:p w14:paraId="73445452" w14:textId="51D14D3B" w:rsidR="00237546" w:rsidRPr="00237546" w:rsidRDefault="00237546" w:rsidP="00237546">
      <w:pPr>
        <w:rPr>
          <w:lang w:val="es-419"/>
        </w:rPr>
      </w:pPr>
      <w:r w:rsidRPr="00237546">
        <w:rPr>
          <w:lang w:val="es-419"/>
        </w:rPr>
        <w:t>El sustento teórico de la metodología de la tesis se bas</w:t>
      </w:r>
      <w:r>
        <w:rPr>
          <w:lang w:val="es-419"/>
        </w:rPr>
        <w:t>ó</w:t>
      </w:r>
      <w:r w:rsidRPr="00237546">
        <w:rPr>
          <w:lang w:val="es-419"/>
        </w:rPr>
        <w:t xml:space="preserve"> en el paradigma constructivista, que enfatiza la construcción activa del conocimiento a través de la experiencia y la interacción</w:t>
      </w:r>
      <w:r>
        <w:rPr>
          <w:lang w:val="es-419"/>
        </w:rPr>
        <w:t xml:space="preserve"> </w:t>
      </w:r>
      <w:r>
        <w:rPr>
          <w:lang w:val="es-419"/>
        </w:rPr>
        <w:fldChar w:fldCharType="begin"/>
      </w:r>
      <w:r>
        <w:rPr>
          <w:lang w:val="es-419"/>
        </w:rPr>
        <w:instrText xml:space="preserve"> ADDIN ZOTERO_ITEM CSL_CITATION {"citationID":"HNDBbprI","properties":{"unsorted":false,"formattedCitation":"(Aguilar, 2018)","plainCitation":"(Aguilar, 2018)","noteIndex":0},"citationItems":[{"id":20457,"uris":["http://zotero.org/groups/4965858/items/378VBR57"],"itemData":{"id":20457,"type":"article-journal","abstract":"En este texto explicamos, a grandes rasgos, lo que es el Paradigma Constructivista, comenzamos por revisar los antecedentes y bases del mismo que están fundamentados en los estudios e investigaciones de Piaget, continuamos con las problemáticas y posturas del constructivismo, lo que da pie para el siguiente subtema que se refiere a los distintos tipos de constructivismo de los que contamos cuatro; Piagetiano, Humano, Social y Radical,  cerramos con la forma en que el constructivismo aborda los componentes de la educación que son el alumno, maestro y la evaluación.","container-title":"Luxiérnaga - Revista de Estudiantes de Filosofía","DOI":"10.33064/16luxirnaga2686","ISSN":"2683-2461","issue":"16","language":"es","license":"Derechos de autor 2020","note":"number: 16","page":"20-20","source":"revistas.uaa.mx","title":"Paradigma constructivista en la Educación","volume":"8","author":[{"family":"Aguilar","given":"Jennifer Patiño"}],"issued":{"date-parts":[["2018",12,31]]}}}],"schema":"https://github.com/citation-style-language/schema/raw/master/csl-citation.json"} </w:instrText>
      </w:r>
      <w:r>
        <w:rPr>
          <w:lang w:val="es-419"/>
        </w:rPr>
        <w:fldChar w:fldCharType="separate"/>
      </w:r>
      <w:r w:rsidRPr="00237546">
        <w:rPr>
          <w:rFonts w:cs="Times New Roman"/>
        </w:rPr>
        <w:t>(Aguilar, 2018)</w:t>
      </w:r>
      <w:r>
        <w:rPr>
          <w:lang w:val="es-419"/>
        </w:rPr>
        <w:fldChar w:fldCharType="end"/>
      </w:r>
      <w:r w:rsidRPr="00237546">
        <w:rPr>
          <w:lang w:val="es-419"/>
        </w:rPr>
        <w:t>. Dada la naturaleza de la formación sacerdotal, este enfoque permitió capturar tanto las métricas de eficacia como las vivencias subjetivas de los participantes.</w:t>
      </w:r>
    </w:p>
    <w:p w14:paraId="5692F3B5" w14:textId="26FFACAB" w:rsidR="00237546" w:rsidRPr="00FA59B3" w:rsidRDefault="00237546" w:rsidP="00237546">
      <w:pPr>
        <w:rPr>
          <w:lang w:val="es-419"/>
        </w:rPr>
      </w:pPr>
      <w:r w:rsidRPr="00237546">
        <w:rPr>
          <w:lang w:val="es-419"/>
        </w:rPr>
        <w:t>Asimismo, la investigación se estructuró bajo la propuesta de la teología práctica de Osmer</w:t>
      </w:r>
      <w:r w:rsidR="009B6E2A">
        <w:rPr>
          <w:lang w:val="es-419"/>
        </w:rPr>
        <w:t xml:space="preserve"> </w:t>
      </w:r>
      <w:r w:rsidR="009B6E2A">
        <w:rPr>
          <w:lang w:val="es-419"/>
        </w:rPr>
        <w:fldChar w:fldCharType="begin"/>
      </w:r>
      <w:r w:rsidR="009B6E2A">
        <w:rPr>
          <w:lang w:val="es-419"/>
        </w:rPr>
        <w:instrText xml:space="preserve"> ADDIN ZOTERO_ITEM CSL_CITATION {"citationID":"WA2o4myo","properties":{"unsorted":false,"formattedCitation":"(2008)","plainCitation":"(2008)","noteIndex":0},"citationItems":[{"id":20367,"uris":["http://zotero.org/groups/4965858/items/V32FARIW"],"itemData":{"id":20367,"type":"book","abstract":"Every church congregation encounters challenging situations, some the same the world over, and others specific to each church. Richard Osmer here seeks to teach congregational leaders -- including, but not limited to, clergy -- the requisite knowledge and skills to meet such situations with sensitivity and creativity. Osmer develops a framework for practical theological interpretation in congregations by focusing on four key questions: What is going on in a given context? Why is this going on? What ought to be going on? and How might the leader shape the context to better embody Christian witness and mission? The book is unique in its attention to interdisciplinary issues and the ways that theological reflection is grounded in the spirituality of leaders. Useful, accessible, and lively -- with lots of specific examples and case studies -- Osmer's Practical Theology effectively equips congregational leaders to guide their communities with theological integrity.","ISBN":"978-1-4674-3812-4","language":"English","publisher":"Eerdmans","source":"Perlego","title":"Practical Theology: An Introduction","title-short":"Practical Theology","URL":"https://www.perlego.com/book/2987053/practical-theology-an-introduction-pdf","author":[{"family":"Osmer","given":"Richard R."}],"accessed":{"date-parts":[["2024",9,20]]},"issued":{"date-parts":[["2008",7,2]]}},"suppress-author":true}],"schema":"https://github.com/citation-style-language/schema/raw/master/csl-citation.json"} </w:instrText>
      </w:r>
      <w:r w:rsidR="009B6E2A">
        <w:rPr>
          <w:lang w:val="es-419"/>
        </w:rPr>
        <w:fldChar w:fldCharType="separate"/>
      </w:r>
      <w:r w:rsidR="009B6E2A" w:rsidRPr="009B6E2A">
        <w:rPr>
          <w:rFonts w:cs="Times New Roman"/>
        </w:rPr>
        <w:t>(2008)</w:t>
      </w:r>
      <w:r w:rsidR="009B6E2A">
        <w:rPr>
          <w:lang w:val="es-419"/>
        </w:rPr>
        <w:fldChar w:fldCharType="end"/>
      </w:r>
      <w:r w:rsidRPr="00237546">
        <w:rPr>
          <w:lang w:val="es-419"/>
        </w:rPr>
        <w:t>, aplicando sus cuatro tareas fundamentales: descriptivo-empírica, interpretativa, normativa y pragmática. Este marco permitió que, más allá de un análisis técnico, el investigador pudiera integrar su experiencia sacerdotal en la evaluación ética y pastoral de la educación digital.</w:t>
      </w:r>
    </w:p>
    <w:p w14:paraId="2B7EAE9F" w14:textId="49966B32" w:rsidR="00FA59B3" w:rsidRDefault="009B6E2A" w:rsidP="009B6E2A">
      <w:pPr>
        <w:pStyle w:val="Ttulo2"/>
        <w:rPr>
          <w:lang w:val="es-419"/>
        </w:rPr>
      </w:pPr>
      <w:r w:rsidRPr="009B6E2A">
        <w:rPr>
          <w:lang w:val="es-419"/>
        </w:rPr>
        <w:t>3.2. Población, Muestra e Instrumentos de la Investigación</w:t>
      </w:r>
    </w:p>
    <w:p w14:paraId="034E97AF" w14:textId="2F88F60B" w:rsidR="009B6E2A" w:rsidRDefault="009B6E2A" w:rsidP="009B6E2A">
      <w:r>
        <w:t>Para la obtención de los resultados que aquí se socializan, la tesis doctoral estableció un universo de estudio compuesto por estudiantes de teología en Ecuador. El cálculo de la muestra arrojó un total de 234 individuos, segmentados en dos grupos para permitir una evaluación comparativa: el Grupo A (estudiantes con experiencia en aprendizaje en línea) y el Grupo B (estudiantes en modalidad presencial tradicional).</w:t>
      </w:r>
    </w:p>
    <w:p w14:paraId="791DC859" w14:textId="77777777" w:rsidR="009B6E2A" w:rsidRDefault="009B6E2A" w:rsidP="009B6E2A">
      <w:r>
        <w:t>Como instrumentos validados durante el proceso doctoral, se emplearon:</w:t>
      </w:r>
    </w:p>
    <w:p w14:paraId="0E9F2377" w14:textId="77777777" w:rsidR="009B6E2A" w:rsidRDefault="009B6E2A" w:rsidP="009B6E2A">
      <w:pPr>
        <w:pStyle w:val="Prrafodelista"/>
        <w:numPr>
          <w:ilvl w:val="0"/>
          <w:numId w:val="45"/>
        </w:numPr>
      </w:pPr>
      <w:r>
        <w:lastRenderedPageBreak/>
        <w:t xml:space="preserve">Cuestionario OLLES (Online </w:t>
      </w:r>
      <w:proofErr w:type="spellStart"/>
      <w:r>
        <w:t>Learning</w:t>
      </w:r>
      <w:proofErr w:type="spellEnd"/>
      <w:r>
        <w:t xml:space="preserve"> </w:t>
      </w:r>
      <w:proofErr w:type="spellStart"/>
      <w:r>
        <w:t>Environment</w:t>
      </w:r>
      <w:proofErr w:type="spellEnd"/>
      <w:r>
        <w:t xml:space="preserve"> </w:t>
      </w:r>
      <w:proofErr w:type="spellStart"/>
      <w:r>
        <w:t>Survey</w:t>
      </w:r>
      <w:proofErr w:type="spellEnd"/>
      <w:r>
        <w:t xml:space="preserve">): Adaptado y validado mediante juicio de expertos y una prueba piloto que demostró una alta confiabilidad (Alfa de Cronbach de 0.854). </w:t>
      </w:r>
    </w:p>
    <w:p w14:paraId="50DB9A64" w14:textId="3AD78EC3" w:rsidR="007000F2" w:rsidRDefault="009B6E2A" w:rsidP="009B6E2A">
      <w:pPr>
        <w:pStyle w:val="Prrafodelista"/>
        <w:numPr>
          <w:ilvl w:val="0"/>
          <w:numId w:val="45"/>
        </w:numPr>
      </w:pPr>
      <w:r>
        <w:t>Guía de Grupo Focal: Una herramienta cualitativa diseñada para explorar las percepciones sobre el desarrollo espiritual y pastoral en la virtualidad</w:t>
      </w:r>
      <w:r w:rsidR="007C4B6B">
        <w:t>.</w:t>
      </w:r>
    </w:p>
    <w:p w14:paraId="3C173F1E" w14:textId="7A8CA408" w:rsidR="009B6E2A" w:rsidRDefault="009B6E2A" w:rsidP="009B6E2A">
      <w:pPr>
        <w:pStyle w:val="Prrafodelista"/>
        <w:numPr>
          <w:ilvl w:val="0"/>
          <w:numId w:val="45"/>
        </w:numPr>
      </w:pPr>
      <w:proofErr w:type="spellStart"/>
      <w:r>
        <w:t>Checklist</w:t>
      </w:r>
      <w:proofErr w:type="spellEnd"/>
      <w:r>
        <w:t xml:space="preserve"> de Análisis de Contenido: Utilizado para evaluar técnicamente la calidad y usabilidad de las plataformas digitales empleadas en los seminarios y universidades</w:t>
      </w:r>
      <w:r w:rsidR="007C4B6B">
        <w:t>.</w:t>
      </w:r>
    </w:p>
    <w:p w14:paraId="6C21F520" w14:textId="7390C266" w:rsidR="009B6E2A" w:rsidRDefault="00807BE9" w:rsidP="00807BE9">
      <w:pPr>
        <w:pStyle w:val="Ttulo2"/>
      </w:pPr>
      <w:r>
        <w:t xml:space="preserve">3.3 </w:t>
      </w:r>
      <w:r w:rsidRPr="00807BE9">
        <w:t>Procesamiento y Rigor del Análisis</w:t>
      </w:r>
    </w:p>
    <w:p w14:paraId="2A9B31C2" w14:textId="00175BBA" w:rsidR="009B6E2A" w:rsidRPr="009B6E2A" w:rsidRDefault="00807BE9" w:rsidP="00807BE9">
      <w:r>
        <w:t xml:space="preserve">Es importante aclarar que la ponencia sintetiza el análisis sistemático realizado mediante software especializado: SPSS versión 26 para los datos cuantitativos y </w:t>
      </w:r>
      <w:proofErr w:type="spellStart"/>
      <w:r>
        <w:t>Atlas.ti</w:t>
      </w:r>
      <w:proofErr w:type="spellEnd"/>
      <w:r>
        <w:t xml:space="preserve"> para la codificación y categorización de los discursos cualitativos. Este rigor metodológico, propio de una tesis doctoral, garantiza que las conclusiones sobre innovación educativa presentadas en este trabajo no sean meras observaciones, sino nuevo conocimiento científico validado empíricamente.</w:t>
      </w:r>
    </w:p>
    <w:p w14:paraId="1760C026" w14:textId="32871763" w:rsidR="004307D4" w:rsidRPr="0070242F" w:rsidRDefault="00CE0F4B" w:rsidP="00721EBE">
      <w:pPr>
        <w:pStyle w:val="Ttulo1"/>
      </w:pPr>
      <w:r w:rsidRPr="0070242F">
        <w:rPr>
          <w:caps w:val="0"/>
        </w:rPr>
        <w:t>4</w:t>
      </w:r>
      <w:r w:rsidR="00721EBE" w:rsidRPr="0070242F">
        <w:rPr>
          <w:caps w:val="0"/>
        </w:rPr>
        <w:t>.</w:t>
      </w:r>
      <w:r w:rsidR="00721EBE" w:rsidRPr="0070242F">
        <w:t xml:space="preserve"> </w:t>
      </w:r>
      <w:r w:rsidR="004307D4" w:rsidRPr="0070242F">
        <w:t>resultados</w:t>
      </w:r>
    </w:p>
    <w:p w14:paraId="6B98E66D" w14:textId="11D383A6" w:rsidR="00A925D9" w:rsidRDefault="00A925D9" w:rsidP="00A925D9">
      <w:r>
        <w:t xml:space="preserve">Los resultados que se presentan a continuación son el producto de un proceso de triangulación metodológica (cuantitativa y cualitativa) que caracteriza a la investigación de nivel doctoral. Este rigor permite que el </w:t>
      </w:r>
      <w:r w:rsidR="00A2277C">
        <w:t>“</w:t>
      </w:r>
      <w:r>
        <w:t>nuevo conocimiento</w:t>
      </w:r>
      <w:r w:rsidR="00A2277C">
        <w:t>”</w:t>
      </w:r>
      <w:r>
        <w:t xml:space="preserve"> generado no sea solo una descripción de hechos, sino una base científica para proponer innovaciones en la formación sacerdotal del siglo XXI</w:t>
      </w:r>
      <w:r w:rsidR="00A2277C">
        <w:t>.</w:t>
      </w:r>
    </w:p>
    <w:p w14:paraId="2E60D56C" w14:textId="6E83FE28" w:rsidR="00A2277C" w:rsidRDefault="00A2277C" w:rsidP="00A2277C">
      <w:pPr>
        <w:pStyle w:val="Ttulo2"/>
      </w:pPr>
      <w:r w:rsidRPr="00A2277C">
        <w:t>4.1. Perfil sociodemográfico y la brecha de innovación</w:t>
      </w:r>
    </w:p>
    <w:p w14:paraId="037934F5" w14:textId="77777777" w:rsidR="007C1121" w:rsidRDefault="00A2277C" w:rsidP="00A2277C">
      <w:r>
        <w:t xml:space="preserve">Desde la perspectiva del desarrollo investigativo doctoral, el análisis sociodemográfico reveló una segmentación clara que condiciona cualquier intento de innovación tecnológica. El estudio identificó que los estudiantes más jóvenes (18-30 años) predominan en el Grupo A (aprendizaje en línea), lo que evidencia una mayor “familiaridad digital”. Por </w:t>
      </w:r>
      <w:r>
        <w:lastRenderedPageBreak/>
        <w:t xml:space="preserve">el contrario, los estudiantes mayores de 36 años, representados mayoritariamente en el Grupo B (modalidad tradicional), reflejan una resistencia cultural o una preferencia por métodos analógicos. Esta disparidad no es un dato menor; para el investigador doctoral, representa el primer reto de la innovación: la necesidad de diseñar estrategias de alfabetización digital diferenciadas que aseguren la equidad educativa, tal como lo promueve la Agenda 2030. </w:t>
      </w:r>
    </w:p>
    <w:p w14:paraId="411EDCEA" w14:textId="6D715CB1" w:rsidR="00A925D9" w:rsidRDefault="007C1121" w:rsidP="0015066B">
      <w:r>
        <w:t xml:space="preserve">Es por ello </w:t>
      </w:r>
      <w:proofErr w:type="gramStart"/>
      <w:r>
        <w:t>que</w:t>
      </w:r>
      <w:proofErr w:type="gramEnd"/>
      <w:r>
        <w:t xml:space="preserve"> se hace relevante considerar que en l</w:t>
      </w:r>
      <w:r w:rsidR="00A2277C">
        <w:t>a investigación doctoral la innovación no es un proceso uniforme, sino que debe ser contextualizada y adaptativa, respetando las trayectorias de vida de los sujetos en formación.</w:t>
      </w:r>
    </w:p>
    <w:p w14:paraId="05DB55E1" w14:textId="5AC87A10" w:rsidR="00A925D9" w:rsidRDefault="00A2277C" w:rsidP="00A2277C">
      <w:pPr>
        <w:pStyle w:val="Ttulo2"/>
      </w:pPr>
      <w:r w:rsidRPr="00A2277C">
        <w:t>4.2. Análisis Cuantitativo: La validación de la eficacia digital</w:t>
      </w:r>
    </w:p>
    <w:p w14:paraId="4E358966" w14:textId="537184AC" w:rsidR="00A925D9" w:rsidRDefault="007C1121" w:rsidP="00062D12">
      <w:r>
        <w:t>Uno de los aportes más significativos de este doctorado ha sido la validación empírica de la eficacia del entorno virtual. Mediante el uso del cuestionario OLLES, adaptado y validado por expertos internacionales, se evaluaron dimensiones técnicas, pedagógicas y de interacción</w:t>
      </w:r>
      <w:r w:rsidR="00062D12">
        <w:t>.</w:t>
      </w:r>
    </w:p>
    <w:p w14:paraId="44FBA781" w14:textId="3CFB4DB3" w:rsidR="00062D12" w:rsidRDefault="00062D12" w:rsidP="00062D12">
      <w:pPr>
        <w:pStyle w:val="Ttulo3"/>
      </w:pPr>
      <w:r>
        <w:t xml:space="preserve">4.2.1 </w:t>
      </w:r>
      <w:r w:rsidRPr="00062D12">
        <w:t>Frecuencia de uso y dependencia tecnológica</w:t>
      </w:r>
    </w:p>
    <w:p w14:paraId="45B46A14" w14:textId="7A44B533" w:rsidR="00905CCF" w:rsidRDefault="00905CCF" w:rsidP="00905CCF">
      <w:r>
        <w:t>Los datos revela</w:t>
      </w:r>
      <w:r w:rsidR="0002508E">
        <w:t>ron</w:t>
      </w:r>
      <w:r>
        <w:t xml:space="preserve"> una diferencia significativa en el acceso: en el Grupo A, el 67.52% de los estudiantes utiliza internet de forma constante para sus estudios, frente a un escaso 25.64% en el Grupo B. Esta dependencia tecnológica en el Grupo A confirma que la modalidad en línea no es solo un repositorio de documentos, sino un ecosistema de aprendizaje que exige una infraestructura robusta. Sin embargo, el 49.57% del Grupo B señaló que usa internet </w:t>
      </w:r>
      <w:r w:rsidR="0002508E">
        <w:t>“</w:t>
      </w:r>
      <w:r>
        <w:t>casi nunca</w:t>
      </w:r>
      <w:r w:rsidR="0002508E">
        <w:t>”</w:t>
      </w:r>
      <w:r>
        <w:t xml:space="preserve"> o</w:t>
      </w:r>
      <w:r w:rsidR="0002508E">
        <w:t xml:space="preserve"> “</w:t>
      </w:r>
      <w:r>
        <w:t>nunca</w:t>
      </w:r>
      <w:r w:rsidR="0002508E">
        <w:t>”</w:t>
      </w:r>
      <w:r>
        <w:t>, lo que resalta la profundidad de la brecha digital en instituciones tradicionales y justifica la intervención doctoral para proponer cambios estructurales</w:t>
      </w:r>
      <w:r w:rsidR="0002508E">
        <w:t>.</w:t>
      </w:r>
    </w:p>
    <w:p w14:paraId="30D2D802" w14:textId="21F848B3" w:rsidR="00062D12" w:rsidRDefault="00062D12" w:rsidP="00062D12">
      <w:pPr>
        <w:pStyle w:val="Ttulo3"/>
      </w:pPr>
      <w:r>
        <w:t xml:space="preserve">4.2.2 </w:t>
      </w:r>
      <w:r w:rsidRPr="00062D12">
        <w:t xml:space="preserve">La </w:t>
      </w:r>
      <w:r>
        <w:t>“</w:t>
      </w:r>
      <w:r w:rsidRPr="00062D12">
        <w:t>Paradoja del Tutor</w:t>
      </w:r>
      <w:r>
        <w:t>”</w:t>
      </w:r>
      <w:r w:rsidRPr="00062D12">
        <w:t xml:space="preserve"> y la calidad educativa</w:t>
      </w:r>
    </w:p>
    <w:p w14:paraId="2A0908B2" w14:textId="211C1A99" w:rsidR="0002508E" w:rsidRDefault="0002508E" w:rsidP="00062D12">
      <w:r>
        <w:t xml:space="preserve">Un hallazgo crítico del nivel doctoral fue la identificación de lo que denominaremos la “paradoja del tutor”: mientras que el 62.21% de los estudiantes del Grupo A afirma que el tutor participa regularmente en </w:t>
      </w:r>
      <w:r>
        <w:lastRenderedPageBreak/>
        <w:t xml:space="preserve">las discusiones grupales, un alarmante 77.25% indica que el tutor nunca responde rápidamente a las consultas individuales. Este dato es fundamental para la producción de nuevo conocimiento: la innovación en el siglo XXI no depende solo de tener una plataforma de vanguardia (como </w:t>
      </w:r>
      <w:proofErr w:type="spellStart"/>
      <w:r>
        <w:t>Canvas</w:t>
      </w:r>
      <w:proofErr w:type="spellEnd"/>
      <w:r>
        <w:t xml:space="preserve"> o Moodle), sino de transformar el rol del docente. La investigación doctoral demuestra que el tutor virtual tiende a priorizar la presencia colectiva visible, descuidando el acompañamiento personalizado, lo cual es vital en una formación de carácter espiritual y pastoral</w:t>
      </w:r>
      <w:r w:rsidR="00062D12">
        <w:t>.</w:t>
      </w:r>
    </w:p>
    <w:p w14:paraId="479FF828" w14:textId="7ECDC5F0" w:rsidR="00062D12" w:rsidRDefault="00062D12" w:rsidP="0002508E">
      <w:pPr>
        <w:pStyle w:val="Ttulo2"/>
      </w:pPr>
      <w:r>
        <w:t xml:space="preserve">4.3 </w:t>
      </w:r>
      <w:r w:rsidRPr="00062D12">
        <w:t>Análisis de Correlación: Evidencia científica para la toma de decisiones</w:t>
      </w:r>
    </w:p>
    <w:p w14:paraId="23D1171D" w14:textId="0E0C7EE8" w:rsidR="0002508E" w:rsidRDefault="0002508E" w:rsidP="0002508E">
      <w:r>
        <w:t xml:space="preserve">El rigor del </w:t>
      </w:r>
      <w:r w:rsidR="0023053B">
        <w:t xml:space="preserve">estudio en este contexto </w:t>
      </w:r>
      <w:r>
        <w:t>doctora</w:t>
      </w:r>
      <w:r w:rsidR="0023053B">
        <w:t>l</w:t>
      </w:r>
      <w:r>
        <w:t xml:space="preserve"> se </w:t>
      </w:r>
      <w:r w:rsidR="0023053B">
        <w:t>manifestó, entre otros aspectos,</w:t>
      </w:r>
      <w:r>
        <w:t xml:space="preserve"> en la capacidad de realizar análisis estadísticos inferenciales que guíen la política institucional. Los resultados de la correlación de Pearson entre la implementación de métodos en línea y la percepción de eficacia mostraron dos realidades opuestas:</w:t>
      </w:r>
    </w:p>
    <w:p w14:paraId="59C93051" w14:textId="77777777" w:rsidR="0023053B" w:rsidRDefault="0002508E" w:rsidP="0002508E">
      <w:pPr>
        <w:pStyle w:val="Prrafodelista"/>
        <w:numPr>
          <w:ilvl w:val="0"/>
          <w:numId w:val="46"/>
        </w:numPr>
      </w:pPr>
      <w:r>
        <w:t xml:space="preserve">Grupo A (Formación en línea): La correlación fue prácticamente nula (r = 0.011; p = 0.908). Esto sugiere que, para quienes ya están en la virtualidad, la tecnología se ha vuelto invisible o </w:t>
      </w:r>
      <w:r w:rsidR="0023053B">
        <w:t>“</w:t>
      </w:r>
      <w:r>
        <w:t>paisaje</w:t>
      </w:r>
      <w:r w:rsidR="0023053B">
        <w:t>”</w:t>
      </w:r>
      <w:r>
        <w:t>, y su percepción de eficacia depende de otros factores no tecnológicos (calidad del contenido, acompañamiento espiritual).</w:t>
      </w:r>
    </w:p>
    <w:p w14:paraId="2C3E7E39" w14:textId="16D06037" w:rsidR="0002508E" w:rsidRDefault="0002508E" w:rsidP="0002508E">
      <w:pPr>
        <w:pStyle w:val="Prrafodelista"/>
        <w:numPr>
          <w:ilvl w:val="0"/>
          <w:numId w:val="46"/>
        </w:numPr>
      </w:pPr>
      <w:r>
        <w:t>Grupo B (Formación presencial): Se obtuvo una correlación positiva fuerte (r = 0.647; p &lt; 0.001</w:t>
      </w:r>
      <w:proofErr w:type="gramStart"/>
      <w:r>
        <w:t>)</w:t>
      </w:r>
      <w:r w:rsidR="0023053B">
        <w:t xml:space="preserve"> </w:t>
      </w:r>
      <w:r>
        <w:t>.</w:t>
      </w:r>
      <w:proofErr w:type="gramEnd"/>
      <w:r>
        <w:t xml:space="preserve"> El coeficiente de determinación (r² = 0.418) indica que el 42% de la mejora en la percepción de la eficacia formativa en este grupo se explica por la introducción de métodos digitales.</w:t>
      </w:r>
    </w:p>
    <w:p w14:paraId="084E870F" w14:textId="51E5D413" w:rsidR="00062D12" w:rsidRDefault="0002508E" w:rsidP="00062D12">
      <w:r>
        <w:t>Este hallazgo es una innovación teórica</w:t>
      </w:r>
      <w:r w:rsidR="00BF3672">
        <w:t>,</w:t>
      </w:r>
      <w:r w:rsidR="0023053B">
        <w:t xml:space="preserve"> </w:t>
      </w:r>
      <w:proofErr w:type="gramStart"/>
      <w:r w:rsidR="0023053B">
        <w:t>ya que</w:t>
      </w:r>
      <w:proofErr w:type="gramEnd"/>
      <w:r w:rsidR="0023053B">
        <w:t xml:space="preserve"> </w:t>
      </w:r>
      <w:r>
        <w:t xml:space="preserve">para las instituciones tradicionales, la digitalización inicial actúa como un potente catalizador de satisfacción y renovación pedagógica, mientras </w:t>
      </w:r>
      <w:proofErr w:type="gramStart"/>
      <w:r>
        <w:t>que</w:t>
      </w:r>
      <w:proofErr w:type="gramEnd"/>
      <w:r>
        <w:t xml:space="preserve"> en instituciones ya digitalizadas, el reto del siglo XXI es la profundidad del vínculo humano mediado </w:t>
      </w:r>
      <w:r w:rsidR="0023053B">
        <w:t>por la tecnología en línea.</w:t>
      </w:r>
    </w:p>
    <w:p w14:paraId="2DD07B9C" w14:textId="622587BA" w:rsidR="0023053B" w:rsidRDefault="0023053B" w:rsidP="0023053B">
      <w:pPr>
        <w:pStyle w:val="Ttulo2"/>
      </w:pPr>
      <w:r>
        <w:lastRenderedPageBreak/>
        <w:t xml:space="preserve">4.4 </w:t>
      </w:r>
      <w:r w:rsidRPr="0023053B">
        <w:t>Resultados Cualitativos: Las voces de la formación sacerdotal</w:t>
      </w:r>
    </w:p>
    <w:p w14:paraId="0E92CC90" w14:textId="745A25A6" w:rsidR="0023053B" w:rsidRDefault="0023053B" w:rsidP="0023053B">
      <w:r>
        <w:t>E</w:t>
      </w:r>
      <w:r w:rsidRPr="0023053B">
        <w:t xml:space="preserve">l grupo focal permitió capturar la dimensión humana que </w:t>
      </w:r>
      <w:r>
        <w:t>mediante</w:t>
      </w:r>
      <w:r w:rsidRPr="0023053B">
        <w:t xml:space="preserve"> encuestas suele</w:t>
      </w:r>
      <w:r>
        <w:t xml:space="preserve"> ser </w:t>
      </w:r>
      <w:r w:rsidR="00340C56">
        <w:t>más</w:t>
      </w:r>
      <w:r>
        <w:t xml:space="preserve"> difícil de </w:t>
      </w:r>
      <w:r w:rsidR="00340C56">
        <w:t>identificar</w:t>
      </w:r>
      <w:r w:rsidRPr="0023053B">
        <w:t xml:space="preserve">. A través de la codificación </w:t>
      </w:r>
      <w:r w:rsidR="00340C56">
        <w:t xml:space="preserve">de los testimonios </w:t>
      </w:r>
      <w:r w:rsidRPr="0023053B">
        <w:t>surgieron categorías que definen los retos y perspectivas de la educación religiosa</w:t>
      </w:r>
      <w:r w:rsidR="00340C56">
        <w:t xml:space="preserve"> en el contexto digital y tradicional.</w:t>
      </w:r>
    </w:p>
    <w:p w14:paraId="41633ACE" w14:textId="3D6AE2DE" w:rsidR="00340C56" w:rsidRDefault="00340C56" w:rsidP="00340C56">
      <w:pPr>
        <w:pStyle w:val="Ttulo3"/>
      </w:pPr>
      <w:r>
        <w:t xml:space="preserve">4.4.1 </w:t>
      </w:r>
      <w:r w:rsidRPr="00340C56">
        <w:t>Eficacia y Flexibilidad</w:t>
      </w:r>
    </w:p>
    <w:p w14:paraId="07718B85" w14:textId="2CC3FDD5" w:rsidR="00340C56" w:rsidRPr="00340C56" w:rsidRDefault="00340C56" w:rsidP="00340C56">
      <w:r>
        <w:t xml:space="preserve">Los participantes valoraron la flexibilidad como la mayor ventaja del aprendizaje en línea, permitiéndoles gestionar sus responsabilidades parroquiales mientras cursan sus estudios teológicos. Es por ello </w:t>
      </w:r>
      <w:proofErr w:type="gramStart"/>
      <w:r>
        <w:t>que</w:t>
      </w:r>
      <w:proofErr w:type="gramEnd"/>
      <w:r>
        <w:t xml:space="preserve"> los estudios de alto nivel permiten interpretar esto no solo como comodidad, sino como una democratización del conocimiento, permitiendo que seminaristas en zonas remotas accedan a profesores de nivel internacional.</w:t>
      </w:r>
    </w:p>
    <w:p w14:paraId="1F311AF7" w14:textId="03D4E566" w:rsidR="00340C56" w:rsidRDefault="00340C56" w:rsidP="00340C56">
      <w:pPr>
        <w:pStyle w:val="Ttulo3"/>
      </w:pPr>
      <w:r w:rsidRPr="00340C56">
        <w:t>4.4.2. El límite de la virtualidad: La formación litúrgica</w:t>
      </w:r>
    </w:p>
    <w:p w14:paraId="38101EB8" w14:textId="2BA9EA96" w:rsidR="00340C56" w:rsidRPr="00340C56" w:rsidRDefault="00340C56" w:rsidP="00340C56">
      <w:r>
        <w:t>Un resultado cualitativo unánime fue la preocupación por la formación práctica. Los estudiantes expresaron que “no es lo mismo estudiar teóricamente la liturgia que practicarla personalmente”. Esta tensión entre la teoría digital y la praxis ritual es el punto donde la investigación doctoral propone la innovación del modelo híbrido (</w:t>
      </w:r>
      <w:proofErr w:type="spellStart"/>
      <w:r w:rsidR="00BF3672">
        <w:t>b</w:t>
      </w:r>
      <w:r>
        <w:t>lended</w:t>
      </w:r>
      <w:proofErr w:type="spellEnd"/>
      <w:r>
        <w:t xml:space="preserve"> </w:t>
      </w:r>
      <w:proofErr w:type="spellStart"/>
      <w:r w:rsidR="00BF3672">
        <w:t>l</w:t>
      </w:r>
      <w:r>
        <w:t>earning</w:t>
      </w:r>
      <w:proofErr w:type="spellEnd"/>
      <w:r>
        <w:t xml:space="preserve">) </w:t>
      </w:r>
      <w:r>
        <w:fldChar w:fldCharType="begin"/>
      </w:r>
      <w:r>
        <w:instrText xml:space="preserve"> ADDIN ZOTERO_ITEM CSL_CITATION {"citationID":"fAE482IV","properties":{"unsorted":false,"formattedCitation":"(Fern\\uc0\\u225{}ndez y Tabuenca, 2019)","plainCitation":"(Fernández y Tabuenca, 2019)","noteIndex":0},"citationItems":[{"id":19813,"uris":["http://zotero.org/groups/4965858/items/UL6VWJ8H"],"itemData":{"id":19813,"type":"article-journal","abstract":"This paper presents a study carried out at the University of Alicante with third and fourth year students training to  be future primary and pre-primary teachers. The Valencian Community has a plurilingual education policy; therefore,  students on the education degrees can do a course on Content and Language Integrated Learning (CLIL). In 2018,  these students were invited to participate on an experience using mobile learning and blended learning to focus on the  cognitive development in CLIL as part of the 4-C wheel model (Coyle, 2007). Consequently, sixteen activities based  on tasks previously designed by Wilden (2017), Dudley and Osvath (2016) and Kryszewska and Campbell (1992)  were selected and adapted for the students to carry them out individually, in pairs, or in groups. To this end, additional  ICT tools and virtual learning environments (VLEs) were incorporated to promote debates and discussion in class.  In total 148 students, belonging to three groups, did M-learning and B-learning activities twice a week during a  two-month period. Students primarily used their own devices, which included mobile phones, tablets and laptops. The  activities focused on specific tasks future teachers will have to carry out professionally and required high order thinking  skills such as creating, analyzing and evaluating. The overall results illustrate how M-learning and B-learning did  provide the necessary framework for the development of the activities and objectives of the experience.\nEste trabajo presenta un estudio realizado en la Universidad de Alicante con alumnos de tercer  y cuarto año del Grado de Maestro en Educación Infantil y Primaria. Conforme a la política de  educación plurilingüe de la Comunidad Valenciana los estudiantes de los grados de educación  pueden cursar una asignatura de Aprendizaje Integrado de Contenido y Lenguas (AICLE). En 2018  a estos estudiantes se les invitó a participar en una experiencia del uso del aprendizaje móvil y del  aprendizaje combinado prestando atención al desarrollo cognitivo como parte del modelo de las 4 ces  (Coyle, 2007), de la metodología AICLE. En total, dieciséis actividades basadas en tareas diseñadas  por Wilden (2017), Dudley y Osvath (2016) y Kryszewska y Campbell (1992) fueron seleccionadas y  adaptadas para que los estudiantes las realizaran de forma individual, en parejas y en grupos. Con  el fin de promover debates y discusiones en clase, fue necesario incorporar herramientas TICS y  entornos de aprendizaje virtuales. Un total de 148 alumnos, pertenecientes a tres grupos, realizaron  actividades móviles y actividades combinadas dos veces por semana durante un periodo de dos  meses. Los estudiantes utilizaron principalmente sus propios dispositivos, incluyendo teléfonos  móviles, tabletas, ordenadores portátiles. Las actividades se centraron en tareas específicas que  como futuros docentes habrán de desarrollar profesionalmente, requiriendo capacidades mentales  de orden superior como crear, analizar y evaluar. El aprendizaje móvil y combinado proporcionó el  marco necesario para el desarrollo de las actividades y objetivos de la experiencia.","container-title":"3 c TIC: cuadernos de desarrollo aplicados a las TIC","ISSN":"2254-6529","issue":"2","language":"spa","note":"section: 3 c TIC: cuadernos de desarrollo aplicados a las TIC","page":"84-101","publisher":"3ciencias","source":"dialnet.unirioja.es","title":"Aprendizaje móvil y aprendizaje combinado en la asignatura de AICLE en los Grados de Educación Primaria y Educación Infantil","volume":"8","author":[{"family":"Fernández","given":"Javier"},{"family":"Tabuenca","given":"María"}],"issued":{"date-parts":[["2019"]]}}}],"schema":"https://github.com/citation-style-language/schema/raw/master/csl-citation.json"} </w:instrText>
      </w:r>
      <w:r>
        <w:fldChar w:fldCharType="separate"/>
      </w:r>
      <w:r w:rsidRPr="00340C56">
        <w:rPr>
          <w:rFonts w:cs="Times New Roman"/>
          <w:szCs w:val="24"/>
        </w:rPr>
        <w:t>(Fernández y Tabuenca, 2019)</w:t>
      </w:r>
      <w:r>
        <w:fldChar w:fldCharType="end"/>
      </w:r>
      <w:r>
        <w:t>. El conocimiento generado indica que el entorno virtual es excelente para la instrucción teórica (dimensión intelectual), pero insuficiente para la dimensión pastoral y comunitaria si no se complementa con encuentros presenciales estratégicos.</w:t>
      </w:r>
    </w:p>
    <w:p w14:paraId="042C5A07" w14:textId="75208838" w:rsidR="00A925D9" w:rsidRDefault="00A2277C" w:rsidP="00A2277C">
      <w:pPr>
        <w:pStyle w:val="Ttulo2"/>
      </w:pPr>
      <w:r w:rsidRPr="00A2277C">
        <w:t>4.</w:t>
      </w:r>
      <w:r w:rsidR="0023053B">
        <w:t>5</w:t>
      </w:r>
      <w:r w:rsidRPr="00A2277C">
        <w:t xml:space="preserve">. Análisis de Correlación: Evidencia científica para la toma de decisiones </w:t>
      </w:r>
    </w:p>
    <w:p w14:paraId="7C440C73" w14:textId="77777777" w:rsidR="00ED1B0E" w:rsidRDefault="00ED1B0E" w:rsidP="00ED1B0E">
      <w:r>
        <w:t xml:space="preserve">Finalmente, el trabajo de campo doctoral incluyó un análisis técnico de las plataformas. Se compararon cursos con bajo diseño visual y foros pasivos frente a módulos interactivos en </w:t>
      </w:r>
      <w:proofErr w:type="spellStart"/>
      <w:r>
        <w:t>Canvas</w:t>
      </w:r>
      <w:proofErr w:type="spellEnd"/>
      <w:r>
        <w:t xml:space="preserve"> que obtuvieron una calificación de calidad superior.</w:t>
      </w:r>
    </w:p>
    <w:p w14:paraId="6949BEB7" w14:textId="599E90A3" w:rsidR="00ED1B0E" w:rsidRDefault="00ED1B0E" w:rsidP="00ED1B0E">
      <w:r>
        <w:lastRenderedPageBreak/>
        <w:t>Este análisis objetivo permite concluir que la adaptación digital exitosa requiere una inversión consciente en diseño instruccional. La formación doctoral dota al investigador de la capacidad crítica para señalar que una plataforma difícil de navegar o instrucciones poco claras (52.26% de desaprobación en el Grupo A) son barreras que anulan los beneficios de la tecnología.</w:t>
      </w:r>
    </w:p>
    <w:p w14:paraId="24379D34" w14:textId="413CDD29" w:rsidR="00ED1B0E" w:rsidRDefault="002A43CD" w:rsidP="00ED1B0E">
      <w:pPr>
        <w:pStyle w:val="Ttulo1"/>
      </w:pPr>
      <w:r w:rsidRPr="0070242F">
        <w:t xml:space="preserve">5. </w:t>
      </w:r>
      <w:r w:rsidR="00CE0F4B" w:rsidRPr="0070242F">
        <w:t>discusión</w:t>
      </w:r>
    </w:p>
    <w:p w14:paraId="027526A3" w14:textId="592C92A2" w:rsidR="00ED1B0E" w:rsidRDefault="00ED1B0E" w:rsidP="00ED1B0E">
      <w:r>
        <w:t xml:space="preserve">La discusión de los hallazgos de esta investigación, enmarcada en el proceso de formación doctoral en Innovación y Transformación Educativa, </w:t>
      </w:r>
      <w:r w:rsidR="000D2A90">
        <w:t>intentará ir más allá del</w:t>
      </w:r>
      <w:r>
        <w:t xml:space="preserve"> análisis de datos para convertirse en una reflexión crítica sobre cómo la producción de nuevo conocimiento puede transformar instituciones milenarias. La transición hacia la educación en línea en la formación sacerdotal no es solo un cambio de plataforma, sino una evolución hacia lo que el siglo XXI exige: una integración armoniosa entre la tradición humanística y la disrupción tecnológica. </w:t>
      </w:r>
      <w:r w:rsidR="000D2A90">
        <w:t>Todo ello par</w:t>
      </w:r>
      <w:r w:rsidR="00BF3672">
        <w:t>t</w:t>
      </w:r>
      <w:r w:rsidR="000D2A90">
        <w:t>iendo</w:t>
      </w:r>
      <w:r w:rsidR="00BF3672">
        <w:t xml:space="preserve"> </w:t>
      </w:r>
      <w:r w:rsidR="000D2A90">
        <w:t>de la base de que se considera que</w:t>
      </w:r>
      <w:r>
        <w:t xml:space="preserve"> el nivel doctoral es el que permite que esta transición sea ética, pedagógica y doctrinalmente sólida.</w:t>
      </w:r>
    </w:p>
    <w:p w14:paraId="6357FDD3" w14:textId="77777777" w:rsidR="00ED1B0E" w:rsidRDefault="00ED1B0E" w:rsidP="000D2A90">
      <w:pPr>
        <w:pStyle w:val="Ttulo2"/>
      </w:pPr>
      <w:r>
        <w:t>5.1. El rigor doctoral frente a los mitos de la eficacia digital</w:t>
      </w:r>
    </w:p>
    <w:p w14:paraId="4FB647C3" w14:textId="2FA6FFBA" w:rsidR="00ED1B0E" w:rsidRDefault="00ED1B0E" w:rsidP="00ED1B0E">
      <w:r>
        <w:t>Uno de los puntos de mayor debate en la educación religiosa contemporánea es la supuesta inferioridad de los métodos virtuales frente a la presencialidad. Los resultados de este estudio</w:t>
      </w:r>
      <w:r w:rsidR="00BF3672">
        <w:t xml:space="preserve"> </w:t>
      </w:r>
      <w:r>
        <w:t xml:space="preserve">demuestran científicamente que no existen diferencias significativas en la percepción de eficacia entre ambas modalidades. Este hallazgo es fundamental para la innovación institucional, ya que rompe con el prejuicio de que el entorno digital es meramente un </w:t>
      </w:r>
      <w:r w:rsidR="00010774">
        <w:t>“</w:t>
      </w:r>
      <w:r>
        <w:t>sustituto de emergencia</w:t>
      </w:r>
      <w:r w:rsidR="00010774">
        <w:t>”</w:t>
      </w:r>
      <w:r>
        <w:t>.</w:t>
      </w:r>
      <w:r w:rsidR="00010774">
        <w:tab/>
      </w:r>
    </w:p>
    <w:p w14:paraId="2B90E438" w14:textId="24BE88CA" w:rsidR="00ED1B0E" w:rsidRDefault="00ED1B0E" w:rsidP="00ED1B0E">
      <w:r w:rsidRPr="002D3C49">
        <w:t>Desde la perspectiva del constructivismo de Jean Piaget, el aprendizaje es un proceso activo donde el sujeto construye su conocimiento mediante la interacción con el entorn</w:t>
      </w:r>
      <w:r>
        <w:t>o</w:t>
      </w:r>
      <w:r w:rsidR="002D3C49">
        <w:t xml:space="preserve"> </w:t>
      </w:r>
      <w:r w:rsidR="002D3C49">
        <w:fldChar w:fldCharType="begin"/>
      </w:r>
      <w:r w:rsidR="002D3C49">
        <w:instrText xml:space="preserve"> ADDIN ZOTERO_ITEM CSL_CITATION {"citationID":"m2I2qajc","properties":{"unsorted":false,"formattedCitation":"(Waite-Stupiansky, 2022)","plainCitation":"(Waite-Stupiansky, 2022)","noteIndex":0},"citationItems":[{"id":19800,"uris":["http://zotero.org/groups/4965858/items/NN5SCRSW"],"itemData":{"id":19800,"type":"chapter","abstract":"Jean Piaget changed the way educators and psychologists view children with his constructivist theory of learning. His research studied children in their natural environment and in clinical interviews. Piaget’s extensive notes on the children’s interactions with each other and adults gave him insights into their thinking and reasoning as they developed from infancy until adolescence. His theory encompasses cognitive, social, moral, and other areas of development. Application of the Piagetian theory to early childhood education has implications for the classroom environment, active learning, and teaching in ways to optimize children’s learning, which this chapter outlines, as well as ways Piagetian theory can be adapted to meet contemporary changes in early childhood practices.\n                     Key words: Constructivism, Operations, Equilibration/equilibrium, Types of knowledge, Heteronomous morality, Autonomous morality, Symbolic representation, Authentic questions, Logical Reasoning, Play","container-title":"Theories of Early Childhood Education","edition":"2","ISBN":"978-1-003-28807-7","note":"number-of-pages: 16","publisher":"Routledge","title":"Jean Piaget's Constructivist Theory of Learning","author":[{"family":"Waite-Stupiansky","given":"Sandra"}],"issued":{"date-parts":[["2022"]]}}}],"schema":"https://github.com/citation-style-language/schema/raw/master/csl-citation.json"} </w:instrText>
      </w:r>
      <w:r w:rsidR="002D3C49">
        <w:fldChar w:fldCharType="separate"/>
      </w:r>
      <w:r w:rsidR="002D3C49" w:rsidRPr="002D3C49">
        <w:rPr>
          <w:rFonts w:cs="Times New Roman"/>
        </w:rPr>
        <w:t>(Waite-Stupiansky, 2022)</w:t>
      </w:r>
      <w:r w:rsidR="002D3C49">
        <w:fldChar w:fldCharType="end"/>
      </w:r>
      <w:r>
        <w:t>. En la formación sacerdotal, esto significa que el estudiante no es un receptor pasivo de doctrina, sino un participante dinámico que, a través de pla</w:t>
      </w:r>
      <w:r>
        <w:lastRenderedPageBreak/>
        <w:t xml:space="preserve">taformas digitales, puede experimentar procesos de </w:t>
      </w:r>
      <w:r w:rsidR="008B2DF1">
        <w:t>equilibrio</w:t>
      </w:r>
      <w:r>
        <w:t xml:space="preserve"> y asimilación similares a los del aula física, siempre que el diseño instruccional sea adecuado. </w:t>
      </w:r>
      <w:r w:rsidR="002D3C49">
        <w:t xml:space="preserve">En este sentido, uno de los aportes del </w:t>
      </w:r>
      <w:r>
        <w:t>doctorado</w:t>
      </w:r>
      <w:r w:rsidR="002D3C49">
        <w:t xml:space="preserve"> ha sido que este ha permitido</w:t>
      </w:r>
      <w:r>
        <w:t xml:space="preserve"> entender que la </w:t>
      </w:r>
      <w:r w:rsidR="002D3C49">
        <w:t>“</w:t>
      </w:r>
      <w:r>
        <w:t>eficacia</w:t>
      </w:r>
      <w:r w:rsidR="002D3C49">
        <w:t>”</w:t>
      </w:r>
      <w:r>
        <w:t xml:space="preserve"> no reside en el medio, sino en la capacidad del entorno para facilitar esta construcción activa del saber.</w:t>
      </w:r>
    </w:p>
    <w:p w14:paraId="70900D03" w14:textId="77777777" w:rsidR="00ED1B0E" w:rsidRDefault="00ED1B0E" w:rsidP="000D2A90">
      <w:pPr>
        <w:pStyle w:val="Ttulo2"/>
      </w:pPr>
      <w:r>
        <w:t>5.2. La interacción social y la "Paradoja del Tutor"</w:t>
      </w:r>
    </w:p>
    <w:p w14:paraId="5775FC65" w14:textId="7C9BC842" w:rsidR="00ED1B0E" w:rsidRDefault="00ED1B0E" w:rsidP="00ED1B0E">
      <w:r>
        <w:t xml:space="preserve">Sin embargo, el rigor del análisis doctoral detectó un área crítica: la comunicación y la interacción social. Los datos cuantitativos revelaron que el 77.25% de los estudiantes del Grupo A </w:t>
      </w:r>
      <w:r w:rsidR="002D3C49">
        <w:t>“</w:t>
      </w:r>
      <w:r>
        <w:t>nunca</w:t>
      </w:r>
      <w:r w:rsidR="002D3C49">
        <w:t>”</w:t>
      </w:r>
      <w:r>
        <w:t xml:space="preserve"> recibe respuestas rápidas a sus consultas individuales, a pesar de que el 62.21% afirma que el tutor participa regularmente en discusiones grupales. Este fenómeno, que </w:t>
      </w:r>
      <w:r w:rsidR="002D3C49">
        <w:t>se denominó</w:t>
      </w:r>
      <w:r w:rsidR="00BF3672">
        <w:t xml:space="preserve"> </w:t>
      </w:r>
      <w:r w:rsidR="002D3C49">
        <w:t>“</w:t>
      </w:r>
      <w:r>
        <w:t>paradoja del tutor</w:t>
      </w:r>
      <w:r w:rsidR="002D3C49">
        <w:t>”</w:t>
      </w:r>
      <w:r>
        <w:t xml:space="preserve">, es un hallazgo clave que solo una mirada investigativa </w:t>
      </w:r>
      <w:r w:rsidR="002D3C49">
        <w:t xml:space="preserve">más </w:t>
      </w:r>
      <w:r>
        <w:t xml:space="preserve">profunda </w:t>
      </w:r>
      <w:r w:rsidR="002D3C49">
        <w:t>ha podido evidenciar</w:t>
      </w:r>
      <w:r>
        <w:t>.</w:t>
      </w:r>
    </w:p>
    <w:p w14:paraId="2AC5962D" w14:textId="5A12E1A1" w:rsidR="00ED1B0E" w:rsidRDefault="00ED1B0E" w:rsidP="00ED1B0E">
      <w:r>
        <w:t>Este resultado interpela directamente la Teoría de la Comunidad de Indagación</w:t>
      </w:r>
      <w:r w:rsidR="002D3C49">
        <w:t xml:space="preserve"> </w:t>
      </w:r>
      <w:r w:rsidR="002D3C49">
        <w:fldChar w:fldCharType="begin"/>
      </w:r>
      <w:r w:rsidR="002D3C49">
        <w:instrText xml:space="preserve"> ADDIN ZOTERO_ITEM CSL_CITATION {"citationID":"lPIM2G6Y","properties":{"unsorted":false,"formattedCitation":"(Garrison y Arbaugh, 2007)","plainCitation":"(Garrison y Arbaugh, 2007)","noteIndex":0},"citationItems":[{"id":19351,"uris":["http://zotero.org/groups/4965858/items/EJBMD44B"],"itemData":{"id":19351,"type":"article-journal","abstract":"Since its publication in The Internet and Higher Education, Garrison, Anderson, and Archer's [Garrison, D. R., Anderson, T., &amp; Archer, W. (2000). Critical inquiry in a text-based environment: Computer conferencing in higher education. The Internet and Higher Education, 2(2–3), 87–105.] community of inquiry (CoI) framework has generated substantial interest among online learning researchers. This literature review examines recent research pertaining to the overall framework as well as to specific studies on social, teaching, and cognitive presence. We then use the findings from this literature to identify potential future directions for research. Some of these research directions include the need for more quantitatively-oriented studies, the need for more cross-disciplinary studies, and the opportunities for identifying factors that moderate and/or extend the relationship between the framework's components and online course outcomes.","container-title":"The Internet and Higher Education","DOI":"10.1016/j.iheduc.2007.04.001","ISSN":"1096-7516","issue":"3","journalAbbreviation":"The Internet and Higher Education","page":"157-172","source":"ScienceDirect","title":"Researching the community of inquiry framework: Review, issues, and future directions","title-short":"Researching the community of inquiry framework","volume":"10","author":[{"family":"Garrison","given":"D. Randy"},{"family":"Arbaugh","given":"J. B."}],"issued":{"date-parts":[["2007",1,1]]}}}],"schema":"https://github.com/citation-style-language/schema/raw/master/csl-citation.json"} </w:instrText>
      </w:r>
      <w:r w:rsidR="002D3C49">
        <w:fldChar w:fldCharType="separate"/>
      </w:r>
      <w:r w:rsidR="002D3C49" w:rsidRPr="002D3C49">
        <w:rPr>
          <w:rFonts w:cs="Times New Roman"/>
        </w:rPr>
        <w:t>(Garrison y Arbaugh, 2007)</w:t>
      </w:r>
      <w:r w:rsidR="002D3C49">
        <w:fldChar w:fldCharType="end"/>
      </w:r>
      <w:r>
        <w:t xml:space="preserve">, la cual postula que para que exista un aprendizaje significativo en línea deben interactuar tres presencias: la cognitiva, la social y la docente. En la formación sacerdotal, la presencia social es vital porque no solo se transmiten datos, sino que se forma una comunidad espiritual. </w:t>
      </w:r>
      <w:proofErr w:type="gramStart"/>
      <w:r w:rsidR="002D3C49">
        <w:t>Y</w:t>
      </w:r>
      <w:proofErr w:type="gramEnd"/>
      <w:r w:rsidR="002D3C49">
        <w:t xml:space="preserve"> por ende</w:t>
      </w:r>
      <w:r w:rsidR="00465BB1">
        <w:t xml:space="preserve">, </w:t>
      </w:r>
      <w:r w:rsidR="008B2DF1">
        <w:t>también</w:t>
      </w:r>
      <w:r w:rsidR="00465BB1">
        <w:t xml:space="preserve"> como fruto de la formación doctoral, l</w:t>
      </w:r>
      <w:r>
        <w:t xml:space="preserve">a discusión académica aquí </w:t>
      </w:r>
      <w:r w:rsidR="00465BB1">
        <w:t>se ha propuesto que se centre</w:t>
      </w:r>
      <w:r>
        <w:t xml:space="preserve"> en que la innovación en el siglo XXI no consiste en automatizar la enseñanza, sino en humanizar la tecnología. El tutor debe evolucionar de ser un mero transmisor a ser un facilitador de vínculos, asegurando que el aislamiento social</w:t>
      </w:r>
      <w:r w:rsidR="00465BB1">
        <w:t xml:space="preserve">, </w:t>
      </w:r>
      <w:r>
        <w:t>identificado como un reto por Gillett-Swan</w:t>
      </w:r>
      <w:r w:rsidR="00465BB1">
        <w:t xml:space="preserve"> </w:t>
      </w:r>
      <w:r w:rsidR="00465BB1">
        <w:fldChar w:fldCharType="begin"/>
      </w:r>
      <w:r w:rsidR="00465BB1">
        <w:instrText xml:space="preserve"> ADDIN ZOTERO_ITEM CSL_CITATION {"citationID":"guvZZj4h","properties":{"unsorted":false,"formattedCitation":"(2017)","plainCitation":"(2017)","noteIndex":0},"citationItems":[{"id":19728,"uris":["http://zotero.org/groups/4965858/items/52ZL3NPI"],"itemData":{"id":19728,"type":"article-journal","abstract":"Higher education providers are becoming increasingly aware of the diversity of their current and potential learners and are moving to provide a range of options for their engagement. The increasingly flexible delivery modes available for university students provide multiple pathways and opportunities for those seeking further education. In changing between and across modes, a one-size-fits-all approach is often used. That is, internal content is converted into a form deemed suitable for an external delivery. However, there is a significant problem with the one-size-fits-all approach for external students who feel or experience isolation. When compared to their internal counterparts, these students often face a number of barriers to their full participation in coursework units. These barriers may not be experienced by those engaging in these same units via face-to-face or blended enrolment modes and therefore present another type of learner to consider in the planning and implementation of learning activities online. The barriers to participation appear particularly evident in groupwork activities. The online environment also presents challenges for many academic staff who increasingly require higher levels of technological competency and proficiency on top of their regular academic workload. Drawing on reflections of several years of facilitating student learning online, this paper provides one lecturer’s perspective and critical commentary on some of the challenges faced by external students and the implications of an increasingly online delivery framework for practice.","container-title":"Journal of Learning Design","ISSN":"1832-8342","issue":"1","language":"en","license":"free_to_read","note":"number: 1","page":"20-30","publisher":"Queensland University of Technology","source":"eprints.qut.edu.au","title":"The challenges of online learning: supporting and engaging the isolated learner","title-short":"The challenges of online learning","volume":"10","author":[{"family":"Gillett-Swan","given":"Jenna"}],"issued":{"date-parts":[["2017"]]}},"suppress-author":true}],"schema":"https://github.com/citation-style-language/schema/raw/master/csl-citation.json"} </w:instrText>
      </w:r>
      <w:r w:rsidR="00465BB1">
        <w:fldChar w:fldCharType="separate"/>
      </w:r>
      <w:r w:rsidR="00465BB1" w:rsidRPr="00465BB1">
        <w:rPr>
          <w:rFonts w:cs="Times New Roman"/>
        </w:rPr>
        <w:t>(2017)</w:t>
      </w:r>
      <w:r w:rsidR="00465BB1">
        <w:fldChar w:fldCharType="end"/>
      </w:r>
      <w:r w:rsidR="00465BB1">
        <w:t>,</w:t>
      </w:r>
      <w:r>
        <w:t xml:space="preserve"> no degenere en una desmotivación del estudiante</w:t>
      </w:r>
      <w:r w:rsidR="00465BB1">
        <w:t>.</w:t>
      </w:r>
    </w:p>
    <w:p w14:paraId="791F0B8B" w14:textId="77777777" w:rsidR="00ED1B0E" w:rsidRDefault="00ED1B0E" w:rsidP="000D2A90">
      <w:pPr>
        <w:pStyle w:val="Ttulo2"/>
      </w:pPr>
      <w:r>
        <w:t>5.3. El desafío de la brecha digital como imperativo ético</w:t>
      </w:r>
    </w:p>
    <w:p w14:paraId="3259ADBF" w14:textId="7D5051D6" w:rsidR="00ED1B0E" w:rsidRDefault="00ED1B0E" w:rsidP="00ED1B0E">
      <w:r>
        <w:t xml:space="preserve">La formación doctoral nos obliga a mirar más allá de la pantalla y analizar las condiciones socioeconómicas del aprendizaje. Los resultados mostraron que el 49.57% de los estudiantes del Grupo B </w:t>
      </w:r>
      <w:r w:rsidR="009A67FE">
        <w:t>“</w:t>
      </w:r>
      <w:r>
        <w:t>casi nunca</w:t>
      </w:r>
      <w:r w:rsidR="009A67FE">
        <w:t>”</w:t>
      </w:r>
      <w:r>
        <w:t xml:space="preserve"> o </w:t>
      </w:r>
      <w:r w:rsidR="009A67FE">
        <w:t>“</w:t>
      </w:r>
      <w:r>
        <w:t>nunca</w:t>
      </w:r>
      <w:r w:rsidR="009A67FE">
        <w:t>”</w:t>
      </w:r>
      <w:r>
        <w:t xml:space="preserve"> usa internet para su formación, frente al uso intensivo del </w:t>
      </w:r>
      <w:r>
        <w:lastRenderedPageBreak/>
        <w:t>Grupo A. Esta brecha digital en Ecuador, particularmente en zonas rurales, no es solo un problema técnico; es un desafío a la equidad educativa que promueve la Agenda 2030 y el ODS 4.</w:t>
      </w:r>
    </w:p>
    <w:p w14:paraId="6F55A2BA" w14:textId="1B8B8CCA" w:rsidR="00ED1B0E" w:rsidRDefault="00ED1B0E" w:rsidP="00ED1B0E">
      <w:r>
        <w:t>Como investigador</w:t>
      </w:r>
      <w:r w:rsidR="000B4EA8">
        <w:t>es</w:t>
      </w:r>
      <w:r w:rsidR="009A67FE">
        <w:t xml:space="preserve"> </w:t>
      </w:r>
      <w:r>
        <w:t>doctoral</w:t>
      </w:r>
      <w:r w:rsidR="000B4EA8">
        <w:t>es</w:t>
      </w:r>
      <w:r>
        <w:t xml:space="preserve">, </w:t>
      </w:r>
      <w:r w:rsidR="000B4EA8">
        <w:t>debemos saber</w:t>
      </w:r>
      <w:r>
        <w:t xml:space="preserve"> que la innovación que no es inclusiva no es verdadera innovación. El acceso a dispositivos y a una red estable es una condición de justicia social. La discusión debe elevarse hacia la Recomendación de la UNESCO sobre la Ética de la IA, la cual exige que las tecnologías no exacerben las desigualdades, sino que beneficien a todos equitativamente</w:t>
      </w:r>
      <w:r w:rsidR="000B4EA8">
        <w:t xml:space="preserve"> </w:t>
      </w:r>
      <w:r w:rsidR="000B4EA8">
        <w:fldChar w:fldCharType="begin"/>
      </w:r>
      <w:r w:rsidR="000B4EA8">
        <w:instrText xml:space="preserve"> ADDIN ZOTERO_ITEM CSL_CITATION {"citationID":"ANQMTC2g","properties":{"unsorted":false,"formattedCitation":"(UNESCO, 2021)","plainCitation":"(UNESCO, 2021)","noteIndex":0},"citationItems":[{"id":19785,"uris":["http://zotero.org/groups/4965858/items/54BS5H3U"],"itemData":{"id":19785,"type":"document","title":"Recommendation on the Ethics of Artificial Intelligence","URL":"https://unesdoc.unesco.org/ark:/48223/pf0000381137","author":[{"family":"UNESCO","given":""}],"accessed":{"date-parts":[["2024",7,24]]},"issued":{"date-parts":[["2021"]]}}}],"schema":"https://github.com/citation-style-language/schema/raw/master/csl-citation.json"} </w:instrText>
      </w:r>
      <w:r w:rsidR="000B4EA8">
        <w:fldChar w:fldCharType="separate"/>
      </w:r>
      <w:r w:rsidR="000B4EA8" w:rsidRPr="000B4EA8">
        <w:rPr>
          <w:rFonts w:cs="Times New Roman"/>
        </w:rPr>
        <w:t>(UNESCO, 2021)</w:t>
      </w:r>
      <w:r w:rsidR="000B4EA8">
        <w:fldChar w:fldCharType="end"/>
      </w:r>
      <w:r w:rsidR="000B4EA8">
        <w:t>. E</w:t>
      </w:r>
      <w:r>
        <w:t>n la praxis sacerdotal del autor, esto se traduce en que la Iglesia debe liderar procesos de alfabetización digital para asegurar que la vocación de un seminarista no se pierda por falta de conectividad en una región remota.</w:t>
      </w:r>
    </w:p>
    <w:p w14:paraId="43509D00" w14:textId="77777777" w:rsidR="00ED1B0E" w:rsidRDefault="00ED1B0E" w:rsidP="000D2A90">
      <w:pPr>
        <w:pStyle w:val="Ttulo2"/>
      </w:pPr>
      <w:r>
        <w:t>5.4. La intersección entre Vigor Científico y Praxis Sacerdotal</w:t>
      </w:r>
    </w:p>
    <w:p w14:paraId="0A3EAAF6" w14:textId="77777777" w:rsidR="000B4EA8" w:rsidRDefault="000B4EA8" w:rsidP="00ED1B0E">
      <w:r>
        <w:t>Lo particular de esta</w:t>
      </w:r>
      <w:r w:rsidR="00ED1B0E">
        <w:t xml:space="preserve"> ponencia reside en la aplicación de las cuatro tareas de Richard Osmer (2008), un marco metodológico que integra el nivel doctoral con la teología práctica</w:t>
      </w:r>
      <w:r>
        <w:t xml:space="preserve">. </w:t>
      </w:r>
      <w:r w:rsidR="00ED1B0E">
        <w:t xml:space="preserve">En la tarea descriptiva, </w:t>
      </w:r>
      <w:r>
        <w:t>se ha</w:t>
      </w:r>
      <w:r w:rsidR="00ED1B0E">
        <w:t xml:space="preserve"> mapeado la realidad de los seminarios en Ecuador, detectando una transición inevitable pero compleja</w:t>
      </w:r>
      <w:r>
        <w:t xml:space="preserve">. </w:t>
      </w:r>
      <w:r w:rsidR="00ED1B0E">
        <w:t xml:space="preserve">En la tarea interpretativa, </w:t>
      </w:r>
      <w:r>
        <w:t>se usaron</w:t>
      </w:r>
      <w:r w:rsidR="00ED1B0E">
        <w:t xml:space="preserve"> teorías como el Modelo de Aceptación de Tecnología (TAM) para entender que la percepción de utilidad es el factor que realmente determina si un estudiante adoptará la innovación digital</w:t>
      </w:r>
      <w:r>
        <w:t xml:space="preserve"> </w:t>
      </w:r>
      <w:r>
        <w:fldChar w:fldCharType="begin"/>
      </w:r>
      <w:r>
        <w:instrText xml:space="preserve"> ADDIN ZOTERO_ITEM CSL_CITATION {"citationID":"7qyQlgOv","properties":{"unsorted":false,"formattedCitation":"(Maranguni\\uc0\\u263{} y Grani\\uc0\\u263{}, 2015)","plainCitation":"(Marangunić y Granić, 2015)","noteIndex":0},"citationItems":[{"id":19810,"uris":["http://zotero.org/groups/4965858/items/LKI3254E"],"itemData":{"id":19810,"type":"article-journal","abstract":"With the ever-increasing development of technology and its integration into users’ private and professional life, a decision regarding its acceptance or rejection still remains an open question. A respectable amount of work dealing with the technology acceptance model (TAM), from its first appearance more than a quarter of a century ago, clearly indicates a popularity of the model in the field of technology acceptance. Originated in the psychological theory of reasoned action and theory of planned behavior, TAM has evolved to become a key model in understanding predictors of human behavior toward potential acceptance or rejection of the technology. The main aim of the paper is to provide an up-to-date, well-researched resource of past and current references to TAM-related literature and to identify possible directions for future TAM research. The paper presents a comprehensive concept-centric literature review of the TAM, from 1986 onwards. According to a designed methodology, 85 scientific publications have been selected and classified according to their aim and content into three categories such as (i) TAM literature reviews, (ii) development and extension of TAM, and (iii) modification and application of TAM. Despite a continuous progress in revealing new factors with significant influence on TAM’s core variables, there are still many unexplored areas of model potential application that could contribute to its predictive validity. Consequently, four possible future directions for TAM research based on the conducted literature review and analysis are identified and presented.","container-title":"Universal Access in the Information Society","DOI":"10.1007/s10209-014-0348-1","ISSN":"1615-5297","issue":"1","journalAbbreviation":"Univ Access Inf Soc","language":"en","page":"81-95","source":"Springer Link","title":"Technology acceptance model: a literature review from 1986 to 2013","title-short":"Technology acceptance model","volume":"14","author":[{"family":"Marangunić","given":"Nikola"},{"family":"Granić","given":"Andrina"}],"issued":{"date-parts":[["2015",3,1]]}}}],"schema":"https://github.com/citation-style-language/schema/raw/master/csl-citation.json"} </w:instrText>
      </w:r>
      <w:r>
        <w:fldChar w:fldCharType="separate"/>
      </w:r>
      <w:r w:rsidRPr="000B4EA8">
        <w:rPr>
          <w:rFonts w:cs="Times New Roman"/>
          <w:szCs w:val="24"/>
        </w:rPr>
        <w:t>(Marangunić y Granić, 2015)</w:t>
      </w:r>
      <w:r>
        <w:fldChar w:fldCharType="end"/>
      </w:r>
      <w:r w:rsidR="00ED1B0E">
        <w:t>.</w:t>
      </w:r>
    </w:p>
    <w:p w14:paraId="4E155992" w14:textId="395C8D71" w:rsidR="00ED1B0E" w:rsidRDefault="00ED1B0E" w:rsidP="00ED1B0E">
      <w:r>
        <w:t>En la tarea normativa, la discusión se vuelve profunda: ¿cómo debe ser la formación? Aquí, la caridad pastoral</w:t>
      </w:r>
      <w:r w:rsidR="00F54007">
        <w:t xml:space="preserve"> </w:t>
      </w:r>
      <w:r w:rsidR="00F54007">
        <w:fldChar w:fldCharType="begin"/>
      </w:r>
      <w:r w:rsidR="00F54007">
        <w:instrText xml:space="preserve"> ADDIN ZOTERO_ITEM CSL_CITATION {"citationID":"RIFN9ypp","properties":{"unsorted":false,"formattedCitation":"(Cheruparambil, 2015)","plainCitation":"(Cheruparambil, 2015)","noteIndex":0},"citationItems":[{"id":19704,"uris":["http://zotero.org/groups/4965858/items/8GBQF7A5"],"itemData":{"id":19704,"type":"paper-conference","abstract":"PDV is the longest document of John Paul II and consists of six chapters with a long introduction (nn. 1-4). The first three chapters discuss the challenges, nature, mission and spirituality of the ministerial priesthood, while the other three treat the theme of priestly formation and the ongoing formation of priests. The conclusion consists of a prayer to Mary, Mother of Jesus Christ and the Mother of all priests. In fact, the exhorttation is an inspiration for priestly formation with an ample illumination by way of a formative itinerary on the quality of the spiritual life of priests. Chapter five is the longest chapter of PDV and it discusses the formation of the candidate to the priesthood. It focuses on the human, spiritual, intellectual and pastoral dimensions of priestly formation. It seems that human formation must be the foundation of priestly formation, spiritual and liturgical formation is its heart, intellectual formation is the means, and pastoral formation is the end. The human, spiritual and intellectual formation of candidates to priesthood is directed to “a specific pastoral end” which ensures a “certain precise content and characteristics.” One of the important aspects of the papal exhortation is the emphasis laid on the expression ‘pastoral charity’ as the animating spirit of every priest. The term ‘pastoral charity’ appears fifty-one times in PDV and one finds the idea reflected in all the chapters except chapter one. The purpose of the exhortation is well expressed in the term ‘pastoral charity’. Pastoral charity is a participation in the same charity of Jesus Christ; which in substance consists of the “gift of self, the total gift to the Church” ‘Pastoral charity’ is the means of unity, it is “the dynamic inner principle capable of unifying the many different activities of priests.” PDV specifies the necessity of formation and the life of priests to be modelled after the dimension of the unique shepherd’s charity.","source":"Semantic Scholar","title":"Priestly Formation According to Pastores Dabo Vobis","URL":"https://www.semanticscholar.org/paper/Priestly-Formation-According-to-Pastores-Dabo-Vobis-Cheruparambil/ea519b9036d9e07fcf80db08ce1f5e171913cda0","author":[{"family":"Cheruparambil","given":"Thomas"}],"accessed":{"date-parts":[["2024",7,23]]},"issued":{"date-parts":[["2015",6,1]]}}}],"schema":"https://github.com/citation-style-language/schema/raw/master/csl-citation.json"} </w:instrText>
      </w:r>
      <w:r w:rsidR="00F54007">
        <w:fldChar w:fldCharType="separate"/>
      </w:r>
      <w:r w:rsidR="00F54007" w:rsidRPr="00F54007">
        <w:rPr>
          <w:rFonts w:cs="Times New Roman"/>
        </w:rPr>
        <w:t>(Cheruparambil, 2015)</w:t>
      </w:r>
      <w:r w:rsidR="00F54007">
        <w:fldChar w:fldCharType="end"/>
      </w:r>
      <w:r>
        <w:t xml:space="preserve"> actúa como el principio unificador que impide que la tecnología despersonalice el ministerio.</w:t>
      </w:r>
      <w:r w:rsidR="00F54007">
        <w:t xml:space="preserve"> Y e</w:t>
      </w:r>
      <w:r>
        <w:t xml:space="preserve">n la tarea pragmática, la propuesta es clara: el </w:t>
      </w:r>
      <w:proofErr w:type="spellStart"/>
      <w:r w:rsidR="00BF3672">
        <w:t>b</w:t>
      </w:r>
      <w:r>
        <w:t>lended</w:t>
      </w:r>
      <w:proofErr w:type="spellEnd"/>
      <w:r>
        <w:t xml:space="preserve"> </w:t>
      </w:r>
      <w:proofErr w:type="spellStart"/>
      <w:r w:rsidR="00BF3672">
        <w:t>l</w:t>
      </w:r>
      <w:r>
        <w:t>earning</w:t>
      </w:r>
      <w:proofErr w:type="spellEnd"/>
      <w:r>
        <w:t xml:space="preserve"> o aprendizaje combinado</w:t>
      </w:r>
      <w:r w:rsidR="00F54007">
        <w:t xml:space="preserve"> </w:t>
      </w:r>
      <w:r w:rsidR="00F54007">
        <w:fldChar w:fldCharType="begin"/>
      </w:r>
      <w:r w:rsidR="00F54007">
        <w:instrText xml:space="preserve"> ADDIN ZOTERO_ITEM CSL_CITATION {"citationID":"Too8R3tM","properties":{"unsorted":false,"formattedCitation":"(Fern\\uc0\\u225{}ndez y Tabuenca, 2019)","plainCitation":"(Fernández y Tabuenca, 2019)","noteIndex":0},"citationItems":[{"id":19813,"uris":["http://zotero.org/groups/4965858/items/UL6VWJ8H"],"itemData":{"id":19813,"type":"article-journal","abstract":"This paper presents a study carried out at the University of Alicante with third and fourth year students training to  be future primary and pre-primary teachers. The Valencian Community has a plurilingual education policy; therefore,  students on the education degrees can do a course on Content and Language Integrated Learning (CLIL). In 2018,  these students were invited to participate on an experience using mobile learning and blended learning to focus on the  cognitive development in CLIL as part of the 4-C wheel model (Coyle, 2007). Consequently, sixteen activities based  on tasks previously designed by Wilden (2017), Dudley and Osvath (2016) and Kryszewska and Campbell (1992)  were selected and adapted for the students to carry them out individually, in pairs, or in groups. To this end, additional  ICT tools and virtual learning environments (VLEs) were incorporated to promote debates and discussion in class.  In total 148 students, belonging to three groups, did M-learning and B-learning activities twice a week during a  two-month period. Students primarily used their own devices, which included mobile phones, tablets and laptops. The  activities focused on specific tasks future teachers will have to carry out professionally and required high order thinking  skills such as creating, analyzing and evaluating. The overall results illustrate how M-learning and B-learning did  provide the necessary framework for the development of the activities and objectives of the experience.\nEste trabajo presenta un estudio realizado en la Universidad de Alicante con alumnos de tercer  y cuarto año del Grado de Maestro en Educación Infantil y Primaria. Conforme a la política de  educación plurilingüe de la Comunidad Valenciana los estudiantes de los grados de educación  pueden cursar una asignatura de Aprendizaje Integrado de Contenido y Lenguas (AICLE). En 2018  a estos estudiantes se les invitó a participar en una experiencia del uso del aprendizaje móvil y del  aprendizaje combinado prestando atención al desarrollo cognitivo como parte del modelo de las 4 ces  (Coyle, 2007), de la metodología AICLE. En total, dieciséis actividades basadas en tareas diseñadas  por Wilden (2017), Dudley y Osvath (2016) y Kryszewska y Campbell (1992) fueron seleccionadas y  adaptadas para que los estudiantes las realizaran de forma individual, en parejas y en grupos. Con  el fin de promover debates y discusiones en clase, fue necesario incorporar herramientas TICS y  entornos de aprendizaje virtuales. Un total de 148 alumnos, pertenecientes a tres grupos, realizaron  actividades móviles y actividades combinadas dos veces por semana durante un periodo de dos  meses. Los estudiantes utilizaron principalmente sus propios dispositivos, incluyendo teléfonos  móviles, tabletas, ordenadores portátiles. Las actividades se centraron en tareas específicas que  como futuros docentes habrán de desarrollar profesionalmente, requiriendo capacidades mentales  de orden superior como crear, analizar y evaluar. El aprendizaje móvil y combinado proporcionó el  marco necesario para el desarrollo de las actividades y objetivos de la experiencia.","container-title":"3 c TIC: cuadernos de desarrollo aplicados a las TIC","ISSN":"2254-6529","issue":"2","language":"spa","note":"section: 3 c TIC: cuadernos de desarrollo aplicados a las TIC","page":"84-101","publisher":"3ciencias","source":"dialnet.unirioja.es","title":"Aprendizaje móvil y aprendizaje combinado en la asignatura de AICLE en los Grados de Educación Primaria y Educación Infantil","volume":"8","author":[{"family":"Fernández","given":"Javier"},{"family":"Tabuenca","given":"María"}],"issued":{"date-parts":[["2019"]]}}}],"schema":"https://github.com/citation-style-language/schema/raw/master/csl-citation.json"} </w:instrText>
      </w:r>
      <w:r w:rsidR="00F54007">
        <w:fldChar w:fldCharType="separate"/>
      </w:r>
      <w:r w:rsidR="00F54007" w:rsidRPr="00F54007">
        <w:rPr>
          <w:rFonts w:cs="Times New Roman"/>
          <w:szCs w:val="24"/>
        </w:rPr>
        <w:t>(Fernández y Tabuenca, 2019)</w:t>
      </w:r>
      <w:r w:rsidR="00F54007">
        <w:fldChar w:fldCharType="end"/>
      </w:r>
      <w:r>
        <w:t>.</w:t>
      </w:r>
    </w:p>
    <w:p w14:paraId="241A0CE2" w14:textId="77777777" w:rsidR="00ED1B0E" w:rsidRDefault="00ED1B0E" w:rsidP="000D2A90">
      <w:pPr>
        <w:pStyle w:val="Ttulo2"/>
      </w:pPr>
      <w:r>
        <w:t>5.5. Perspectivas de Innovación: Hacia el Modelo Híbrido</w:t>
      </w:r>
    </w:p>
    <w:p w14:paraId="059DCAE3" w14:textId="2EA83A88" w:rsidR="00ED1B0E" w:rsidRDefault="00ED1B0E" w:rsidP="00ED1B0E">
      <w:r>
        <w:t xml:space="preserve">La discusión final apunta hacia la superación de la dicotomía virtual vs. presencial. Los hallazgos cualitativos del grupo focal fueron unánimes: </w:t>
      </w:r>
      <w:r w:rsidR="00F54007">
        <w:t>“</w:t>
      </w:r>
      <w:r>
        <w:t>no es lo mismo estudiar teóricamente la liturgia que practicarla</w:t>
      </w:r>
      <w:r w:rsidR="00F54007">
        <w:t>”</w:t>
      </w:r>
      <w:r>
        <w:t xml:space="preserve">. Esta </w:t>
      </w:r>
      <w:r>
        <w:lastRenderedPageBreak/>
        <w:t xml:space="preserve">limitación en la formación práctica es el punto donde la investigación doctoral propone su mayor innovación: un modelo híbrido fundamentado en la </w:t>
      </w:r>
      <w:r w:rsidR="00BF3672">
        <w:t>t</w:t>
      </w:r>
      <w:r>
        <w:t xml:space="preserve">eoría del </w:t>
      </w:r>
      <w:r w:rsidR="00BF3672">
        <w:t>a</w:t>
      </w:r>
      <w:r>
        <w:t xml:space="preserve">prendizaje </w:t>
      </w:r>
      <w:r w:rsidR="00BF3672">
        <w:t>c</w:t>
      </w:r>
      <w:r>
        <w:t>ombinado (Fernández &amp; Tabuenca, 2019).</w:t>
      </w:r>
    </w:p>
    <w:p w14:paraId="2FEC5F0B" w14:textId="06DA3AF7" w:rsidR="00ED1B0E" w:rsidRDefault="00ED1B0E" w:rsidP="00ED1B0E">
      <w:r>
        <w:t>Este modelo permite que la instrucción teórica se beneficie de la flexibilidad, el acceso global a profesores extranjeros y la autonomía digital, mientras que los encuentros presenciales se reservan para la formación humana y social, los ritos sacramentales y la construcción de la identidad comunitaria que, como señala</w:t>
      </w:r>
      <w:r w:rsidR="00BF3672">
        <w:t>n</w:t>
      </w:r>
      <w:r>
        <w:t xml:space="preserve"> Meza-Prado &amp; Vega-Mora (2023), pueden verse comprometidos por una digitalización total. </w:t>
      </w:r>
      <w:r w:rsidR="00F54007">
        <w:t xml:space="preserve">Es por ello </w:t>
      </w:r>
      <w:proofErr w:type="gramStart"/>
      <w:r w:rsidR="00F54007">
        <w:t>que</w:t>
      </w:r>
      <w:proofErr w:type="gramEnd"/>
      <w:r w:rsidR="00F54007">
        <w:t xml:space="preserve"> </w:t>
      </w:r>
      <w:r w:rsidR="008B2DF1">
        <w:t>también</w:t>
      </w:r>
      <w:r w:rsidR="00F54007">
        <w:t xml:space="preserve">, fruto de esta </w:t>
      </w:r>
      <w:r>
        <w:t>formación doctoral</w:t>
      </w:r>
      <w:r w:rsidR="00F54007">
        <w:t xml:space="preserve">, es factible </w:t>
      </w:r>
      <w:r>
        <w:t>proponer que esta hibridación no es un retroceso, sino una estrategia de calidad que asegura la excelencia en el liderazgo religioso del siglo XXI.</w:t>
      </w:r>
    </w:p>
    <w:p w14:paraId="1A06E4F1" w14:textId="58C6834D" w:rsidR="00ED1B0E" w:rsidRDefault="00ED1B0E" w:rsidP="000D2A90">
      <w:pPr>
        <w:pStyle w:val="Ttulo2"/>
      </w:pPr>
      <w:r>
        <w:t>5.6</w:t>
      </w:r>
      <w:r w:rsidR="00F54007">
        <w:t>.</w:t>
      </w:r>
      <w:r>
        <w:t xml:space="preserve"> El Doctorado como Compromiso</w:t>
      </w:r>
    </w:p>
    <w:p w14:paraId="100346ED" w14:textId="0F9E4CC2" w:rsidR="00ED1B0E" w:rsidRPr="00ED1B0E" w:rsidRDefault="00ED1B0E" w:rsidP="00ED1B0E">
      <w:r>
        <w:t>En suma, la discusión de estos resultados demuestra que cursar un doctorado en Innovación y Transformación Educativa ha permitido al autor procesar su experiencia sacerdotal a través del filtro de la ciencia. La ponencia no solo</w:t>
      </w:r>
      <w:r w:rsidR="00F54007">
        <w:t xml:space="preserve"> pretende</w:t>
      </w:r>
      <w:r>
        <w:t xml:space="preserve"> informa</w:t>
      </w:r>
      <w:r w:rsidR="00F54007">
        <w:t>r</w:t>
      </w:r>
      <w:r>
        <w:t xml:space="preserve"> sobre una tesis, sino</w:t>
      </w:r>
      <w:r w:rsidR="001A3114">
        <w:t xml:space="preserve"> </w:t>
      </w:r>
      <w:r>
        <w:t>ejemplifica</w:t>
      </w:r>
      <w:r w:rsidR="00F54007">
        <w:t>r</w:t>
      </w:r>
      <w:r>
        <w:t xml:space="preserve"> cómo la formación doctoral es la herramienta que permite a los profesionales e investigadores de hoy actuar como agentes de cambio. La innovación en el siglo XXI requiere sujetos capaces de dialogar con la tecnología, la ética y la tradición simultáneamente, produciendo un conocimiento que sea a la vez riguroso, humano y transformador.</w:t>
      </w:r>
    </w:p>
    <w:p w14:paraId="568F694A" w14:textId="337BD443" w:rsidR="004307D4" w:rsidRPr="0070242F" w:rsidRDefault="00721EBE" w:rsidP="00721EBE">
      <w:pPr>
        <w:pStyle w:val="Ttulo1"/>
      </w:pPr>
      <w:r w:rsidRPr="0070242F">
        <w:rPr>
          <w:caps w:val="0"/>
        </w:rPr>
        <w:t>6.</w:t>
      </w:r>
      <w:r w:rsidRPr="0070242F">
        <w:t xml:space="preserve"> </w:t>
      </w:r>
      <w:r w:rsidR="004307D4" w:rsidRPr="0070242F">
        <w:t xml:space="preserve">conclusiones </w:t>
      </w:r>
    </w:p>
    <w:p w14:paraId="2DFBABF0" w14:textId="7B841133" w:rsidR="004C506E" w:rsidRPr="004C506E" w:rsidRDefault="004C506E" w:rsidP="004C506E">
      <w:pPr>
        <w:rPr>
          <w:lang w:val="es-419"/>
        </w:rPr>
      </w:pPr>
      <w:r w:rsidRPr="004C506E">
        <w:rPr>
          <w:lang w:val="es-419"/>
        </w:rPr>
        <w:t xml:space="preserve">La culminación de este proceso de investigación, gestado en el marco del Doctorado en Innovación y Transformación Educativa, permite establecer que la formación doctoral no es simplemente una etapa de especialización académica, sino el motor fundamental para la producción de nuevo conocimiento que responda a las crisis de paradigmas en el siglo XXI. Al analizar la adaptación digital en la enseñanza sacerdotal en Ecuador, se concluye que el rigor científico proporcionado por el nivel doctoral ha permitido desentrañar la complejidad de un fenómeno </w:t>
      </w:r>
      <w:r w:rsidRPr="004C506E">
        <w:rPr>
          <w:lang w:val="es-419"/>
        </w:rPr>
        <w:lastRenderedPageBreak/>
        <w:t>donde la tradición milenaria se encuentra con la disrupción tecnológica, permitiendo una transición fundamentada y ética.</w:t>
      </w:r>
    </w:p>
    <w:p w14:paraId="76B8DDF6" w14:textId="65C914C5" w:rsidR="004C506E" w:rsidRPr="004C506E" w:rsidRDefault="004C506E" w:rsidP="004C506E">
      <w:pPr>
        <w:rPr>
          <w:lang w:val="es-419"/>
        </w:rPr>
      </w:pPr>
      <w:r w:rsidRPr="004C506E">
        <w:rPr>
          <w:lang w:val="es-419"/>
        </w:rPr>
        <w:t>En relación con la evaluación de la eficacia y calidad percibida, el estudio arroja una visión multifacética que trasciende la dicotomía entre lo presencial y lo virtual. Se ha logrado determinar que los estudiantes y docentes construyen sus percepciones a partir de una evaluación constante de las ventajas técnicas frente a las carencias de profundidad relacional. Mientras que la flexibilidad, la autonomía y el acceso global a recursos académicos son valorados como innovaciones que democratizan el conocimiento, persiste una preocupación latente sobre la calidad de la formación en las dimensiones espiritual y pastoral. Esta percepción confirma que, desde un enfoque constructivista, el aprendizaje no es estático; se reconstruye a partir de la interacción con el entorno, y en la formación sacerdotal, ese entorno requiere una presencia docente y social que el formato digital actual no siempre logra replicar con éxito.</w:t>
      </w:r>
    </w:p>
    <w:p w14:paraId="25DD3C35" w14:textId="77777777" w:rsidR="00F1295E" w:rsidRDefault="004C506E" w:rsidP="004C506E">
      <w:pPr>
        <w:rPr>
          <w:lang w:val="es-419"/>
        </w:rPr>
      </w:pPr>
      <w:r w:rsidRPr="004C506E">
        <w:rPr>
          <w:lang w:val="es-419"/>
        </w:rPr>
        <w:t>Los desafíos identificados a lo largo de la investigación revelan barreras estructurales que la innovación doctoral está llamada a resolver. En el ámbito técnico, la brecha de infraestructura y conectividad en las zonas rurales de Ecuador se presenta no solo como una limitación material, sino como un imperativo ético de justicia educativa. El hecho de que una parte significativa de los estudiantes en formación tradicional reporte un acceso nulo o casi nulo a internet evidencia que la digitalización no es un proceso uniforme y que requiere de una estrategia de inclusión digital robusta. Asimismo, la carencia de competencias digitales avanzadas en una parte del profesorado subraya la necesidad de una formación continua que permita a los tutores no solo usar herramientas, sino transformar su rol pedagógico hacia un acompañamiento más dinámico y participativo</w:t>
      </w:r>
      <w:r w:rsidR="00F1295E">
        <w:rPr>
          <w:lang w:val="es-419"/>
        </w:rPr>
        <w:t>.</w:t>
      </w:r>
    </w:p>
    <w:p w14:paraId="0CE5FD25" w14:textId="77657B13" w:rsidR="004C506E" w:rsidRPr="004C506E" w:rsidRDefault="004C506E" w:rsidP="004C506E">
      <w:pPr>
        <w:rPr>
          <w:lang w:val="es-419"/>
        </w:rPr>
      </w:pPr>
      <w:r w:rsidRPr="004C506E">
        <w:rPr>
          <w:lang w:val="es-419"/>
        </w:rPr>
        <w:t xml:space="preserve">Desde una perspectiva doctrinal y metodológica, se concluye que los desafíos más profundos residen en la dificultad de trasladar la experiencia vital y comunitaria al espacio virtual. La formación sacerdotal, fundamentada en la </w:t>
      </w:r>
      <w:r w:rsidR="00F1295E">
        <w:rPr>
          <w:lang w:val="es-419"/>
        </w:rPr>
        <w:t>“</w:t>
      </w:r>
      <w:r w:rsidRPr="004C506E">
        <w:rPr>
          <w:lang w:val="es-419"/>
        </w:rPr>
        <w:t>caridad pastoral</w:t>
      </w:r>
      <w:r w:rsidR="00F1295E">
        <w:rPr>
          <w:lang w:val="es-419"/>
        </w:rPr>
        <w:t>”</w:t>
      </w:r>
      <w:r w:rsidRPr="004C506E">
        <w:rPr>
          <w:lang w:val="es-419"/>
        </w:rPr>
        <w:t xml:space="preserve">, requiere de un discernimiento y una interacción humana directa que la pantalla suele filtrar o debilitar. La investigación doctoral permite concluir que, si bien el conocimiento teórico puede transmitirse eficazmente en línea, la dimensión litúrgica </w:t>
      </w:r>
      <w:r w:rsidRPr="004C506E">
        <w:rPr>
          <w:lang w:val="es-419"/>
        </w:rPr>
        <w:lastRenderedPageBreak/>
        <w:t>y ritual corre el riesgo de despersonalizarse si no se acompaña de una praxis presencial supervisada. Este hallazgo constituye la base de una de las innovaciones más importantes propuestas en este trabajo: la superación de la exclusión mutua entre modalidades para dar paso a una visión integradora.</w:t>
      </w:r>
    </w:p>
    <w:p w14:paraId="379AB433" w14:textId="7A843ECA" w:rsidR="004C506E" w:rsidRPr="004C506E" w:rsidRDefault="004C506E" w:rsidP="004C506E">
      <w:pPr>
        <w:rPr>
          <w:lang w:val="es-419"/>
        </w:rPr>
      </w:pPr>
      <w:r w:rsidRPr="004C506E">
        <w:rPr>
          <w:lang w:val="es-419"/>
        </w:rPr>
        <w:t>En cuanto a la aplicación práctica de los conocimientos, los resultados demuestran que existe una clara diferenciación entre la adquisición de contenidos y su ejecución ministerial. La virtualidad ha demostrado ser una herramienta poderosa para el acceso global y la diversificación de la formación, permitiendo que futuros sacerdotes se nutran de perspectivas internacionales y desarrollen competencias tecnológicas esenciales para la evangelización en la era digital. No obstante, el aislamiento inherente a los entornos 100% virtuales limita el desarrollo de habilidades interpersonales, de liderazgo y de contención emocional, las cuales son componentes críticos de la labor pastoral. Por tanto, la investigación doctoral justifica que la tecnología sea un medio para potenciar el mensaje religioso, asegurando que el soporte digital fortalezca, y no sustituya, la experiencia de fe compartida y la vida comunitaria</w:t>
      </w:r>
      <w:r w:rsidR="00F1295E">
        <w:rPr>
          <w:lang w:val="es-419"/>
        </w:rPr>
        <w:t>.</w:t>
      </w:r>
    </w:p>
    <w:p w14:paraId="4CCC051E" w14:textId="1B225983" w:rsidR="00B863D3" w:rsidRDefault="004C506E" w:rsidP="004C506E">
      <w:pPr>
        <w:rPr>
          <w:lang w:val="es-419"/>
        </w:rPr>
      </w:pPr>
      <w:r w:rsidRPr="004C506E">
        <w:rPr>
          <w:lang w:val="es-419"/>
        </w:rPr>
        <w:t xml:space="preserve">Uno de los aportes científicos más destacados de este estudio es la confirmación de que no existen diferencias significativas en la percepción de eficacia formativa entre los estudiantes de modalidad en línea y presencial. Este resultado permite rechazar la idea de que la educación digital sea intrínsecamente inferior. Ambas modalidades presentan fortalezas complementarias: la presencialidad en la integridad formativa y comunitaria, y la virtualidad en la flexibilidad y la gestión del conocimiento. Este </w:t>
      </w:r>
      <w:r w:rsidR="00B863D3">
        <w:rPr>
          <w:lang w:val="es-419"/>
        </w:rPr>
        <w:t>“</w:t>
      </w:r>
      <w:r w:rsidRPr="004C506E">
        <w:rPr>
          <w:lang w:val="es-419"/>
        </w:rPr>
        <w:t>nuevo conocimiento</w:t>
      </w:r>
      <w:r w:rsidR="00B863D3">
        <w:rPr>
          <w:lang w:val="es-419"/>
        </w:rPr>
        <w:t>”</w:t>
      </w:r>
      <w:r w:rsidRPr="004C506E">
        <w:rPr>
          <w:lang w:val="es-419"/>
        </w:rPr>
        <w:t xml:space="preserve"> generado a través de la tesis doctoral permite concluir que el éxito de la formación en el siglo XXI no reside en elegir una modalidad sobre la otra, sino en la implementación estratégica de modelos híbridos (</w:t>
      </w:r>
      <w:proofErr w:type="spellStart"/>
      <w:r w:rsidR="001A3114">
        <w:rPr>
          <w:lang w:val="es-419"/>
        </w:rPr>
        <w:t>b</w:t>
      </w:r>
      <w:r w:rsidRPr="004C506E">
        <w:rPr>
          <w:lang w:val="es-419"/>
        </w:rPr>
        <w:t>lended</w:t>
      </w:r>
      <w:proofErr w:type="spellEnd"/>
      <w:r w:rsidRPr="004C506E">
        <w:rPr>
          <w:lang w:val="es-419"/>
        </w:rPr>
        <w:t xml:space="preserve"> </w:t>
      </w:r>
      <w:proofErr w:type="spellStart"/>
      <w:r w:rsidR="001A3114">
        <w:rPr>
          <w:lang w:val="es-419"/>
        </w:rPr>
        <w:t>l</w:t>
      </w:r>
      <w:r w:rsidRPr="004C506E">
        <w:rPr>
          <w:lang w:val="es-419"/>
        </w:rPr>
        <w:t>earning</w:t>
      </w:r>
      <w:proofErr w:type="spellEnd"/>
      <w:r w:rsidRPr="004C506E">
        <w:rPr>
          <w:lang w:val="es-419"/>
        </w:rPr>
        <w:t>)</w:t>
      </w:r>
      <w:r w:rsidR="00F1295E">
        <w:rPr>
          <w:lang w:val="es-419"/>
        </w:rPr>
        <w:t>.</w:t>
      </w:r>
    </w:p>
    <w:p w14:paraId="102A4AAB" w14:textId="2CC70D70" w:rsidR="004C506E" w:rsidRPr="004C506E" w:rsidRDefault="004C506E" w:rsidP="004C506E">
      <w:pPr>
        <w:rPr>
          <w:lang w:val="es-419"/>
        </w:rPr>
      </w:pPr>
      <w:r w:rsidRPr="004C506E">
        <w:rPr>
          <w:lang w:val="es-419"/>
        </w:rPr>
        <w:t xml:space="preserve">Este modelo híbrido se propone como la respuesta innovadora a los retos detectados, permitiendo que la instrucción teórica aproveche la flexibilidad digital mientras que los encuentros presenciales se reserven para la formación humana, los ritos sacramentales y la consolidación de la fraternidad sacerdotal. La formación doctoral ha permitido, en definitiva, que el investigador actúe como un agente de transformación, </w:t>
      </w:r>
      <w:r w:rsidRPr="004C506E">
        <w:rPr>
          <w:lang w:val="es-419"/>
        </w:rPr>
        <w:lastRenderedPageBreak/>
        <w:t>capaz de proponer soluciones científicamente validadas que aseguren que la modernización tecnológica de la Iglesia no comprometa su profundidad espiritual.</w:t>
      </w:r>
    </w:p>
    <w:p w14:paraId="6A3697C1" w14:textId="0F2C2633" w:rsidR="004C506E" w:rsidRPr="004C506E" w:rsidRDefault="004C506E" w:rsidP="004C506E">
      <w:pPr>
        <w:rPr>
          <w:lang w:val="es-419"/>
        </w:rPr>
      </w:pPr>
      <w:r w:rsidRPr="004C506E">
        <w:rPr>
          <w:lang w:val="es-419"/>
        </w:rPr>
        <w:t>Para concluir, se recomienda que las instituciones eclesiásticas y educativas apuesten por un análisis longitudinal que evalúe cómo estos egresados formados en entornos digitales se integran en sus comunidades pastorales a largo plazo. Es imperativo continuar fortaleciendo la capacitación tecnológica docente y diseñar estrategias pedagógicas que fomenten la cohesión grupal en la virtualidad, como foros interactivos y mentorías personalizadas. La formación doctoral en innovación educativa es, por tanto, el puente necesario para que la tradición y la tecnología dialoguen en favor de una educación sacerdotal de excelencia que responda con eficacia a las demandas de una sociedad globalizada y digitalizada</w:t>
      </w:r>
    </w:p>
    <w:p w14:paraId="42050F67" w14:textId="0CFE4347" w:rsidR="009E664A" w:rsidRPr="0070242F" w:rsidRDefault="001A433B" w:rsidP="004C506E">
      <w:pPr>
        <w:pStyle w:val="Ttulo1"/>
        <w:rPr>
          <w:rStyle w:val="14Versalitas"/>
          <w:smallCaps w:val="0"/>
        </w:rPr>
      </w:pPr>
      <w:r>
        <w:rPr>
          <w:caps w:val="0"/>
        </w:rPr>
        <w:t>7</w:t>
      </w:r>
      <w:r w:rsidR="00721EBE" w:rsidRPr="0070242F">
        <w:rPr>
          <w:caps w:val="0"/>
        </w:rPr>
        <w:t>.</w:t>
      </w:r>
      <w:r w:rsidR="00721EBE" w:rsidRPr="0070242F">
        <w:t xml:space="preserve"> </w:t>
      </w:r>
      <w:r w:rsidR="002F3733" w:rsidRPr="0070242F">
        <w:t>Referencias</w:t>
      </w:r>
      <w:r w:rsidR="005417EB" w:rsidRPr="0070242F">
        <w:t xml:space="preserve"> </w:t>
      </w:r>
      <w:r w:rsidR="00BF50C0" w:rsidRPr="0070242F">
        <w:rPr>
          <w:caps w:val="0"/>
        </w:rPr>
        <w:t xml:space="preserve"> </w:t>
      </w:r>
    </w:p>
    <w:p w14:paraId="4D49A0AE" w14:textId="77777777" w:rsidR="004C506E" w:rsidRPr="004C506E" w:rsidRDefault="004C506E" w:rsidP="004C506E">
      <w:pPr>
        <w:pStyle w:val="Bibliografa"/>
        <w:spacing w:line="276" w:lineRule="auto"/>
      </w:pPr>
      <w:r>
        <w:rPr>
          <w:smallCaps/>
          <w:szCs w:val="26"/>
        </w:rPr>
        <w:fldChar w:fldCharType="begin"/>
      </w:r>
      <w:r>
        <w:rPr>
          <w:smallCaps/>
          <w:szCs w:val="26"/>
        </w:rPr>
        <w:instrText xml:space="preserve"> ADDIN ZOTERO_BIBL {"uncited":[],"omitted":[],"custom":[]} CSL_BIBLIOGRAPHY </w:instrText>
      </w:r>
      <w:r>
        <w:rPr>
          <w:smallCaps/>
          <w:szCs w:val="26"/>
        </w:rPr>
        <w:fldChar w:fldCharType="separate"/>
      </w:r>
      <w:r w:rsidRPr="004C506E">
        <w:t xml:space="preserve">Aguilar, J. P. (2018). Paradigma constructivista en la Educación. </w:t>
      </w:r>
      <w:r w:rsidRPr="004C506E">
        <w:rPr>
          <w:i/>
          <w:iCs/>
        </w:rPr>
        <w:t>Luxiérnaga - Revista de Estudiantes de Filosofía</w:t>
      </w:r>
      <w:r w:rsidRPr="004C506E">
        <w:t xml:space="preserve">, </w:t>
      </w:r>
      <w:r w:rsidRPr="004C506E">
        <w:rPr>
          <w:i/>
          <w:iCs/>
        </w:rPr>
        <w:t>8</w:t>
      </w:r>
      <w:r w:rsidRPr="004C506E">
        <w:t>(16), Article 16. https://doi.org/10.33064/16luxirnaga2686</w:t>
      </w:r>
    </w:p>
    <w:p w14:paraId="1CA6210F" w14:textId="77777777" w:rsidR="004C506E" w:rsidRPr="004C506E" w:rsidRDefault="004C506E" w:rsidP="004C506E">
      <w:pPr>
        <w:pStyle w:val="Bibliografa"/>
        <w:spacing w:line="276" w:lineRule="auto"/>
      </w:pPr>
      <w:r w:rsidRPr="004C506E">
        <w:t xml:space="preserve">Castillo-Bustos, M. R., Rojas-Mesa, J. E., y Yépez-Moreno, A. G. (2023). Perspectivas y retos de la formación doctoral en América Latina. </w:t>
      </w:r>
      <w:r w:rsidRPr="004C506E">
        <w:rPr>
          <w:i/>
          <w:iCs/>
        </w:rPr>
        <w:t>Revista Científica Retos de la Ciencia</w:t>
      </w:r>
      <w:r w:rsidRPr="004C506E">
        <w:t xml:space="preserve">, </w:t>
      </w:r>
      <w:r w:rsidRPr="004C506E">
        <w:rPr>
          <w:i/>
          <w:iCs/>
        </w:rPr>
        <w:t>7</w:t>
      </w:r>
      <w:r w:rsidRPr="004C506E">
        <w:t>(14), 139–155.</w:t>
      </w:r>
    </w:p>
    <w:p w14:paraId="2C4EFADE" w14:textId="77777777" w:rsidR="004C506E" w:rsidRPr="004C506E" w:rsidRDefault="004C506E" w:rsidP="004C506E">
      <w:pPr>
        <w:pStyle w:val="Bibliografa"/>
        <w:spacing w:line="276" w:lineRule="auto"/>
      </w:pPr>
      <w:r w:rsidRPr="004C506E">
        <w:t xml:space="preserve">Cheruparambil, T. (2015, junio 1). </w:t>
      </w:r>
      <w:r w:rsidRPr="004C506E">
        <w:rPr>
          <w:i/>
          <w:iCs/>
        </w:rPr>
        <w:t>Priestly Formation According to Pastores Dabo Vobis</w:t>
      </w:r>
      <w:r w:rsidRPr="004C506E">
        <w:t>. https://www.semanticscholar.org/paper/Priestly-Formation-According-to-Pastores-Dabo-Vobis-Cheruparambil/ea519b9036d9e07fcf80db08ce1f5e171913cda0</w:t>
      </w:r>
    </w:p>
    <w:p w14:paraId="6CFAD5E3" w14:textId="77777777" w:rsidR="004C506E" w:rsidRPr="004C506E" w:rsidRDefault="004C506E" w:rsidP="004C506E">
      <w:pPr>
        <w:pStyle w:val="Bibliografa"/>
        <w:spacing w:line="276" w:lineRule="auto"/>
      </w:pPr>
      <w:r w:rsidRPr="004C506E">
        <w:t xml:space="preserve">Fernández, J., y Tabuenca, M. (2019). Aprendizaje móvil y aprendizaje combinado en la asignatura de AICLE en los Grados de Educación Primaria y Educación Infantil. </w:t>
      </w:r>
      <w:r w:rsidRPr="004C506E">
        <w:rPr>
          <w:i/>
          <w:iCs/>
        </w:rPr>
        <w:t>3 c TIC: cuadernos de desarrollo aplicados a las TIC</w:t>
      </w:r>
      <w:r w:rsidRPr="004C506E">
        <w:t xml:space="preserve">, </w:t>
      </w:r>
      <w:r w:rsidRPr="004C506E">
        <w:rPr>
          <w:i/>
          <w:iCs/>
        </w:rPr>
        <w:t>8</w:t>
      </w:r>
      <w:r w:rsidRPr="004C506E">
        <w:t>(2), 84–101.</w:t>
      </w:r>
    </w:p>
    <w:p w14:paraId="6DEC4AFD" w14:textId="77777777" w:rsidR="004C506E" w:rsidRPr="004C506E" w:rsidRDefault="004C506E" w:rsidP="004C506E">
      <w:pPr>
        <w:pStyle w:val="Bibliografa"/>
        <w:spacing w:line="276" w:lineRule="auto"/>
        <w:rPr>
          <w:lang w:val="en-US"/>
        </w:rPr>
      </w:pPr>
      <w:r w:rsidRPr="004C506E">
        <w:t xml:space="preserve">Garrison, D. R., y Arbaugh, J. B. (2007). </w:t>
      </w:r>
      <w:r w:rsidRPr="004C506E">
        <w:rPr>
          <w:lang w:val="en-US"/>
        </w:rPr>
        <w:t xml:space="preserve">Researching the community of inquiry framework: Review, issues, and future directions. </w:t>
      </w:r>
      <w:r w:rsidRPr="004C506E">
        <w:rPr>
          <w:i/>
          <w:iCs/>
          <w:lang w:val="en-US"/>
        </w:rPr>
        <w:t>The Internet and Higher Education</w:t>
      </w:r>
      <w:r w:rsidRPr="004C506E">
        <w:rPr>
          <w:lang w:val="en-US"/>
        </w:rPr>
        <w:t xml:space="preserve">, </w:t>
      </w:r>
      <w:r w:rsidRPr="004C506E">
        <w:rPr>
          <w:i/>
          <w:iCs/>
          <w:lang w:val="en-US"/>
        </w:rPr>
        <w:t>10</w:t>
      </w:r>
      <w:r w:rsidRPr="004C506E">
        <w:rPr>
          <w:lang w:val="en-US"/>
        </w:rPr>
        <w:t>(3), 157–172. https://doi.org/10.1016/j.iheduc.2007.04.001</w:t>
      </w:r>
    </w:p>
    <w:p w14:paraId="1D05D0E9" w14:textId="77777777" w:rsidR="004C506E" w:rsidRPr="004C506E" w:rsidRDefault="004C506E" w:rsidP="004C506E">
      <w:pPr>
        <w:pStyle w:val="Bibliografa"/>
        <w:spacing w:line="276" w:lineRule="auto"/>
        <w:rPr>
          <w:lang w:val="en-US"/>
        </w:rPr>
      </w:pPr>
      <w:r w:rsidRPr="004C506E">
        <w:rPr>
          <w:lang w:val="en-US"/>
        </w:rPr>
        <w:lastRenderedPageBreak/>
        <w:t xml:space="preserve">Gillett-Swan, J. (2017). The challenges of online learning: Supporting and engaging the isolated learner. </w:t>
      </w:r>
      <w:r w:rsidRPr="004C506E">
        <w:rPr>
          <w:i/>
          <w:iCs/>
          <w:lang w:val="en-US"/>
        </w:rPr>
        <w:t>Journal of Learning Design</w:t>
      </w:r>
      <w:r w:rsidRPr="004C506E">
        <w:rPr>
          <w:lang w:val="en-US"/>
        </w:rPr>
        <w:t xml:space="preserve">, </w:t>
      </w:r>
      <w:r w:rsidRPr="004C506E">
        <w:rPr>
          <w:i/>
          <w:iCs/>
          <w:lang w:val="en-US"/>
        </w:rPr>
        <w:t>10</w:t>
      </w:r>
      <w:r w:rsidRPr="004C506E">
        <w:rPr>
          <w:lang w:val="en-US"/>
        </w:rPr>
        <w:t>(1), Article 1.</w:t>
      </w:r>
    </w:p>
    <w:p w14:paraId="032C3E02" w14:textId="77777777" w:rsidR="004C506E" w:rsidRPr="004C506E" w:rsidRDefault="004C506E" w:rsidP="004C506E">
      <w:pPr>
        <w:pStyle w:val="Bibliografa"/>
        <w:spacing w:line="276" w:lineRule="auto"/>
        <w:rPr>
          <w:lang w:val="en-US"/>
        </w:rPr>
      </w:pPr>
      <w:r w:rsidRPr="004C506E">
        <w:rPr>
          <w:lang w:val="en-US"/>
        </w:rPr>
        <w:t xml:space="preserve">Marangunić, N., y Granić, A. (2015). Technology acceptance model: A literature review from 1986 to 2013. </w:t>
      </w:r>
      <w:r w:rsidRPr="004C506E">
        <w:rPr>
          <w:i/>
          <w:iCs/>
          <w:lang w:val="en-US"/>
        </w:rPr>
        <w:t>Universal Access in the Information Society</w:t>
      </w:r>
      <w:r w:rsidRPr="004C506E">
        <w:rPr>
          <w:lang w:val="en-US"/>
        </w:rPr>
        <w:t xml:space="preserve">, </w:t>
      </w:r>
      <w:r w:rsidRPr="004C506E">
        <w:rPr>
          <w:i/>
          <w:iCs/>
          <w:lang w:val="en-US"/>
        </w:rPr>
        <w:t>14</w:t>
      </w:r>
      <w:r w:rsidRPr="004C506E">
        <w:rPr>
          <w:lang w:val="en-US"/>
        </w:rPr>
        <w:t>(1), 81–95. https://doi.org/10.1007/s10209-014-0348-1</w:t>
      </w:r>
    </w:p>
    <w:p w14:paraId="53539184" w14:textId="77777777" w:rsidR="004C506E" w:rsidRPr="004C506E" w:rsidRDefault="004C506E" w:rsidP="004C506E">
      <w:pPr>
        <w:pStyle w:val="Bibliografa"/>
        <w:spacing w:line="276" w:lineRule="auto"/>
      </w:pPr>
      <w:r w:rsidRPr="004C506E">
        <w:t xml:space="preserve">Meza-Prado, E., y Vega-Mora, G. (2023). Evaluación de las metodologías de enseñanza y medios emergentes de la virtualidad en la educación presencial, en la Escuela de Publicidad de la Universidad Hispanoamericana, Costa Rica. </w:t>
      </w:r>
      <w:r w:rsidRPr="004C506E">
        <w:rPr>
          <w:i/>
          <w:iCs/>
        </w:rPr>
        <w:t>Revista Tecnología en Marcha</w:t>
      </w:r>
      <w:r w:rsidRPr="004C506E">
        <w:t>. https://doi.org/10.18845/tm.v36i8.6926</w:t>
      </w:r>
    </w:p>
    <w:p w14:paraId="48025709" w14:textId="77777777" w:rsidR="004C506E" w:rsidRPr="004C506E" w:rsidRDefault="004C506E" w:rsidP="004C506E">
      <w:pPr>
        <w:pStyle w:val="Bibliografa"/>
        <w:spacing w:line="276" w:lineRule="auto"/>
        <w:rPr>
          <w:lang w:val="en-US"/>
        </w:rPr>
      </w:pPr>
      <w:r w:rsidRPr="004C506E">
        <w:t xml:space="preserve">Osmer, R. R. (2008). </w:t>
      </w:r>
      <w:r w:rsidRPr="004C506E">
        <w:rPr>
          <w:i/>
          <w:iCs/>
          <w:lang w:val="en-US"/>
        </w:rPr>
        <w:t>Practical Theology: An Introduction</w:t>
      </w:r>
      <w:r w:rsidRPr="004C506E">
        <w:rPr>
          <w:lang w:val="en-US"/>
        </w:rPr>
        <w:t>. Eerdmans. https://www.perlego.com/book/2987053/practical-theology-an-introduction-pdf</w:t>
      </w:r>
    </w:p>
    <w:p w14:paraId="1CD1DC33" w14:textId="77777777" w:rsidR="004C506E" w:rsidRPr="004C506E" w:rsidRDefault="004C506E" w:rsidP="004C506E">
      <w:pPr>
        <w:pStyle w:val="Bibliografa"/>
        <w:spacing w:line="276" w:lineRule="auto"/>
      </w:pPr>
      <w:r w:rsidRPr="004C506E">
        <w:t xml:space="preserve">Rojas-Mesa, J.-E., y Leal-Urueña, L.-A. (2023). Una aproximación a la innovación en la formacion doctoral en educación. </w:t>
      </w:r>
      <w:r w:rsidRPr="004C506E">
        <w:rPr>
          <w:i/>
          <w:iCs/>
        </w:rPr>
        <w:t>Revista iberoamericana de educación superior</w:t>
      </w:r>
      <w:r w:rsidRPr="004C506E">
        <w:t xml:space="preserve">, </w:t>
      </w:r>
      <w:r w:rsidRPr="004C506E">
        <w:rPr>
          <w:i/>
          <w:iCs/>
        </w:rPr>
        <w:t>XIV</w:t>
      </w:r>
      <w:r w:rsidRPr="004C506E">
        <w:t>(41), 39–57.</w:t>
      </w:r>
    </w:p>
    <w:p w14:paraId="39F94188" w14:textId="77777777" w:rsidR="004C506E" w:rsidRPr="004C506E" w:rsidRDefault="004C506E" w:rsidP="004C506E">
      <w:pPr>
        <w:pStyle w:val="Bibliografa"/>
        <w:spacing w:line="276" w:lineRule="auto"/>
      </w:pPr>
      <w:r w:rsidRPr="004C506E">
        <w:t xml:space="preserve">UNESCO. (2021). </w:t>
      </w:r>
      <w:r w:rsidRPr="004C506E">
        <w:rPr>
          <w:i/>
          <w:iCs/>
        </w:rPr>
        <w:t>Recommendation on the Ethics of Artificial Intelligence</w:t>
      </w:r>
      <w:r w:rsidRPr="004C506E">
        <w:t>. https://unesdoc.unesco.org/ark:/48223/pf0000381137</w:t>
      </w:r>
    </w:p>
    <w:p w14:paraId="2A53D04E" w14:textId="77777777" w:rsidR="004C506E" w:rsidRPr="004C506E" w:rsidRDefault="004C506E" w:rsidP="004C506E">
      <w:pPr>
        <w:pStyle w:val="Bibliografa"/>
        <w:spacing w:line="276" w:lineRule="auto"/>
      </w:pPr>
      <w:r w:rsidRPr="004C506E">
        <w:t xml:space="preserve">Vargas Fernández, T., Ordaz Hernández, M., Marín Cuba, L. G., González Pérez, M. M., Vargas Fernández, T., Ordaz Hernández, M., Marín Cuba, L. G., y González Pérez, M. M. (2023). Análisis del proceso de gestión de la formación doctoral en tres universidades cubanas. </w:t>
      </w:r>
      <w:r w:rsidRPr="004C506E">
        <w:rPr>
          <w:i/>
          <w:iCs/>
        </w:rPr>
        <w:t>Mendive. Revista de Educación</w:t>
      </w:r>
      <w:r w:rsidRPr="004C506E">
        <w:t xml:space="preserve">, </w:t>
      </w:r>
      <w:r w:rsidRPr="004C506E">
        <w:rPr>
          <w:i/>
          <w:iCs/>
        </w:rPr>
        <w:t>21</w:t>
      </w:r>
      <w:r w:rsidRPr="004C506E">
        <w:t>(2). http://scielo.sld.cu/scielo.php?script=sci_abstract&amp;pid=S1815-76962023000200009&amp;lng=es&amp;nrm=iso&amp;tlng=en</w:t>
      </w:r>
    </w:p>
    <w:p w14:paraId="6C6B0844" w14:textId="77777777" w:rsidR="004C506E" w:rsidRPr="004C506E" w:rsidRDefault="004C506E" w:rsidP="004C506E">
      <w:pPr>
        <w:pStyle w:val="Bibliografa"/>
        <w:spacing w:line="276" w:lineRule="auto"/>
      </w:pPr>
      <w:r w:rsidRPr="004C506E">
        <w:rPr>
          <w:lang w:val="en-US"/>
        </w:rPr>
        <w:t xml:space="preserve">Waite-Stupiansky, S. (2022). Jean Piaget’s Constructivist Theory of Learning. </w:t>
      </w:r>
      <w:r w:rsidRPr="004C506E">
        <w:t xml:space="preserve">En </w:t>
      </w:r>
      <w:r w:rsidRPr="004C506E">
        <w:rPr>
          <w:i/>
          <w:iCs/>
        </w:rPr>
        <w:t>Theories of Early Childhood Education</w:t>
      </w:r>
      <w:r w:rsidRPr="004C506E">
        <w:t xml:space="preserve"> (2a ed.). Routledge.</w:t>
      </w:r>
    </w:p>
    <w:p w14:paraId="37ACD5E9" w14:textId="3B92E5E4" w:rsidR="002A43CD" w:rsidRPr="0070242F" w:rsidRDefault="004C506E" w:rsidP="004C506E">
      <w:pPr>
        <w:pStyle w:val="Bibliografa"/>
        <w:spacing w:line="276" w:lineRule="auto"/>
        <w:rPr>
          <w:smallCaps/>
          <w:szCs w:val="26"/>
        </w:rPr>
      </w:pPr>
      <w:r>
        <w:rPr>
          <w:smallCaps/>
          <w:szCs w:val="26"/>
        </w:rPr>
        <w:fldChar w:fldCharType="end"/>
      </w:r>
    </w:p>
    <w:p w14:paraId="3944D8C3" w14:textId="77777777" w:rsidR="00CE0F4B" w:rsidRPr="0070242F" w:rsidRDefault="00CE0F4B" w:rsidP="008B6A98"/>
    <w:p w14:paraId="1CED1DA4" w14:textId="77777777" w:rsidR="00CE0F4B" w:rsidRPr="0070242F" w:rsidRDefault="00CE0F4B" w:rsidP="008B6A98"/>
    <w:sectPr w:rsidR="00CE0F4B" w:rsidRPr="0070242F"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85E08" w14:textId="77777777" w:rsidR="004531E3" w:rsidRDefault="004531E3" w:rsidP="00EB0247">
      <w:pPr>
        <w:spacing w:after="0" w:line="240" w:lineRule="auto"/>
      </w:pPr>
      <w:r>
        <w:separator/>
      </w:r>
    </w:p>
  </w:endnote>
  <w:endnote w:type="continuationSeparator" w:id="0">
    <w:p w14:paraId="51B876D9" w14:textId="77777777" w:rsidR="004531E3" w:rsidRDefault="004531E3"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F3691" w14:textId="77777777" w:rsidR="004531E3" w:rsidRDefault="004531E3" w:rsidP="00EB0247">
      <w:pPr>
        <w:spacing w:after="0" w:line="240" w:lineRule="auto"/>
      </w:pPr>
      <w:r>
        <w:separator/>
      </w:r>
    </w:p>
  </w:footnote>
  <w:footnote w:type="continuationSeparator" w:id="0">
    <w:p w14:paraId="718A9D6B" w14:textId="77777777" w:rsidR="004531E3" w:rsidRDefault="004531E3"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06D49B2"/>
    <w:multiLevelType w:val="hybridMultilevel"/>
    <w:tmpl w:val="04DE051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214F4D"/>
    <w:multiLevelType w:val="hybridMultilevel"/>
    <w:tmpl w:val="15E2E92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97064679">
    <w:abstractNumId w:val="8"/>
  </w:num>
  <w:num w:numId="2" w16cid:durableId="1841921811">
    <w:abstractNumId w:val="3"/>
  </w:num>
  <w:num w:numId="3" w16cid:durableId="1822310146">
    <w:abstractNumId w:val="2"/>
  </w:num>
  <w:num w:numId="4" w16cid:durableId="1719864141">
    <w:abstractNumId w:val="1"/>
  </w:num>
  <w:num w:numId="5" w16cid:durableId="593125749">
    <w:abstractNumId w:val="0"/>
  </w:num>
  <w:num w:numId="6" w16cid:durableId="183515290">
    <w:abstractNumId w:val="9"/>
  </w:num>
  <w:num w:numId="7" w16cid:durableId="1828664111">
    <w:abstractNumId w:val="7"/>
  </w:num>
  <w:num w:numId="8" w16cid:durableId="417747557">
    <w:abstractNumId w:val="6"/>
  </w:num>
  <w:num w:numId="9" w16cid:durableId="1062564891">
    <w:abstractNumId w:val="5"/>
  </w:num>
  <w:num w:numId="10" w16cid:durableId="404492682">
    <w:abstractNumId w:val="4"/>
  </w:num>
  <w:num w:numId="11" w16cid:durableId="1926108046">
    <w:abstractNumId w:val="11"/>
  </w:num>
  <w:num w:numId="12" w16cid:durableId="1093162400">
    <w:abstractNumId w:val="13"/>
  </w:num>
  <w:num w:numId="13" w16cid:durableId="1729650980">
    <w:abstractNumId w:val="17"/>
  </w:num>
  <w:num w:numId="14" w16cid:durableId="696545873">
    <w:abstractNumId w:val="18"/>
  </w:num>
  <w:num w:numId="15" w16cid:durableId="1301687955">
    <w:abstractNumId w:val="19"/>
  </w:num>
  <w:num w:numId="16" w16cid:durableId="1329165705">
    <w:abstractNumId w:val="30"/>
  </w:num>
  <w:num w:numId="17" w16cid:durableId="1325627073">
    <w:abstractNumId w:val="27"/>
  </w:num>
  <w:num w:numId="18" w16cid:durableId="2039773207">
    <w:abstractNumId w:val="10"/>
  </w:num>
  <w:num w:numId="19" w16cid:durableId="283927340">
    <w:abstractNumId w:val="26"/>
  </w:num>
  <w:num w:numId="20" w16cid:durableId="536822162">
    <w:abstractNumId w:val="31"/>
  </w:num>
  <w:num w:numId="21" w16cid:durableId="1467505935">
    <w:abstractNumId w:val="32"/>
  </w:num>
  <w:num w:numId="22" w16cid:durableId="747382608">
    <w:abstractNumId w:val="22"/>
  </w:num>
  <w:num w:numId="23" w16cid:durableId="1690330085">
    <w:abstractNumId w:val="32"/>
    <w:lvlOverride w:ilvl="0">
      <w:startOverride w:val="1"/>
    </w:lvlOverride>
  </w:num>
  <w:num w:numId="24" w16cid:durableId="1372534172">
    <w:abstractNumId w:val="32"/>
    <w:lvlOverride w:ilvl="0">
      <w:startOverride w:val="1"/>
    </w:lvlOverride>
  </w:num>
  <w:num w:numId="25" w16cid:durableId="1229681849">
    <w:abstractNumId w:val="12"/>
  </w:num>
  <w:num w:numId="26" w16cid:durableId="248658823">
    <w:abstractNumId w:val="33"/>
  </w:num>
  <w:num w:numId="27" w16cid:durableId="460415910">
    <w:abstractNumId w:val="20"/>
  </w:num>
  <w:num w:numId="28" w16cid:durableId="1142577859">
    <w:abstractNumId w:val="21"/>
  </w:num>
  <w:num w:numId="29" w16cid:durableId="530454438">
    <w:abstractNumId w:val="24"/>
  </w:num>
  <w:num w:numId="30" w16cid:durableId="1671719125">
    <w:abstractNumId w:val="16"/>
  </w:num>
  <w:num w:numId="31" w16cid:durableId="357656854">
    <w:abstractNumId w:val="25"/>
  </w:num>
  <w:num w:numId="32" w16cid:durableId="501163463">
    <w:abstractNumId w:val="15"/>
  </w:num>
  <w:num w:numId="33" w16cid:durableId="797068177">
    <w:abstractNumId w:val="28"/>
  </w:num>
  <w:num w:numId="34" w16cid:durableId="75172640">
    <w:abstractNumId w:val="29"/>
  </w:num>
  <w:num w:numId="35" w16cid:durableId="543374412">
    <w:abstractNumId w:val="34"/>
  </w:num>
  <w:num w:numId="36" w16cid:durableId="1627732263">
    <w:abstractNumId w:val="32"/>
    <w:lvlOverride w:ilvl="0">
      <w:startOverride w:val="1"/>
    </w:lvlOverride>
  </w:num>
  <w:num w:numId="37" w16cid:durableId="9066030">
    <w:abstractNumId w:val="32"/>
    <w:lvlOverride w:ilvl="0">
      <w:startOverride w:val="1"/>
    </w:lvlOverride>
  </w:num>
  <w:num w:numId="38" w16cid:durableId="1617132089">
    <w:abstractNumId w:val="32"/>
    <w:lvlOverride w:ilvl="0">
      <w:startOverride w:val="1"/>
    </w:lvlOverride>
  </w:num>
  <w:num w:numId="39" w16cid:durableId="484781535">
    <w:abstractNumId w:val="34"/>
    <w:lvlOverride w:ilvl="0">
      <w:startOverride w:val="1"/>
    </w:lvlOverride>
  </w:num>
  <w:num w:numId="40" w16cid:durableId="581111834">
    <w:abstractNumId w:val="34"/>
    <w:lvlOverride w:ilvl="0">
      <w:startOverride w:val="1"/>
    </w:lvlOverride>
  </w:num>
  <w:num w:numId="41" w16cid:durableId="109784711">
    <w:abstractNumId w:val="32"/>
    <w:lvlOverride w:ilvl="0">
      <w:startOverride w:val="1"/>
    </w:lvlOverride>
  </w:num>
  <w:num w:numId="42" w16cid:durableId="1836920168">
    <w:abstractNumId w:val="34"/>
    <w:lvlOverride w:ilvl="0">
      <w:startOverride w:val="1"/>
    </w:lvlOverride>
  </w:num>
  <w:num w:numId="43" w16cid:durableId="1256595091">
    <w:abstractNumId w:val="32"/>
    <w:lvlOverride w:ilvl="0">
      <w:startOverride w:val="1"/>
    </w:lvlOverride>
  </w:num>
  <w:num w:numId="44" w16cid:durableId="1346251200">
    <w:abstractNumId w:val="34"/>
    <w:lvlOverride w:ilvl="0">
      <w:startOverride w:val="1"/>
    </w:lvlOverride>
  </w:num>
  <w:num w:numId="45" w16cid:durableId="2145999223">
    <w:abstractNumId w:val="23"/>
  </w:num>
  <w:num w:numId="46" w16cid:durableId="20101385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0774"/>
    <w:rsid w:val="00012517"/>
    <w:rsid w:val="0002508E"/>
    <w:rsid w:val="00033E3E"/>
    <w:rsid w:val="00041F3C"/>
    <w:rsid w:val="00062D12"/>
    <w:rsid w:val="00063421"/>
    <w:rsid w:val="00097EEF"/>
    <w:rsid w:val="000B4EA8"/>
    <w:rsid w:val="000C5EDB"/>
    <w:rsid w:val="000D2A90"/>
    <w:rsid w:val="00113E06"/>
    <w:rsid w:val="001348A0"/>
    <w:rsid w:val="00140844"/>
    <w:rsid w:val="001468AC"/>
    <w:rsid w:val="0015066B"/>
    <w:rsid w:val="00156F2B"/>
    <w:rsid w:val="00182667"/>
    <w:rsid w:val="00185A00"/>
    <w:rsid w:val="0018654D"/>
    <w:rsid w:val="001950D8"/>
    <w:rsid w:val="00196C49"/>
    <w:rsid w:val="00197D57"/>
    <w:rsid w:val="001A3114"/>
    <w:rsid w:val="001A433B"/>
    <w:rsid w:val="001A7AD8"/>
    <w:rsid w:val="00212353"/>
    <w:rsid w:val="0023053B"/>
    <w:rsid w:val="00237546"/>
    <w:rsid w:val="00242EFB"/>
    <w:rsid w:val="002433EC"/>
    <w:rsid w:val="00254F0F"/>
    <w:rsid w:val="00280126"/>
    <w:rsid w:val="00281564"/>
    <w:rsid w:val="00285B53"/>
    <w:rsid w:val="00286AFD"/>
    <w:rsid w:val="002A43CD"/>
    <w:rsid w:val="002C5703"/>
    <w:rsid w:val="002D23FB"/>
    <w:rsid w:val="002D268C"/>
    <w:rsid w:val="002D3C49"/>
    <w:rsid w:val="002F3733"/>
    <w:rsid w:val="003233AC"/>
    <w:rsid w:val="00340C56"/>
    <w:rsid w:val="003512A0"/>
    <w:rsid w:val="00375999"/>
    <w:rsid w:val="0039591A"/>
    <w:rsid w:val="003C4D9F"/>
    <w:rsid w:val="003D4E64"/>
    <w:rsid w:val="003E66FB"/>
    <w:rsid w:val="00422CDA"/>
    <w:rsid w:val="004307D4"/>
    <w:rsid w:val="00437ED3"/>
    <w:rsid w:val="0044345A"/>
    <w:rsid w:val="004531E3"/>
    <w:rsid w:val="00465BB1"/>
    <w:rsid w:val="00475BEC"/>
    <w:rsid w:val="00477173"/>
    <w:rsid w:val="004819D7"/>
    <w:rsid w:val="004842F0"/>
    <w:rsid w:val="00484413"/>
    <w:rsid w:val="00493A17"/>
    <w:rsid w:val="004A3555"/>
    <w:rsid w:val="004C0202"/>
    <w:rsid w:val="004C506E"/>
    <w:rsid w:val="004D0180"/>
    <w:rsid w:val="005335DF"/>
    <w:rsid w:val="005417EB"/>
    <w:rsid w:val="005430EA"/>
    <w:rsid w:val="00584BB4"/>
    <w:rsid w:val="005A43E3"/>
    <w:rsid w:val="005A4AFE"/>
    <w:rsid w:val="005A6174"/>
    <w:rsid w:val="00607EE3"/>
    <w:rsid w:val="006131F7"/>
    <w:rsid w:val="00675757"/>
    <w:rsid w:val="00680332"/>
    <w:rsid w:val="00681364"/>
    <w:rsid w:val="0068745E"/>
    <w:rsid w:val="00696409"/>
    <w:rsid w:val="006A64A6"/>
    <w:rsid w:val="006A7A11"/>
    <w:rsid w:val="006B7745"/>
    <w:rsid w:val="006E3F2F"/>
    <w:rsid w:val="006F5947"/>
    <w:rsid w:val="007000F2"/>
    <w:rsid w:val="0070242F"/>
    <w:rsid w:val="00714CBD"/>
    <w:rsid w:val="00721EBE"/>
    <w:rsid w:val="00742AC5"/>
    <w:rsid w:val="007701F1"/>
    <w:rsid w:val="00792960"/>
    <w:rsid w:val="007A0F17"/>
    <w:rsid w:val="007C1121"/>
    <w:rsid w:val="007C4394"/>
    <w:rsid w:val="007C4B6B"/>
    <w:rsid w:val="007E4E94"/>
    <w:rsid w:val="007F0944"/>
    <w:rsid w:val="00807BE9"/>
    <w:rsid w:val="00815D68"/>
    <w:rsid w:val="008238DE"/>
    <w:rsid w:val="00863A4D"/>
    <w:rsid w:val="008A4085"/>
    <w:rsid w:val="008A483F"/>
    <w:rsid w:val="008B2DF1"/>
    <w:rsid w:val="008B6A98"/>
    <w:rsid w:val="008C1056"/>
    <w:rsid w:val="008C2B2C"/>
    <w:rsid w:val="008F1330"/>
    <w:rsid w:val="008F3F8E"/>
    <w:rsid w:val="00905CCF"/>
    <w:rsid w:val="0091337D"/>
    <w:rsid w:val="009171C1"/>
    <w:rsid w:val="00920563"/>
    <w:rsid w:val="0093429F"/>
    <w:rsid w:val="009477E3"/>
    <w:rsid w:val="00962592"/>
    <w:rsid w:val="009847F6"/>
    <w:rsid w:val="00992C89"/>
    <w:rsid w:val="009A336B"/>
    <w:rsid w:val="009A67FE"/>
    <w:rsid w:val="009B6E2A"/>
    <w:rsid w:val="009C0DFA"/>
    <w:rsid w:val="009C304F"/>
    <w:rsid w:val="009C657C"/>
    <w:rsid w:val="009D0814"/>
    <w:rsid w:val="009D4514"/>
    <w:rsid w:val="009E664A"/>
    <w:rsid w:val="009F5F74"/>
    <w:rsid w:val="00A206F1"/>
    <w:rsid w:val="00A2277C"/>
    <w:rsid w:val="00A8553F"/>
    <w:rsid w:val="00A925D9"/>
    <w:rsid w:val="00AC5F5D"/>
    <w:rsid w:val="00AD0678"/>
    <w:rsid w:val="00AD775C"/>
    <w:rsid w:val="00B0717D"/>
    <w:rsid w:val="00B57A4E"/>
    <w:rsid w:val="00B60DF4"/>
    <w:rsid w:val="00B863D3"/>
    <w:rsid w:val="00BA4EA8"/>
    <w:rsid w:val="00BA4FD5"/>
    <w:rsid w:val="00BB38AC"/>
    <w:rsid w:val="00BD7178"/>
    <w:rsid w:val="00BE3D2B"/>
    <w:rsid w:val="00BE5F2C"/>
    <w:rsid w:val="00BF3672"/>
    <w:rsid w:val="00BF45D1"/>
    <w:rsid w:val="00BF50C0"/>
    <w:rsid w:val="00C21F8C"/>
    <w:rsid w:val="00C302E3"/>
    <w:rsid w:val="00C30BA1"/>
    <w:rsid w:val="00C45F7D"/>
    <w:rsid w:val="00C54EEF"/>
    <w:rsid w:val="00C930F7"/>
    <w:rsid w:val="00CA0400"/>
    <w:rsid w:val="00CC152D"/>
    <w:rsid w:val="00CD0091"/>
    <w:rsid w:val="00CD706E"/>
    <w:rsid w:val="00CE0F4B"/>
    <w:rsid w:val="00D0381D"/>
    <w:rsid w:val="00D05D1F"/>
    <w:rsid w:val="00D36F76"/>
    <w:rsid w:val="00D47BD3"/>
    <w:rsid w:val="00D664C5"/>
    <w:rsid w:val="00D77101"/>
    <w:rsid w:val="00D86CAA"/>
    <w:rsid w:val="00DA0BED"/>
    <w:rsid w:val="00DC3839"/>
    <w:rsid w:val="00DC5E7D"/>
    <w:rsid w:val="00DE0B74"/>
    <w:rsid w:val="00DF1B76"/>
    <w:rsid w:val="00E04357"/>
    <w:rsid w:val="00E05E1A"/>
    <w:rsid w:val="00E06000"/>
    <w:rsid w:val="00E649D6"/>
    <w:rsid w:val="00E82BF6"/>
    <w:rsid w:val="00EB0247"/>
    <w:rsid w:val="00EC01A5"/>
    <w:rsid w:val="00ED1B0E"/>
    <w:rsid w:val="00F1295E"/>
    <w:rsid w:val="00F54007"/>
    <w:rsid w:val="00F60611"/>
    <w:rsid w:val="00F6268D"/>
    <w:rsid w:val="00F6387D"/>
    <w:rsid w:val="00F63B01"/>
    <w:rsid w:val="00F66726"/>
    <w:rsid w:val="00FA51E8"/>
    <w:rsid w:val="00FA59B3"/>
    <w:rsid w:val="00FA7CDE"/>
    <w:rsid w:val="00FD37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locked="0" w:semiHidden="1" w:unhideWhenUsed="1"/>
  </w:latentStyles>
  <w:style w:type="paragraph" w:default="1" w:styleId="Normal">
    <w:name w:val="Normal"/>
    <w:aliases w:val="00. Normal"/>
    <w:uiPriority w:val="8"/>
    <w:qFormat/>
    <w:rsid w:val="00062D12"/>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after="0" w:line="480" w:lineRule="atLeast"/>
      <w:ind w:left="720" w:hanging="720"/>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character" w:customStyle="1" w:styleId="ng-star-inserted">
    <w:name w:val="ng-star-inserted"/>
    <w:basedOn w:val="Fuentedeprrafopredeter"/>
    <w:rsid w:val="00AC5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08100">
      <w:bodyDiv w:val="1"/>
      <w:marLeft w:val="0"/>
      <w:marRight w:val="0"/>
      <w:marTop w:val="0"/>
      <w:marBottom w:val="0"/>
      <w:divBdr>
        <w:top w:val="none" w:sz="0" w:space="0" w:color="auto"/>
        <w:left w:val="none" w:sz="0" w:space="0" w:color="auto"/>
        <w:bottom w:val="none" w:sz="0" w:space="0" w:color="auto"/>
        <w:right w:val="none" w:sz="0" w:space="0" w:color="auto"/>
      </w:divBdr>
      <w:divsChild>
        <w:div w:id="292911885">
          <w:marLeft w:val="0"/>
          <w:marRight w:val="0"/>
          <w:marTop w:val="0"/>
          <w:marBottom w:val="0"/>
          <w:divBdr>
            <w:top w:val="none" w:sz="0" w:space="0" w:color="auto"/>
            <w:left w:val="none" w:sz="0" w:space="0" w:color="auto"/>
            <w:bottom w:val="none" w:sz="0" w:space="0" w:color="auto"/>
            <w:right w:val="none" w:sz="0" w:space="0" w:color="auto"/>
          </w:divBdr>
        </w:div>
        <w:div w:id="1516385130">
          <w:marLeft w:val="0"/>
          <w:marRight w:val="0"/>
          <w:marTop w:val="0"/>
          <w:marBottom w:val="0"/>
          <w:divBdr>
            <w:top w:val="none" w:sz="0" w:space="0" w:color="auto"/>
            <w:left w:val="none" w:sz="0" w:space="0" w:color="auto"/>
            <w:bottom w:val="none" w:sz="0" w:space="0" w:color="auto"/>
            <w:right w:val="none" w:sz="0" w:space="0" w:color="auto"/>
          </w:divBdr>
        </w:div>
      </w:divsChild>
    </w:div>
    <w:div w:id="477192815">
      <w:bodyDiv w:val="1"/>
      <w:marLeft w:val="0"/>
      <w:marRight w:val="0"/>
      <w:marTop w:val="0"/>
      <w:marBottom w:val="0"/>
      <w:divBdr>
        <w:top w:val="none" w:sz="0" w:space="0" w:color="auto"/>
        <w:left w:val="none" w:sz="0" w:space="0" w:color="auto"/>
        <w:bottom w:val="none" w:sz="0" w:space="0" w:color="auto"/>
        <w:right w:val="none" w:sz="0" w:space="0" w:color="auto"/>
      </w:divBdr>
      <w:divsChild>
        <w:div w:id="705833372">
          <w:marLeft w:val="0"/>
          <w:marRight w:val="0"/>
          <w:marTop w:val="0"/>
          <w:marBottom w:val="0"/>
          <w:divBdr>
            <w:top w:val="none" w:sz="0" w:space="0" w:color="auto"/>
            <w:left w:val="none" w:sz="0" w:space="0" w:color="auto"/>
            <w:bottom w:val="none" w:sz="0" w:space="0" w:color="auto"/>
            <w:right w:val="none" w:sz="0" w:space="0" w:color="auto"/>
          </w:divBdr>
        </w:div>
        <w:div w:id="1402214909">
          <w:marLeft w:val="0"/>
          <w:marRight w:val="0"/>
          <w:marTop w:val="0"/>
          <w:marBottom w:val="0"/>
          <w:divBdr>
            <w:top w:val="none" w:sz="0" w:space="0" w:color="auto"/>
            <w:left w:val="none" w:sz="0" w:space="0" w:color="auto"/>
            <w:bottom w:val="none" w:sz="0" w:space="0" w:color="auto"/>
            <w:right w:val="none" w:sz="0" w:space="0" w:color="auto"/>
          </w:divBdr>
        </w:div>
      </w:divsChild>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8809168">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41349702">
      <w:bodyDiv w:val="1"/>
      <w:marLeft w:val="0"/>
      <w:marRight w:val="0"/>
      <w:marTop w:val="0"/>
      <w:marBottom w:val="0"/>
      <w:divBdr>
        <w:top w:val="none" w:sz="0" w:space="0" w:color="auto"/>
        <w:left w:val="none" w:sz="0" w:space="0" w:color="auto"/>
        <w:bottom w:val="none" w:sz="0" w:space="0" w:color="auto"/>
        <w:right w:val="none" w:sz="0" w:space="0" w:color="auto"/>
      </w:divBdr>
      <w:divsChild>
        <w:div w:id="1645770480">
          <w:marLeft w:val="0"/>
          <w:marRight w:val="0"/>
          <w:marTop w:val="0"/>
          <w:marBottom w:val="0"/>
          <w:divBdr>
            <w:top w:val="none" w:sz="0" w:space="0" w:color="auto"/>
            <w:left w:val="none" w:sz="0" w:space="0" w:color="auto"/>
            <w:bottom w:val="none" w:sz="0" w:space="0" w:color="auto"/>
            <w:right w:val="none" w:sz="0" w:space="0" w:color="auto"/>
          </w:divBdr>
        </w:div>
        <w:div w:id="7873731">
          <w:marLeft w:val="0"/>
          <w:marRight w:val="0"/>
          <w:marTop w:val="0"/>
          <w:marBottom w:val="0"/>
          <w:divBdr>
            <w:top w:val="none" w:sz="0" w:space="0" w:color="auto"/>
            <w:left w:val="none" w:sz="0" w:space="0" w:color="auto"/>
            <w:bottom w:val="none" w:sz="0" w:space="0" w:color="auto"/>
            <w:right w:val="none" w:sz="0" w:space="0" w:color="auto"/>
          </w:divBdr>
        </w:div>
      </w:divsChild>
    </w:div>
    <w:div w:id="1729380975">
      <w:bodyDiv w:val="1"/>
      <w:marLeft w:val="0"/>
      <w:marRight w:val="0"/>
      <w:marTop w:val="0"/>
      <w:marBottom w:val="0"/>
      <w:divBdr>
        <w:top w:val="none" w:sz="0" w:space="0" w:color="auto"/>
        <w:left w:val="none" w:sz="0" w:space="0" w:color="auto"/>
        <w:bottom w:val="none" w:sz="0" w:space="0" w:color="auto"/>
        <w:right w:val="none" w:sz="0" w:space="0" w:color="auto"/>
      </w:divBdr>
      <w:divsChild>
        <w:div w:id="62459390">
          <w:marLeft w:val="0"/>
          <w:marRight w:val="0"/>
          <w:marTop w:val="0"/>
          <w:marBottom w:val="0"/>
          <w:divBdr>
            <w:top w:val="none" w:sz="0" w:space="0" w:color="auto"/>
            <w:left w:val="none" w:sz="0" w:space="0" w:color="auto"/>
            <w:bottom w:val="none" w:sz="0" w:space="0" w:color="auto"/>
            <w:right w:val="none" w:sz="0" w:space="0" w:color="auto"/>
          </w:divBdr>
        </w:div>
        <w:div w:id="1358039352">
          <w:marLeft w:val="0"/>
          <w:marRight w:val="0"/>
          <w:marTop w:val="0"/>
          <w:marBottom w:val="0"/>
          <w:divBdr>
            <w:top w:val="none" w:sz="0" w:space="0" w:color="auto"/>
            <w:left w:val="none" w:sz="0" w:space="0" w:color="auto"/>
            <w:bottom w:val="none" w:sz="0" w:space="0" w:color="auto"/>
            <w:right w:val="none" w:sz="0" w:space="0" w:color="auto"/>
          </w:divBdr>
        </w:div>
        <w:div w:id="806045849">
          <w:marLeft w:val="0"/>
          <w:marRight w:val="0"/>
          <w:marTop w:val="0"/>
          <w:marBottom w:val="0"/>
          <w:divBdr>
            <w:top w:val="none" w:sz="0" w:space="0" w:color="auto"/>
            <w:left w:val="none" w:sz="0" w:space="0" w:color="auto"/>
            <w:bottom w:val="none" w:sz="0" w:space="0" w:color="auto"/>
            <w:right w:val="none" w:sz="0" w:space="0" w:color="auto"/>
          </w:divBdr>
        </w:div>
        <w:div w:id="889222303">
          <w:marLeft w:val="0"/>
          <w:marRight w:val="0"/>
          <w:marTop w:val="0"/>
          <w:marBottom w:val="0"/>
          <w:divBdr>
            <w:top w:val="none" w:sz="0" w:space="0" w:color="auto"/>
            <w:left w:val="none" w:sz="0" w:space="0" w:color="auto"/>
            <w:bottom w:val="none" w:sz="0" w:space="0" w:color="auto"/>
            <w:right w:val="none" w:sz="0" w:space="0" w:color="auto"/>
          </w:divBdr>
        </w:div>
        <w:div w:id="778720401">
          <w:marLeft w:val="0"/>
          <w:marRight w:val="0"/>
          <w:marTop w:val="0"/>
          <w:marBottom w:val="0"/>
          <w:divBdr>
            <w:top w:val="none" w:sz="0" w:space="0" w:color="auto"/>
            <w:left w:val="none" w:sz="0" w:space="0" w:color="auto"/>
            <w:bottom w:val="none" w:sz="0" w:space="0" w:color="auto"/>
            <w:right w:val="none" w:sz="0" w:space="0" w:color="auto"/>
          </w:divBdr>
        </w:div>
        <w:div w:id="1422019445">
          <w:marLeft w:val="0"/>
          <w:marRight w:val="0"/>
          <w:marTop w:val="0"/>
          <w:marBottom w:val="0"/>
          <w:divBdr>
            <w:top w:val="none" w:sz="0" w:space="0" w:color="auto"/>
            <w:left w:val="none" w:sz="0" w:space="0" w:color="auto"/>
            <w:bottom w:val="none" w:sz="0" w:space="0" w:color="auto"/>
            <w:right w:val="none" w:sz="0" w:space="0" w:color="auto"/>
          </w:divBdr>
        </w:div>
        <w:div w:id="1677422133">
          <w:marLeft w:val="0"/>
          <w:marRight w:val="0"/>
          <w:marTop w:val="0"/>
          <w:marBottom w:val="0"/>
          <w:divBdr>
            <w:top w:val="none" w:sz="0" w:space="0" w:color="auto"/>
            <w:left w:val="none" w:sz="0" w:space="0" w:color="auto"/>
            <w:bottom w:val="none" w:sz="0" w:space="0" w:color="auto"/>
            <w:right w:val="none" w:sz="0" w:space="0" w:color="auto"/>
          </w:divBdr>
        </w:div>
        <w:div w:id="467477222">
          <w:marLeft w:val="0"/>
          <w:marRight w:val="0"/>
          <w:marTop w:val="0"/>
          <w:marBottom w:val="0"/>
          <w:divBdr>
            <w:top w:val="none" w:sz="0" w:space="0" w:color="auto"/>
            <w:left w:val="none" w:sz="0" w:space="0" w:color="auto"/>
            <w:bottom w:val="none" w:sz="0" w:space="0" w:color="auto"/>
            <w:right w:val="none" w:sz="0" w:space="0" w:color="auto"/>
          </w:divBdr>
        </w:div>
      </w:divsChild>
    </w:div>
    <w:div w:id="1884099771">
      <w:bodyDiv w:val="1"/>
      <w:marLeft w:val="0"/>
      <w:marRight w:val="0"/>
      <w:marTop w:val="0"/>
      <w:marBottom w:val="0"/>
      <w:divBdr>
        <w:top w:val="none" w:sz="0" w:space="0" w:color="auto"/>
        <w:left w:val="none" w:sz="0" w:space="0" w:color="auto"/>
        <w:bottom w:val="none" w:sz="0" w:space="0" w:color="auto"/>
        <w:right w:val="none" w:sz="0" w:space="0" w:color="auto"/>
      </w:divBdr>
      <w:divsChild>
        <w:div w:id="993027044">
          <w:marLeft w:val="0"/>
          <w:marRight w:val="0"/>
          <w:marTop w:val="0"/>
          <w:marBottom w:val="0"/>
          <w:divBdr>
            <w:top w:val="none" w:sz="0" w:space="0" w:color="auto"/>
            <w:left w:val="none" w:sz="0" w:space="0" w:color="auto"/>
            <w:bottom w:val="none" w:sz="0" w:space="0" w:color="auto"/>
            <w:right w:val="none" w:sz="0" w:space="0" w:color="auto"/>
          </w:divBdr>
        </w:div>
        <w:div w:id="1409841003">
          <w:marLeft w:val="0"/>
          <w:marRight w:val="0"/>
          <w:marTop w:val="0"/>
          <w:marBottom w:val="0"/>
          <w:divBdr>
            <w:top w:val="none" w:sz="0" w:space="0" w:color="auto"/>
            <w:left w:val="none" w:sz="0" w:space="0" w:color="auto"/>
            <w:bottom w:val="none" w:sz="0" w:space="0" w:color="auto"/>
            <w:right w:val="none" w:sz="0" w:space="0" w:color="auto"/>
          </w:divBdr>
        </w:div>
      </w:divsChild>
    </w:div>
    <w:div w:id="2139562356">
      <w:bodyDiv w:val="1"/>
      <w:marLeft w:val="0"/>
      <w:marRight w:val="0"/>
      <w:marTop w:val="0"/>
      <w:marBottom w:val="0"/>
      <w:divBdr>
        <w:top w:val="none" w:sz="0" w:space="0" w:color="auto"/>
        <w:left w:val="none" w:sz="0" w:space="0" w:color="auto"/>
        <w:bottom w:val="none" w:sz="0" w:space="0" w:color="auto"/>
        <w:right w:val="none" w:sz="0" w:space="0" w:color="auto"/>
      </w:divBdr>
      <w:divsChild>
        <w:div w:id="1266159741">
          <w:marLeft w:val="0"/>
          <w:marRight w:val="0"/>
          <w:marTop w:val="0"/>
          <w:marBottom w:val="0"/>
          <w:divBdr>
            <w:top w:val="none" w:sz="0" w:space="0" w:color="auto"/>
            <w:left w:val="none" w:sz="0" w:space="0" w:color="auto"/>
            <w:bottom w:val="none" w:sz="0" w:space="0" w:color="auto"/>
            <w:right w:val="none" w:sz="0" w:space="0" w:color="auto"/>
          </w:divBdr>
        </w:div>
        <w:div w:id="577055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8">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AD2C48-E459-4553-9820-8B4BF249F933}">
  <we:reference id="wa200000368" version="1.0.0.0" store="es-ES" storeType="OMEX"/>
  <we:alternateReferences>
    <we:reference id="WA200000368" version="1.0.0.0" store="" storeType="OMEX"/>
  </we:alternateReferences>
  <we:properties>
    <we:property name="documentId" value="&quot;6b17b689239a699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C708E-681D-4D4E-893A-5BBBE22E2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2</TotalTime>
  <Pages>16</Pages>
  <Words>9883</Words>
  <Characters>54360</Characters>
  <Application>Microsoft Office Word</Application>
  <DocSecurity>0</DocSecurity>
  <Lines>453</Lines>
  <Paragraphs>128</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64115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FREIRE  MENOSCAL STALYN XAVIER</cp:lastModifiedBy>
  <cp:revision>2</cp:revision>
  <dcterms:created xsi:type="dcterms:W3CDTF">2026-05-09T00:20:00Z</dcterms:created>
  <dcterms:modified xsi:type="dcterms:W3CDTF">2026-05-09T00:20:00Z</dcterms:modified>
  <cp:category>Categoria</cp:category>
  <cp:contentStatus>Estado</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id="FueosCPJ"/&gt;&lt;style id="http://www.zotero.org/styles/apa-no-ampersand" locale="es-MX" hasBibliography="1" bibliographyStyleHasBeenSet="1"/&gt;&lt;prefs&gt;&lt;pref name="fieldType" value="Field"/&gt;&lt;/prefs&gt;&lt;/data</vt:lpwstr>
  </property>
  <property fmtid="{D5CDD505-2E9C-101B-9397-08002B2CF9AE}" pid="3" name="ZOTERO_PREF_2">
    <vt:lpwstr>&gt;</vt:lpwstr>
  </property>
</Properties>
</file>